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639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63931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Heller Kevin N.</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00" w:type="dxa"/>
            <w:vAlign w:val="bottom"/>
            <w:tcBorders>
              <w:top w:val="single" w:sz="8" w:color="0000EE"/>
              <w:bottom w:val="single" w:sz="8" w:color="9A9A9A"/>
            </w:tcBorders>
          </w:tcPr>
          <w:p>
            <w:pPr>
              <w:spacing w:after="0"/>
              <w:rPr>
                <w:sz w:val="15"/>
                <w:szCs w:val="15"/>
                <w:color w:val="auto"/>
              </w:rPr>
            </w:pPr>
          </w:p>
        </w:tc>
        <w:tc>
          <w:tcPr>
            <w:tcW w:w="18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05/08/2019</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22"/>
          <w:szCs w:val="22"/>
          <w:color w:val="0000EE"/>
        </w:rPr>
      </w:pPr>
      <w:hyperlink r:id="rId12">
        <w:r>
          <w:rPr>
            <w:rFonts w:ascii="Arial" w:cs="Arial" w:eastAsia="Arial" w:hAnsi="Arial"/>
            <w:sz w:val="22"/>
            <w:szCs w:val="22"/>
            <w:u w:val="single" w:color="auto"/>
            <w:color w:val="0000EE"/>
          </w:rPr>
          <w:t>NextCure,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NXTC</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84"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4"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NEXTCURE,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9000 VIRGINIA MANOR ROAD, SUITE</w:t>
      </w:r>
    </w:p>
    <w:p>
      <w:pPr>
        <w:spacing w:after="0" w:line="38"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200</w:t>
      </w:r>
    </w:p>
    <w:p>
      <w:pPr>
        <w:spacing w:after="0" w:line="29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8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820" w:type="dxa"/>
            <w:vAlign w:val="bottom"/>
          </w:tcPr>
          <w:p>
            <w:pPr>
              <w:ind w:left="40"/>
              <w:spacing w:after="0"/>
              <w:rPr>
                <w:sz w:val="20"/>
                <w:szCs w:val="20"/>
                <w:color w:val="auto"/>
              </w:rPr>
            </w:pPr>
            <w:r>
              <w:rPr>
                <w:rFonts w:ascii="Arial" w:cs="Arial" w:eastAsia="Arial" w:hAnsi="Arial"/>
                <w:sz w:val="18"/>
                <w:szCs w:val="18"/>
                <w:color w:val="0000FF"/>
              </w:rPr>
              <w:t>BELTSVILLE MD</w:t>
            </w:r>
          </w:p>
        </w:tc>
        <w:tc>
          <w:tcPr>
            <w:tcW w:w="820" w:type="dxa"/>
            <w:vAlign w:val="bottom"/>
          </w:tcPr>
          <w:p>
            <w:pPr>
              <w:jc w:val="right"/>
              <w:spacing w:after="0"/>
              <w:rPr>
                <w:sz w:val="20"/>
                <w:szCs w:val="20"/>
                <w:color w:val="auto"/>
              </w:rPr>
            </w:pPr>
            <w:r>
              <w:rPr>
                <w:rFonts w:ascii="Arial" w:cs="Arial" w:eastAsia="Arial" w:hAnsi="Arial"/>
                <w:sz w:val="18"/>
                <w:szCs w:val="18"/>
                <w:color w:val="0000FF"/>
              </w:rPr>
              <w:t>20705</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6"/>
        <w:spacing w:after="0"/>
        <w:rPr>
          <w:sz w:val="20"/>
          <w:szCs w:val="20"/>
          <w:color w:val="auto"/>
        </w:rPr>
      </w:pPr>
      <w:r>
        <w:rPr>
          <w:rFonts w:ascii="Arial" w:cs="Arial" w:eastAsia="Arial" w:hAnsi="Arial"/>
          <w:sz w:val="18"/>
          <w:szCs w:val="18"/>
          <w:color w:val="0000FF"/>
        </w:rPr>
        <w:t>Chief Medical Officer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38"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66"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5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60" w:type="dxa"/>
            <w:vAlign w:val="bottom"/>
          </w:tcPr>
          <w:p>
            <w:pPr>
              <w:ind w:left="620"/>
              <w:spacing w:after="0"/>
              <w:rPr>
                <w:sz w:val="20"/>
                <w:szCs w:val="20"/>
                <w:color w:val="auto"/>
              </w:rPr>
            </w:pPr>
            <w:r>
              <w:rPr>
                <w:rFonts w:ascii="Arial" w:cs="Arial" w:eastAsia="Arial" w:hAnsi="Arial"/>
                <w:sz w:val="18"/>
                <w:szCs w:val="18"/>
                <w:color w:val="0000FF"/>
              </w:rPr>
              <w:t>21,782</w:t>
            </w:r>
          </w:p>
        </w:tc>
        <w:tc>
          <w:tcPr>
            <w:tcW w:w="900" w:type="dxa"/>
            <w:vAlign w:val="bottom"/>
          </w:tcPr>
          <w:p>
            <w:pPr>
              <w:ind w:left="64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304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304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3040" w:type="dxa"/>
            <w:vAlign w:val="bottom"/>
          </w:tcPr>
          <w:p>
            <w:pPr>
              <w:spacing w:after="0"/>
              <w:rPr>
                <w:sz w:val="20"/>
                <w:szCs w:val="20"/>
                <w:color w:val="auto"/>
              </w:rPr>
            </w:pPr>
          </w:p>
        </w:tc>
        <w:tc>
          <w:tcPr>
            <w:tcW w:w="5840" w:type="dxa"/>
            <w:vAlign w:val="bottom"/>
            <w:gridSpan w:val="6"/>
          </w:tcPr>
          <w:p>
            <w:pPr>
              <w:ind w:left="2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30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04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52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30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86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040" w:type="dxa"/>
            <w:vAlign w:val="bottom"/>
          </w:tcPr>
          <w:p>
            <w:pPr>
              <w:spacing w:after="0"/>
              <w:rPr>
                <w:sz w:val="4"/>
                <w:szCs w:val="4"/>
                <w:color w:val="auto"/>
              </w:rPr>
            </w:pPr>
          </w:p>
        </w:tc>
        <w:tc>
          <w:tcPr>
            <w:tcW w:w="52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60" w:type="dxa"/>
            <w:vAlign w:val="bottom"/>
          </w:tcPr>
          <w:p>
            <w:pPr>
              <w:spacing w:after="0"/>
              <w:rPr>
                <w:sz w:val="4"/>
                <w:szCs w:val="4"/>
                <w:color w:val="auto"/>
              </w:rPr>
            </w:pPr>
          </w:p>
        </w:tc>
        <w:tc>
          <w:tcPr>
            <w:tcW w:w="9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Expiration</w:t>
            </w: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0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86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900" w:type="dxa"/>
            <w:vAlign w:val="bottom"/>
          </w:tcPr>
          <w:p>
            <w:pPr>
              <w:ind w:left="2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304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08/27/2028</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ind w:left="320"/>
              <w:spacing w:after="0"/>
              <w:rPr>
                <w:sz w:val="20"/>
                <w:szCs w:val="20"/>
                <w:color w:val="auto"/>
              </w:rPr>
            </w:pPr>
            <w:r>
              <w:rPr>
                <w:rFonts w:ascii="Arial" w:cs="Arial" w:eastAsia="Arial" w:hAnsi="Arial"/>
                <w:sz w:val="18"/>
                <w:szCs w:val="18"/>
                <w:color w:val="0000FF"/>
              </w:rPr>
              <w:t>65,348</w:t>
            </w:r>
          </w:p>
        </w:tc>
        <w:tc>
          <w:tcPr>
            <w:tcW w:w="880" w:type="dxa"/>
            <w:vAlign w:val="bottom"/>
          </w:tcPr>
          <w:p>
            <w:pPr>
              <w:ind w:left="280"/>
              <w:spacing w:after="0"/>
              <w:rPr>
                <w:sz w:val="20"/>
                <w:szCs w:val="20"/>
                <w:color w:val="auto"/>
              </w:rPr>
            </w:pPr>
            <w:r>
              <w:rPr>
                <w:rFonts w:ascii="Arial" w:cs="Arial" w:eastAsia="Arial" w:hAnsi="Arial"/>
                <w:sz w:val="18"/>
                <w:szCs w:val="18"/>
                <w:color w:val="0000FF"/>
              </w:rPr>
              <w:t>1.77</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(2)</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12/21/2028</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ind w:left="320"/>
              <w:spacing w:after="0"/>
              <w:rPr>
                <w:sz w:val="20"/>
                <w:szCs w:val="20"/>
                <w:color w:val="auto"/>
              </w:rPr>
            </w:pPr>
            <w:r>
              <w:rPr>
                <w:rFonts w:ascii="Arial" w:cs="Arial" w:eastAsia="Arial" w:hAnsi="Arial"/>
                <w:sz w:val="18"/>
                <w:szCs w:val="18"/>
                <w:color w:val="0000FF"/>
              </w:rPr>
              <w:t>62,237</w:t>
            </w:r>
          </w:p>
        </w:tc>
        <w:tc>
          <w:tcPr>
            <w:tcW w:w="880" w:type="dxa"/>
            <w:vAlign w:val="bottom"/>
          </w:tcPr>
          <w:p>
            <w:pPr>
              <w:ind w:left="280"/>
              <w:spacing w:after="0"/>
              <w:rPr>
                <w:sz w:val="20"/>
                <w:szCs w:val="20"/>
                <w:color w:val="auto"/>
              </w:rPr>
            </w:pPr>
            <w:r>
              <w:rPr>
                <w:rFonts w:ascii="Arial" w:cs="Arial" w:eastAsia="Arial" w:hAnsi="Arial"/>
                <w:sz w:val="18"/>
                <w:szCs w:val="18"/>
                <w:color w:val="0000FF"/>
              </w:rPr>
              <w:t>7.63</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04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5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80" w:hanging="131"/>
        <w:spacing w:after="0"/>
        <w:tabs>
          <w:tab w:leader="none" w:pos="18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One fourth of the option vested on April 2, 2019. The remainder vests in 36 monthly installments beginning on May 2, 2019.</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One fourth of the option vests on December 21, 2019. The remainder vests in 36 monthly installments beginning on January 21, 2019.</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spacing w:after="0" w:line="7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Steven P. Cobourn,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10871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108710"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Kevin N.</w:t>
      </w:r>
      <w:r>
        <w:rPr>
          <w:sz w:val="20"/>
          <w:szCs w:val="20"/>
          <w:color w:val="auto"/>
        </w:rPr>
        <w:tab/>
      </w:r>
      <w:r>
        <w:rPr>
          <w:rFonts w:ascii="Arial" w:cs="Arial" w:eastAsia="Arial" w:hAnsi="Arial"/>
          <w:sz w:val="15"/>
          <w:szCs w:val="15"/>
          <w:color w:val="0000FF"/>
        </w:rPr>
        <w:t>05/08/2019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Heller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2781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78130"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NEXTCURE, INC.</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16</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38"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Know all by these presents, that the undersigned hereby constitutes and appoints each of Michael Richman, Steven P. Coburn and Timothy Mayer, Ph.D. the undersigned’s true and lawful attorney-in-fact to:</w:t>
      </w:r>
    </w:p>
    <w:p>
      <w:pPr>
        <w:spacing w:after="0" w:line="197" w:lineRule="exact"/>
        <w:rPr>
          <w:sz w:val="20"/>
          <w:szCs w:val="20"/>
          <w:color w:val="auto"/>
        </w:rPr>
      </w:pPr>
    </w:p>
    <w:p>
      <w:pPr>
        <w:ind w:left="1300" w:right="20" w:hanging="644"/>
        <w:spacing w:after="0" w:line="342" w:lineRule="auto"/>
        <w:tabs>
          <w:tab w:leader="none" w:pos="1300" w:val="left"/>
        </w:tabs>
        <w:numPr>
          <w:ilvl w:val="0"/>
          <w:numId w:val="6"/>
        </w:numPr>
        <w:rPr>
          <w:rFonts w:ascii="Arial" w:cs="Arial" w:eastAsia="Arial" w:hAnsi="Arial"/>
          <w:sz w:val="16"/>
          <w:szCs w:val="16"/>
          <w:color w:val="auto"/>
        </w:rPr>
      </w:pPr>
      <w:r>
        <w:rPr>
          <w:rFonts w:ascii="Arial" w:cs="Arial" w:eastAsia="Arial" w:hAnsi="Arial"/>
          <w:sz w:val="16"/>
          <w:szCs w:val="16"/>
          <w:color w:val="auto"/>
        </w:rPr>
        <w:t>execute for and on behalf of the undersigned, in the undersigned’s capacity as an officer and/or director of NextCure, Inc. (the “Company”), Forms 3, 4 and 5 in accordance with Section 16(a) of the Securities Exchange Act of 1934, as amended, and the rules thereunder;</w:t>
      </w:r>
    </w:p>
    <w:p>
      <w:pPr>
        <w:spacing w:after="0" w:line="150" w:lineRule="exact"/>
        <w:rPr>
          <w:rFonts w:ascii="Arial" w:cs="Arial" w:eastAsia="Arial" w:hAnsi="Arial"/>
          <w:sz w:val="16"/>
          <w:szCs w:val="16"/>
          <w:color w:val="auto"/>
        </w:rPr>
      </w:pPr>
    </w:p>
    <w:p>
      <w:pPr>
        <w:jc w:val="both"/>
        <w:ind w:left="1300" w:hanging="644"/>
        <w:spacing w:after="0" w:line="264" w:lineRule="auto"/>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do and perform any and all acts for and on behalf of the undersigned which may be necessary or desirable to complete and execute any such Form 3, 4, or 5 and timely file such form with the United States Securities and Exchange Commission and any stock exchange or similar authority; and</w:t>
      </w:r>
    </w:p>
    <w:p>
      <w:pPr>
        <w:spacing w:after="0" w:line="208"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1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w:t>
      </w:r>
    </w:p>
    <w:p>
      <w:pPr>
        <w:spacing w:after="0" w:line="2" w:lineRule="exact"/>
        <w:rPr>
          <w:sz w:val="20"/>
          <w:szCs w:val="20"/>
          <w:color w:val="auto"/>
        </w:rPr>
      </w:pPr>
    </w:p>
    <w:p>
      <w:pPr>
        <w:jc w:val="both"/>
        <w:ind w:right="20"/>
        <w:spacing w:after="0" w:line="361" w:lineRule="auto"/>
        <w:rPr>
          <w:sz w:val="20"/>
          <w:szCs w:val="20"/>
          <w:color w:val="auto"/>
        </w:rPr>
      </w:pPr>
      <w:r>
        <w:rPr>
          <w:rFonts w:ascii="Arial" w:cs="Arial" w:eastAsia="Arial" w:hAnsi="Arial"/>
          <w:sz w:val="15"/>
          <w:szCs w:val="15"/>
          <w:b w:val="1"/>
          <w:bCs w:val="1"/>
          <w:i w:val="1"/>
          <w:iCs w:val="1"/>
          <w:color w:val="auto"/>
        </w:rPr>
        <w:t>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14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undersigned has caused this Power of Attorney to be executed as of this 1st day of May 2019.</w:t>
      </w:r>
    </w:p>
    <w:p>
      <w:pPr>
        <w:spacing w:after="0" w:line="200" w:lineRule="exact"/>
        <w:rPr>
          <w:sz w:val="20"/>
          <w:szCs w:val="20"/>
          <w:color w:val="auto"/>
        </w:rPr>
      </w:pPr>
    </w:p>
    <w:p>
      <w:pPr>
        <w:spacing w:after="0" w:line="241" w:lineRule="exact"/>
        <w:rPr>
          <w:sz w:val="20"/>
          <w:szCs w:val="20"/>
          <w:color w:val="auto"/>
        </w:rPr>
      </w:pPr>
    </w:p>
    <w:p>
      <w:pPr>
        <w:jc w:val="right"/>
        <w:ind w:right="1660"/>
        <w:spacing w:after="0"/>
        <w:rPr>
          <w:sz w:val="20"/>
          <w:szCs w:val="20"/>
          <w:color w:val="auto"/>
        </w:rPr>
      </w:pPr>
      <w:r>
        <w:rPr>
          <w:rFonts w:ascii="Arial" w:cs="Arial" w:eastAsia="Arial" w:hAnsi="Arial"/>
          <w:sz w:val="18"/>
          <w:szCs w:val="18"/>
          <w:color w:val="auto"/>
        </w:rPr>
        <w:t>/s/ Kevin N. Heller,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5031105</wp:posOffset>
            </wp:positionH>
            <wp:positionV relativeFrom="paragraph">
              <wp:posOffset>-10160</wp:posOffset>
            </wp:positionV>
            <wp:extent cx="22205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220595" cy="8890"/>
                    </a:xfrm>
                    <a:prstGeom prst="rect">
                      <a:avLst/>
                    </a:prstGeom>
                    <a:noFill/>
                  </pic:spPr>
                </pic:pic>
              </a:graphicData>
            </a:graphic>
          </wp:anchor>
        </w:drawing>
      </w:r>
    </w:p>
    <w:p>
      <w:pPr>
        <w:spacing w:after="0" w:line="3" w:lineRule="exact"/>
        <w:rPr>
          <w:sz w:val="20"/>
          <w:szCs w:val="20"/>
          <w:color w:val="auto"/>
        </w:rPr>
      </w:pPr>
    </w:p>
    <w:p>
      <w:pPr>
        <w:jc w:val="right"/>
        <w:ind w:right="1620"/>
        <w:spacing w:after="0"/>
        <w:rPr>
          <w:sz w:val="20"/>
          <w:szCs w:val="20"/>
          <w:color w:val="auto"/>
        </w:rPr>
      </w:pPr>
      <w:r>
        <w:rPr>
          <w:rFonts w:ascii="Arial" w:cs="Arial" w:eastAsia="Arial" w:hAnsi="Arial"/>
          <w:sz w:val="18"/>
          <w:szCs w:val="18"/>
          <w:color w:val="auto"/>
        </w:rPr>
        <w:t>Kevin N. Heller, M.D.</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1" Type="http://schemas.openxmlformats.org/officeDocument/2006/relationships/hyperlink" Target="http://www.sec.gov/cgi-bin/browse-edgar?action=getcompany&amp;CIK=0001775716" TargetMode="External"/><Relationship Id="rId12" Type="http://schemas.openxmlformats.org/officeDocument/2006/relationships/hyperlink" Target="http://www.sec.gov/cgi-bin/browse-edgar?action=getcompany&amp;CIK=00016610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2019-12-23T20:36:43Z</dcterms:created>
  <dcterms:modified xsi:type="dcterms:W3CDTF">2019-12-23T20:36:43Z</dcterms:modified>
</cp:coreProperties>
</file>