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8" w:lineRule="exact"/>
        <w:rPr>
          <w:sz w:val="24"/>
          <w:szCs w:val="24"/>
          <w:color w:val="auto"/>
        </w:rPr>
      </w:pPr>
    </w:p>
    <w:p>
      <w:pPr>
        <w:jc w:val="center"/>
        <w:ind w:right="60"/>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8-K</w:t>
      </w:r>
    </w:p>
    <w:p>
      <w:pPr>
        <w:spacing w:after="0" w:line="2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June 24, 2021</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NextCure, Inc.</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620" w:type="dxa"/>
            <w:vAlign w:val="bottom"/>
            <w:gridSpan w:val="3"/>
          </w:tcPr>
          <w:p>
            <w:pPr>
              <w:jc w:val="center"/>
              <w:ind w:right="1000"/>
              <w:spacing w:after="0"/>
              <w:rPr>
                <w:sz w:val="20"/>
                <w:szCs w:val="20"/>
                <w:color w:val="auto"/>
              </w:rPr>
            </w:pPr>
            <w:r>
              <w:rPr>
                <w:rFonts w:ascii="Arial" w:cs="Arial" w:eastAsia="Arial" w:hAnsi="Arial"/>
                <w:sz w:val="18"/>
                <w:szCs w:val="18"/>
                <w:b w:val="1"/>
                <w:bCs w:val="1"/>
                <w:color w:val="auto"/>
                <w:w w:val="93"/>
              </w:rPr>
              <w:t>Delaware</w:t>
            </w:r>
          </w:p>
        </w:tc>
        <w:tc>
          <w:tcPr>
            <w:tcW w:w="2820" w:type="dxa"/>
            <w:vAlign w:val="bottom"/>
            <w:gridSpan w:val="3"/>
          </w:tcPr>
          <w:p>
            <w:pPr>
              <w:jc w:val="center"/>
              <w:ind w:right="800"/>
              <w:spacing w:after="0"/>
              <w:rPr>
                <w:sz w:val="20"/>
                <w:szCs w:val="20"/>
                <w:color w:val="auto"/>
              </w:rPr>
            </w:pPr>
            <w:r>
              <w:rPr>
                <w:rFonts w:ascii="Arial" w:cs="Arial" w:eastAsia="Arial" w:hAnsi="Arial"/>
                <w:sz w:val="18"/>
                <w:szCs w:val="18"/>
                <w:b w:val="1"/>
                <w:bCs w:val="1"/>
                <w:color w:val="auto"/>
                <w:w w:val="90"/>
              </w:rPr>
              <w:t>001-38905</w:t>
            </w:r>
          </w:p>
        </w:tc>
        <w:tc>
          <w:tcPr>
            <w:tcW w:w="200" w:type="dxa"/>
            <w:vAlign w:val="bottom"/>
          </w:tcPr>
          <w:p>
            <w:pPr>
              <w:spacing w:after="0"/>
              <w:rPr>
                <w:sz w:val="20"/>
                <w:szCs w:val="20"/>
                <w:color w:val="auto"/>
              </w:rPr>
            </w:pPr>
          </w:p>
        </w:tc>
        <w:tc>
          <w:tcPr>
            <w:tcW w:w="3600" w:type="dxa"/>
            <w:vAlign w:val="bottom"/>
          </w:tcPr>
          <w:p>
            <w:pPr>
              <w:jc w:val="center"/>
              <w:spacing w:after="0"/>
              <w:rPr>
                <w:sz w:val="20"/>
                <w:szCs w:val="20"/>
                <w:color w:val="auto"/>
              </w:rPr>
            </w:pPr>
            <w:r>
              <w:rPr>
                <w:rFonts w:ascii="Arial" w:cs="Arial" w:eastAsia="Arial" w:hAnsi="Arial"/>
                <w:sz w:val="18"/>
                <w:szCs w:val="18"/>
                <w:b w:val="1"/>
                <w:bCs w:val="1"/>
                <w:color w:val="auto"/>
                <w:w w:val="91"/>
              </w:rPr>
              <w:t>47-5231247</w:t>
            </w:r>
          </w:p>
        </w:tc>
      </w:tr>
      <w:tr>
        <w:trPr>
          <w:trHeight w:val="195"/>
        </w:trPr>
        <w:tc>
          <w:tcPr>
            <w:tcW w:w="362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(State or other jurisdiction</w:t>
            </w:r>
          </w:p>
        </w:tc>
        <w:tc>
          <w:tcPr>
            <w:tcW w:w="220" w:type="dxa"/>
            <w:vAlign w:val="bottom"/>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2820" w:type="dxa"/>
            <w:vAlign w:val="bottom"/>
            <w:tcBorders>
              <w:top w:val="single" w:sz="8" w:color="auto"/>
            </w:tcBorders>
            <w:gridSpan w:val="3"/>
          </w:tcPr>
          <w:p>
            <w:pPr>
              <w:jc w:val="center"/>
              <w:ind w:right="780"/>
              <w:spacing w:after="0" w:line="195" w:lineRule="exact"/>
              <w:rPr>
                <w:sz w:val="20"/>
                <w:szCs w:val="20"/>
                <w:color w:val="auto"/>
              </w:rPr>
            </w:pPr>
            <w:r>
              <w:rPr>
                <w:rFonts w:ascii="Arial" w:cs="Arial" w:eastAsia="Arial" w:hAnsi="Arial"/>
                <w:sz w:val="18"/>
                <w:szCs w:val="18"/>
                <w:color w:val="auto"/>
                <w:w w:val="91"/>
              </w:rPr>
              <w:t>(Commission</w:t>
            </w:r>
          </w:p>
        </w:tc>
        <w:tc>
          <w:tcPr>
            <w:tcW w:w="200" w:type="dxa"/>
            <w:vAlign w:val="bottom"/>
          </w:tcPr>
          <w:p>
            <w:pPr>
              <w:spacing w:after="0"/>
              <w:rPr>
                <w:sz w:val="16"/>
                <w:szCs w:val="16"/>
                <w:color w:val="auto"/>
              </w:rPr>
            </w:pPr>
          </w:p>
        </w:tc>
        <w:tc>
          <w:tcPr>
            <w:tcW w:w="36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3"/>
              </w:rPr>
              <w:t>(IRS Employer</w:t>
            </w:r>
          </w:p>
        </w:tc>
      </w:tr>
      <w:tr>
        <w:trPr>
          <w:trHeight w:val="230"/>
        </w:trPr>
        <w:tc>
          <w:tcPr>
            <w:tcW w:w="4620" w:type="dxa"/>
            <w:vAlign w:val="bottom"/>
            <w:gridSpan w:val="3"/>
          </w:tcPr>
          <w:p>
            <w:pPr>
              <w:jc w:val="center"/>
              <w:ind w:right="1000"/>
              <w:spacing w:after="0"/>
              <w:rPr>
                <w:sz w:val="20"/>
                <w:szCs w:val="20"/>
                <w:color w:val="auto"/>
              </w:rPr>
            </w:pPr>
            <w:r>
              <w:rPr>
                <w:rFonts w:ascii="Arial" w:cs="Arial" w:eastAsia="Arial" w:hAnsi="Arial"/>
                <w:sz w:val="18"/>
                <w:szCs w:val="18"/>
                <w:color w:val="auto"/>
                <w:w w:val="93"/>
              </w:rPr>
              <w:t>of incorporation)</w:t>
            </w:r>
          </w:p>
        </w:tc>
        <w:tc>
          <w:tcPr>
            <w:tcW w:w="3020" w:type="dxa"/>
            <w:vAlign w:val="bottom"/>
            <w:gridSpan w:val="4"/>
          </w:tcPr>
          <w:p>
            <w:pPr>
              <w:jc w:val="center"/>
              <w:ind w:right="980"/>
              <w:spacing w:after="0"/>
              <w:rPr>
                <w:sz w:val="20"/>
                <w:szCs w:val="20"/>
                <w:color w:val="auto"/>
              </w:rPr>
            </w:pPr>
            <w:r>
              <w:rPr>
                <w:rFonts w:ascii="Arial" w:cs="Arial" w:eastAsia="Arial" w:hAnsi="Arial"/>
                <w:sz w:val="18"/>
                <w:szCs w:val="18"/>
                <w:color w:val="auto"/>
                <w:w w:val="92"/>
              </w:rPr>
              <w:t>File Number)</w:t>
            </w:r>
          </w:p>
        </w:tc>
        <w:tc>
          <w:tcPr>
            <w:tcW w:w="36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41"/>
        </w:trPr>
        <w:tc>
          <w:tcPr>
            <w:tcW w:w="4620" w:type="dxa"/>
            <w:vAlign w:val="bottom"/>
            <w:gridSpan w:val="3"/>
          </w:tcPr>
          <w:p>
            <w:pPr>
              <w:jc w:val="center"/>
              <w:ind w:left="830"/>
              <w:spacing w:after="0"/>
              <w:rPr>
                <w:sz w:val="20"/>
                <w:szCs w:val="20"/>
                <w:color w:val="auto"/>
              </w:rPr>
            </w:pPr>
            <w:r>
              <w:rPr>
                <w:rFonts w:ascii="Arial" w:cs="Arial" w:eastAsia="Arial" w:hAnsi="Arial"/>
                <w:sz w:val="18"/>
                <w:szCs w:val="18"/>
                <w:b w:val="1"/>
                <w:bCs w:val="1"/>
                <w:color w:val="auto"/>
                <w:w w:val="92"/>
              </w:rPr>
              <w:t>9000 Virginia Manor Road, Suite 200</w:t>
            </w: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r>
      <w:tr>
        <w:trPr>
          <w:trHeight w:val="234"/>
        </w:trPr>
        <w:tc>
          <w:tcPr>
            <w:tcW w:w="4620" w:type="dxa"/>
            <w:vAlign w:val="bottom"/>
            <w:tcBorders>
              <w:bottom w:val="single" w:sz="8" w:color="auto"/>
            </w:tcBorders>
            <w:gridSpan w:val="3"/>
          </w:tcPr>
          <w:p>
            <w:pPr>
              <w:jc w:val="center"/>
              <w:ind w:left="810"/>
              <w:spacing w:after="0"/>
              <w:rPr>
                <w:sz w:val="20"/>
                <w:szCs w:val="20"/>
                <w:color w:val="auto"/>
              </w:rPr>
            </w:pPr>
            <w:r>
              <w:rPr>
                <w:rFonts w:ascii="Arial" w:cs="Arial" w:eastAsia="Arial" w:hAnsi="Arial"/>
                <w:sz w:val="18"/>
                <w:szCs w:val="18"/>
                <w:b w:val="1"/>
                <w:bCs w:val="1"/>
                <w:color w:val="auto"/>
                <w:w w:val="92"/>
              </w:rPr>
              <w:t>Beltsville, Maryland</w:t>
            </w:r>
          </w:p>
        </w:tc>
        <w:tc>
          <w:tcPr>
            <w:tcW w:w="90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3600" w:type="dxa"/>
            <w:vAlign w:val="bottom"/>
            <w:tcBorders>
              <w:bottom w:val="single" w:sz="8" w:color="auto"/>
            </w:tcBorders>
          </w:tcPr>
          <w:p>
            <w:pPr>
              <w:jc w:val="right"/>
              <w:ind w:right="2430"/>
              <w:spacing w:after="0"/>
              <w:rPr>
                <w:sz w:val="20"/>
                <w:szCs w:val="20"/>
                <w:color w:val="auto"/>
              </w:rPr>
            </w:pPr>
            <w:r>
              <w:rPr>
                <w:rFonts w:ascii="Arial" w:cs="Arial" w:eastAsia="Arial" w:hAnsi="Arial"/>
                <w:sz w:val="18"/>
                <w:szCs w:val="18"/>
                <w:b w:val="1"/>
                <w:bCs w:val="1"/>
                <w:color w:val="auto"/>
              </w:rPr>
              <w:t>20705</w:t>
            </w:r>
          </w:p>
        </w:tc>
      </w:tr>
      <w:tr>
        <w:trPr>
          <w:trHeight w:val="224"/>
        </w:trPr>
        <w:tc>
          <w:tcPr>
            <w:tcW w:w="4620" w:type="dxa"/>
            <w:vAlign w:val="bottom"/>
            <w:gridSpan w:val="3"/>
          </w:tcPr>
          <w:p>
            <w:pPr>
              <w:jc w:val="center"/>
              <w:ind w:left="810"/>
              <w:spacing w:after="0"/>
              <w:rPr>
                <w:sz w:val="20"/>
                <w:szCs w:val="20"/>
                <w:color w:val="auto"/>
              </w:rPr>
            </w:pPr>
            <w:r>
              <w:rPr>
                <w:rFonts w:ascii="Arial" w:cs="Arial" w:eastAsia="Arial" w:hAnsi="Arial"/>
                <w:sz w:val="18"/>
                <w:szCs w:val="18"/>
                <w:color w:val="auto"/>
                <w:w w:val="92"/>
              </w:rPr>
              <w:t>(Address of principal executive offices)</w:t>
            </w: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600" w:type="dxa"/>
            <w:vAlign w:val="bottom"/>
          </w:tcPr>
          <w:p>
            <w:pPr>
              <w:jc w:val="center"/>
              <w:ind w:right="1790"/>
              <w:spacing w:after="0"/>
              <w:rPr>
                <w:sz w:val="20"/>
                <w:szCs w:val="20"/>
                <w:color w:val="auto"/>
              </w:rPr>
            </w:pPr>
            <w:r>
              <w:rPr>
                <w:rFonts w:ascii="Arial" w:cs="Arial" w:eastAsia="Arial" w:hAnsi="Arial"/>
                <w:sz w:val="18"/>
                <w:szCs w:val="18"/>
                <w:color w:val="auto"/>
                <w:w w:val="94"/>
              </w:rPr>
              <w:t>(Zip Code)</w:t>
            </w:r>
          </w:p>
        </w:tc>
      </w:tr>
      <w:tr>
        <w:trPr>
          <w:trHeight w:val="418"/>
        </w:trPr>
        <w:tc>
          <w:tcPr>
            <w:tcW w:w="3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20" w:type="dxa"/>
            <w:vAlign w:val="bottom"/>
            <w:gridSpan w:val="3"/>
          </w:tcPr>
          <w:p>
            <w:pPr>
              <w:jc w:val="center"/>
              <w:ind w:right="820"/>
              <w:spacing w:after="0"/>
              <w:rPr>
                <w:sz w:val="20"/>
                <w:szCs w:val="20"/>
                <w:color w:val="auto"/>
              </w:rPr>
            </w:pPr>
            <w:r>
              <w:rPr>
                <w:rFonts w:ascii="Arial" w:cs="Arial" w:eastAsia="Arial" w:hAnsi="Arial"/>
                <w:sz w:val="18"/>
                <w:szCs w:val="18"/>
                <w:b w:val="1"/>
                <w:bCs w:val="1"/>
                <w:color w:val="auto"/>
                <w:w w:val="90"/>
              </w:rPr>
              <w:t>(240) 399-4900</w:t>
            </w: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171450</wp:posOffset>
            </wp:positionV>
            <wp:extent cx="17830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31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186055</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5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u w:val="single" w:color="auto"/>
          <w:color w:val="auto"/>
        </w:rPr>
        <w:t>see</w:t>
      </w:r>
      <w:r>
        <w:rPr>
          <w:rFonts w:ascii="Arial" w:cs="Arial" w:eastAsia="Arial" w:hAnsi="Arial"/>
          <w:sz w:val="18"/>
          <w:szCs w:val="18"/>
          <w:color w:val="auto"/>
        </w:rPr>
        <w:t xml:space="preserve"> General Instruction A.2. below):</w:t>
      </w:r>
    </w:p>
    <w:p>
      <w:pPr>
        <w:spacing w:after="0" w:line="170" w:lineRule="exact"/>
        <w:rPr>
          <w:sz w:val="24"/>
          <w:szCs w:val="24"/>
          <w:color w:val="auto"/>
        </w:rPr>
      </w:pPr>
    </w:p>
    <w:p>
      <w:pPr>
        <w:ind w:left="660" w:hanging="328"/>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660" w:hanging="328"/>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660" w:hanging="328"/>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540" w:firstLine="332"/>
        <w:spacing w:after="0" w:line="509" w:lineRule="auto"/>
        <w:tabs>
          <w:tab w:leader="none" w:pos="648"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10"/>
        </w:trPr>
        <w:tc>
          <w:tcPr>
            <w:tcW w:w="49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17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45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09"/>
        </w:trPr>
        <w:tc>
          <w:tcPr>
            <w:tcW w:w="496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$0.001 par value per share</w:t>
            </w:r>
          </w:p>
        </w:tc>
        <w:tc>
          <w:tcPr>
            <w:tcW w:w="1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7"/>
              </w:rPr>
              <w:t>NXTC</w:t>
            </w:r>
          </w:p>
        </w:tc>
        <w:tc>
          <w:tcPr>
            <w:tcW w:w="45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132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339090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78" w:right="339" w:bottom="1440" w:gutter="0" w:footer="0" w:header="0"/>
        </w:sectPr>
      </w:pPr>
    </w:p>
    <w:bookmarkStart w:id="1" w:name="page2"/>
    <w:bookmarkEnd w:id="1"/>
    <w:p>
      <w:pPr>
        <w:spacing w:after="0"/>
        <w:tabs>
          <w:tab w:leader="none" w:pos="1140" w:val="left"/>
        </w:tabs>
        <w:rPr>
          <w:sz w:val="20"/>
          <w:szCs w:val="20"/>
          <w:color w:val="auto"/>
        </w:rPr>
      </w:pPr>
      <w:r>
        <w:rPr>
          <w:rFonts w:ascii="Arial" w:cs="Arial" w:eastAsia="Arial" w:hAnsi="Arial"/>
          <w:sz w:val="18"/>
          <w:szCs w:val="18"/>
          <w:b w:val="1"/>
          <w:bCs w:val="1"/>
          <w:color w:val="auto"/>
        </w:rPr>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229" w:lineRule="exact"/>
        <w:rPr>
          <w:sz w:val="20"/>
          <w:szCs w:val="20"/>
          <w:color w:val="auto"/>
        </w:rPr>
      </w:pPr>
    </w:p>
    <w:p>
      <w:pPr>
        <w:ind w:right="320" w:firstLine="324"/>
        <w:spacing w:after="0" w:line="308" w:lineRule="auto"/>
        <w:rPr>
          <w:sz w:val="20"/>
          <w:szCs w:val="20"/>
          <w:color w:val="auto"/>
        </w:rPr>
      </w:pPr>
      <w:r>
        <w:rPr>
          <w:rFonts w:ascii="Arial" w:cs="Arial" w:eastAsia="Arial" w:hAnsi="Arial"/>
          <w:sz w:val="17"/>
          <w:szCs w:val="17"/>
          <w:color w:val="auto"/>
        </w:rPr>
        <w:t>On June 24, 2021, NextCure, Inc. (the “Company”) held its 2021 Annual Meeting of Stockholders (the “Annual Meeting”). Set forth below are the matters voted upon at the Annual Meeting and the final voting results for each matter as certified by the inspector of election.</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Proposal No. 1: Election of Class II Directors</w:t>
      </w:r>
    </w:p>
    <w:p>
      <w:pPr>
        <w:spacing w:after="0" w:line="225" w:lineRule="exact"/>
        <w:rPr>
          <w:sz w:val="20"/>
          <w:szCs w:val="20"/>
          <w:color w:val="auto"/>
        </w:rPr>
      </w:pPr>
    </w:p>
    <w:p>
      <w:pPr>
        <w:ind w:right="560" w:firstLine="324"/>
        <w:spacing w:after="0" w:line="263" w:lineRule="auto"/>
        <w:rPr>
          <w:sz w:val="20"/>
          <w:szCs w:val="20"/>
          <w:color w:val="auto"/>
        </w:rPr>
      </w:pPr>
      <w:r>
        <w:rPr>
          <w:rFonts w:ascii="Arial" w:cs="Arial" w:eastAsia="Arial" w:hAnsi="Arial"/>
          <w:sz w:val="18"/>
          <w:szCs w:val="18"/>
          <w:color w:val="auto"/>
        </w:rPr>
        <w:t>The Company’s stockholders elected Ellen v. Jones, Ph.D., and Chau Q. Khuong as Class II members of the Company’s Board of Directors (the “Board”), each to serve a three-year term expiring at the Company’s 2024 Annual Meeting of Stockholders, or until such director's earlier death, resignation, or removal from the Board. The results of the votes were as follows: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620" w:type="dxa"/>
            <w:vAlign w:val="bottom"/>
          </w:tcPr>
          <w:p>
            <w:pPr>
              <w:spacing w:after="0"/>
              <w:rPr>
                <w:sz w:val="20"/>
                <w:szCs w:val="20"/>
                <w:color w:val="auto"/>
              </w:rPr>
            </w:pPr>
          </w:p>
        </w:tc>
        <w:tc>
          <w:tcPr>
            <w:tcW w:w="1720" w:type="dxa"/>
            <w:vAlign w:val="bottom"/>
            <w:gridSpan w:val="2"/>
          </w:tcPr>
          <w:p>
            <w:pPr>
              <w:ind w:left="620"/>
              <w:spacing w:after="0"/>
              <w:rPr>
                <w:sz w:val="20"/>
                <w:szCs w:val="20"/>
                <w:color w:val="auto"/>
              </w:rPr>
            </w:pPr>
            <w:r>
              <w:rPr>
                <w:rFonts w:ascii="Arial" w:cs="Arial" w:eastAsia="Arial" w:hAnsi="Arial"/>
                <w:sz w:val="18"/>
                <w:szCs w:val="18"/>
                <w:color w:val="auto"/>
              </w:rPr>
              <w:t>For</w:t>
            </w:r>
          </w:p>
        </w:tc>
        <w:tc>
          <w:tcPr>
            <w:tcW w:w="1680" w:type="dxa"/>
            <w:vAlign w:val="bottom"/>
            <w:gridSpan w:val="2"/>
          </w:tcPr>
          <w:p>
            <w:pPr>
              <w:ind w:left="460"/>
              <w:spacing w:after="0"/>
              <w:rPr>
                <w:sz w:val="20"/>
                <w:szCs w:val="20"/>
                <w:color w:val="auto"/>
              </w:rPr>
            </w:pPr>
            <w:r>
              <w:rPr>
                <w:rFonts w:ascii="Arial" w:cs="Arial" w:eastAsia="Arial" w:hAnsi="Arial"/>
                <w:sz w:val="18"/>
                <w:szCs w:val="18"/>
                <w:color w:val="auto"/>
              </w:rPr>
              <w:t>Against</w:t>
            </w:r>
          </w:p>
        </w:tc>
        <w:tc>
          <w:tcPr>
            <w:tcW w:w="1660" w:type="dxa"/>
            <w:vAlign w:val="bottom"/>
            <w:gridSpan w:val="2"/>
          </w:tcPr>
          <w:p>
            <w:pPr>
              <w:ind w:left="440"/>
              <w:spacing w:after="0"/>
              <w:rPr>
                <w:sz w:val="20"/>
                <w:szCs w:val="20"/>
                <w:color w:val="auto"/>
              </w:rPr>
            </w:pPr>
            <w:r>
              <w:rPr>
                <w:rFonts w:ascii="Arial" w:cs="Arial" w:eastAsia="Arial" w:hAnsi="Arial"/>
                <w:sz w:val="18"/>
                <w:szCs w:val="18"/>
                <w:color w:val="auto"/>
              </w:rPr>
              <w:t>Abstain</w:t>
            </w:r>
          </w:p>
        </w:tc>
        <w:tc>
          <w:tcPr>
            <w:tcW w:w="1560" w:type="dxa"/>
            <w:vAlign w:val="bottom"/>
            <w:gridSpan w:val="2"/>
          </w:tcPr>
          <w:p>
            <w:pPr>
              <w:ind w:left="80"/>
              <w:spacing w:after="0"/>
              <w:rPr>
                <w:sz w:val="20"/>
                <w:szCs w:val="20"/>
                <w:color w:val="auto"/>
              </w:rPr>
            </w:pPr>
            <w:r>
              <w:rPr>
                <w:rFonts w:ascii="Arial" w:cs="Arial" w:eastAsia="Arial" w:hAnsi="Arial"/>
                <w:sz w:val="18"/>
                <w:szCs w:val="18"/>
                <w:color w:val="auto"/>
              </w:rPr>
              <w:t>Broker Non-Votes</w:t>
            </w:r>
          </w:p>
        </w:tc>
      </w:tr>
      <w:tr>
        <w:trPr>
          <w:trHeight w:val="210"/>
        </w:trPr>
        <w:tc>
          <w:tcPr>
            <w:tcW w:w="46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Elaine V. Jones, Ph.D.</w:t>
            </w:r>
          </w:p>
        </w:tc>
        <w:tc>
          <w:tcPr>
            <w:tcW w:w="148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rPr>
              <w:t>15,606,215</w:t>
            </w:r>
          </w:p>
        </w:tc>
        <w:tc>
          <w:tcPr>
            <w:tcW w:w="24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rPr>
              <w:t>2,167,379</w:t>
            </w:r>
          </w:p>
        </w:tc>
        <w:tc>
          <w:tcPr>
            <w:tcW w:w="20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rPr>
              <w:t>13,993</w:t>
            </w:r>
          </w:p>
        </w:tc>
        <w:tc>
          <w:tcPr>
            <w:tcW w:w="20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4,303,808</w:t>
            </w:r>
          </w:p>
        </w:tc>
        <w:tc>
          <w:tcPr>
            <w:tcW w:w="100" w:type="dxa"/>
            <w:vAlign w:val="bottom"/>
            <w:tcBorders>
              <w:top w:val="single" w:sz="8" w:color="CCEEFF"/>
            </w:tcBorders>
            <w:shd w:val="clear" w:color="auto" w:fill="CCEEFF"/>
          </w:tcPr>
          <w:p>
            <w:pPr>
              <w:spacing w:after="0"/>
              <w:rPr>
                <w:sz w:val="18"/>
                <w:szCs w:val="18"/>
                <w:color w:val="auto"/>
              </w:rPr>
            </w:pPr>
          </w:p>
        </w:tc>
      </w:tr>
      <w:tr>
        <w:trPr>
          <w:trHeight w:val="230"/>
        </w:trPr>
        <w:tc>
          <w:tcPr>
            <w:tcW w:w="4620" w:type="dxa"/>
            <w:vAlign w:val="bottom"/>
          </w:tcPr>
          <w:p>
            <w:pPr>
              <w:spacing w:after="0"/>
              <w:rPr>
                <w:sz w:val="20"/>
                <w:szCs w:val="20"/>
                <w:color w:val="auto"/>
              </w:rPr>
            </w:pPr>
            <w:r>
              <w:rPr>
                <w:rFonts w:ascii="Arial" w:cs="Arial" w:eastAsia="Arial" w:hAnsi="Arial"/>
                <w:sz w:val="18"/>
                <w:szCs w:val="18"/>
                <w:color w:val="auto"/>
              </w:rPr>
              <w:t>Chau Q. Khuong</w:t>
            </w:r>
          </w:p>
        </w:tc>
        <w:tc>
          <w:tcPr>
            <w:tcW w:w="1480" w:type="dxa"/>
            <w:vAlign w:val="bottom"/>
          </w:tcPr>
          <w:p>
            <w:pPr>
              <w:jc w:val="right"/>
              <w:ind w:right="190"/>
              <w:spacing w:after="0"/>
              <w:rPr>
                <w:sz w:val="20"/>
                <w:szCs w:val="20"/>
                <w:color w:val="auto"/>
              </w:rPr>
            </w:pPr>
            <w:r>
              <w:rPr>
                <w:rFonts w:ascii="Arial" w:cs="Arial" w:eastAsia="Arial" w:hAnsi="Arial"/>
                <w:sz w:val="18"/>
                <w:szCs w:val="18"/>
                <w:color w:val="auto"/>
              </w:rPr>
              <w:t>16,317,616</w:t>
            </w:r>
          </w:p>
        </w:tc>
        <w:tc>
          <w:tcPr>
            <w:tcW w:w="240" w:type="dxa"/>
            <w:vAlign w:val="bottom"/>
          </w:tcPr>
          <w:p>
            <w:pPr>
              <w:spacing w:after="0"/>
              <w:rPr>
                <w:sz w:val="20"/>
                <w:szCs w:val="20"/>
                <w:color w:val="auto"/>
              </w:rPr>
            </w:pPr>
          </w:p>
        </w:tc>
        <w:tc>
          <w:tcPr>
            <w:tcW w:w="1480" w:type="dxa"/>
            <w:vAlign w:val="bottom"/>
          </w:tcPr>
          <w:p>
            <w:pPr>
              <w:ind w:left="440"/>
              <w:spacing w:after="0"/>
              <w:rPr>
                <w:sz w:val="20"/>
                <w:szCs w:val="20"/>
                <w:color w:val="auto"/>
              </w:rPr>
            </w:pPr>
            <w:r>
              <w:rPr>
                <w:rFonts w:ascii="Arial" w:cs="Arial" w:eastAsia="Arial" w:hAnsi="Arial"/>
                <w:sz w:val="18"/>
                <w:szCs w:val="18"/>
                <w:color w:val="auto"/>
              </w:rPr>
              <w:t>1,456,078</w:t>
            </w:r>
          </w:p>
        </w:tc>
        <w:tc>
          <w:tcPr>
            <w:tcW w:w="200" w:type="dxa"/>
            <w:vAlign w:val="bottom"/>
          </w:tcPr>
          <w:p>
            <w:pPr>
              <w:spacing w:after="0"/>
              <w:rPr>
                <w:sz w:val="20"/>
                <w:szCs w:val="20"/>
                <w:color w:val="auto"/>
              </w:rPr>
            </w:pPr>
          </w:p>
        </w:tc>
        <w:tc>
          <w:tcPr>
            <w:tcW w:w="1460" w:type="dxa"/>
            <w:vAlign w:val="bottom"/>
          </w:tcPr>
          <w:p>
            <w:pPr>
              <w:jc w:val="right"/>
              <w:ind w:right="330"/>
              <w:spacing w:after="0"/>
              <w:rPr>
                <w:sz w:val="20"/>
                <w:szCs w:val="20"/>
                <w:color w:val="auto"/>
              </w:rPr>
            </w:pPr>
            <w:r>
              <w:rPr>
                <w:rFonts w:ascii="Arial" w:cs="Arial" w:eastAsia="Arial" w:hAnsi="Arial"/>
                <w:sz w:val="18"/>
                <w:szCs w:val="18"/>
                <w:color w:val="auto"/>
              </w:rPr>
              <w:t>13,893</w:t>
            </w:r>
          </w:p>
        </w:tc>
        <w:tc>
          <w:tcPr>
            <w:tcW w:w="200" w:type="dxa"/>
            <w:vAlign w:val="bottom"/>
          </w:tcPr>
          <w:p>
            <w:pPr>
              <w:spacing w:after="0"/>
              <w:rPr>
                <w:sz w:val="20"/>
                <w:szCs w:val="20"/>
                <w:color w:val="auto"/>
              </w:rPr>
            </w:pPr>
          </w:p>
        </w:tc>
        <w:tc>
          <w:tcPr>
            <w:tcW w:w="1460" w:type="dxa"/>
            <w:vAlign w:val="bottom"/>
          </w:tcPr>
          <w:p>
            <w:pPr>
              <w:jc w:val="right"/>
              <w:ind w:right="230"/>
              <w:spacing w:after="0"/>
              <w:rPr>
                <w:sz w:val="20"/>
                <w:szCs w:val="20"/>
                <w:color w:val="auto"/>
              </w:rPr>
            </w:pPr>
            <w:r>
              <w:rPr>
                <w:rFonts w:ascii="Arial" w:cs="Arial" w:eastAsia="Arial" w:hAnsi="Arial"/>
                <w:sz w:val="18"/>
                <w:szCs w:val="18"/>
                <w:color w:val="auto"/>
              </w:rPr>
              <w:t>4,303,808</w:t>
            </w:r>
          </w:p>
        </w:tc>
        <w:tc>
          <w:tcPr>
            <w:tcW w:w="100" w:type="dxa"/>
            <w:vAlign w:val="bottom"/>
          </w:tcPr>
          <w:p>
            <w:pPr>
              <w:spacing w:after="0"/>
              <w:rPr>
                <w:sz w:val="20"/>
                <w:szCs w:val="20"/>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Proposal No. 2: Ratification of Appointment of Independent Registered Public Accounting Firm</w:t>
      </w:r>
    </w:p>
    <w:p>
      <w:pPr>
        <w:spacing w:after="0" w:line="225"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Company’s stockholders ratified the appointment of Ernst &amp; Young LLP as the Company’s independent registered public accounting firm for the fiscal year ending December 31, 2021. The results of the vote were as follows: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20" w:type="dxa"/>
            <w:vAlign w:val="bottom"/>
          </w:tcPr>
          <w:p>
            <w:pPr>
              <w:spacing w:after="0"/>
              <w:rPr>
                <w:sz w:val="20"/>
                <w:szCs w:val="20"/>
                <w:color w:val="auto"/>
              </w:rPr>
            </w:pPr>
          </w:p>
        </w:tc>
        <w:tc>
          <w:tcPr>
            <w:tcW w:w="2200" w:type="dxa"/>
            <w:vAlign w:val="bottom"/>
            <w:gridSpan w:val="2"/>
          </w:tcPr>
          <w:p>
            <w:pPr>
              <w:jc w:val="center"/>
              <w:ind w:right="200"/>
              <w:spacing w:after="0"/>
              <w:rPr>
                <w:sz w:val="20"/>
                <w:szCs w:val="20"/>
                <w:color w:val="auto"/>
              </w:rPr>
            </w:pPr>
            <w:r>
              <w:rPr>
                <w:rFonts w:ascii="Arial" w:cs="Arial" w:eastAsia="Arial" w:hAnsi="Arial"/>
                <w:sz w:val="18"/>
                <w:szCs w:val="18"/>
                <w:color w:val="auto"/>
                <w:w w:val="88"/>
              </w:rPr>
              <w:t>For</w:t>
            </w:r>
          </w:p>
        </w:tc>
        <w:tc>
          <w:tcPr>
            <w:tcW w:w="2120" w:type="dxa"/>
            <w:vAlign w:val="bottom"/>
            <w:gridSpan w:val="2"/>
          </w:tcPr>
          <w:p>
            <w:pPr>
              <w:ind w:left="700"/>
              <w:spacing w:after="0"/>
              <w:rPr>
                <w:sz w:val="20"/>
                <w:szCs w:val="20"/>
                <w:color w:val="auto"/>
              </w:rPr>
            </w:pPr>
            <w:r>
              <w:rPr>
                <w:rFonts w:ascii="Arial" w:cs="Arial" w:eastAsia="Arial" w:hAnsi="Arial"/>
                <w:sz w:val="18"/>
                <w:szCs w:val="18"/>
                <w:color w:val="auto"/>
              </w:rPr>
              <w:t>Against</w:t>
            </w:r>
          </w:p>
        </w:tc>
        <w:tc>
          <w:tcPr>
            <w:tcW w:w="2080" w:type="dxa"/>
            <w:vAlign w:val="bottom"/>
            <w:gridSpan w:val="2"/>
          </w:tcPr>
          <w:p>
            <w:pPr>
              <w:ind w:left="680"/>
              <w:spacing w:after="0"/>
              <w:rPr>
                <w:sz w:val="20"/>
                <w:szCs w:val="20"/>
                <w:color w:val="auto"/>
              </w:rPr>
            </w:pPr>
            <w:r>
              <w:rPr>
                <w:rFonts w:ascii="Arial" w:cs="Arial" w:eastAsia="Arial" w:hAnsi="Arial"/>
                <w:sz w:val="18"/>
                <w:szCs w:val="18"/>
                <w:color w:val="auto"/>
              </w:rPr>
              <w:t>Abstain</w:t>
            </w:r>
          </w:p>
        </w:tc>
        <w:tc>
          <w:tcPr>
            <w:tcW w:w="2020" w:type="dxa"/>
            <w:vAlign w:val="bottom"/>
            <w:gridSpan w:val="2"/>
          </w:tcPr>
          <w:p>
            <w:pPr>
              <w:ind w:left="320"/>
              <w:spacing w:after="0"/>
              <w:rPr>
                <w:sz w:val="20"/>
                <w:szCs w:val="20"/>
                <w:color w:val="auto"/>
              </w:rPr>
            </w:pPr>
            <w:r>
              <w:rPr>
                <w:rFonts w:ascii="Arial" w:cs="Arial" w:eastAsia="Arial" w:hAnsi="Arial"/>
                <w:sz w:val="18"/>
                <w:szCs w:val="18"/>
                <w:color w:val="auto"/>
              </w:rPr>
              <w:t>Broker Non-Votes</w:t>
            </w:r>
          </w:p>
        </w:tc>
        <w:tc>
          <w:tcPr>
            <w:tcW w:w="1400" w:type="dxa"/>
            <w:vAlign w:val="bottom"/>
          </w:tcPr>
          <w:p>
            <w:pPr>
              <w:spacing w:after="0"/>
              <w:rPr>
                <w:sz w:val="20"/>
                <w:szCs w:val="20"/>
                <w:color w:val="auto"/>
              </w:rPr>
            </w:pPr>
          </w:p>
        </w:tc>
      </w:tr>
      <w:tr>
        <w:trPr>
          <w:trHeight w:val="210"/>
        </w:trPr>
        <w:tc>
          <w:tcPr>
            <w:tcW w:w="1420" w:type="dxa"/>
            <w:vAlign w:val="bottom"/>
          </w:tcPr>
          <w:p>
            <w:pPr>
              <w:spacing w:after="0"/>
              <w:rPr>
                <w:sz w:val="18"/>
                <w:szCs w:val="18"/>
                <w:color w:val="auto"/>
              </w:rPr>
            </w:pPr>
          </w:p>
        </w:tc>
        <w:tc>
          <w:tcPr>
            <w:tcW w:w="2020" w:type="dxa"/>
            <w:vAlign w:val="bottom"/>
            <w:tcBorders>
              <w:top w:val="single" w:sz="8" w:color="auto"/>
            </w:tcBorders>
            <w:shd w:val="clear" w:color="auto" w:fill="CCEEFF"/>
          </w:tcPr>
          <w:p>
            <w:pPr>
              <w:jc w:val="right"/>
              <w:ind w:right="530"/>
              <w:spacing w:after="0"/>
              <w:rPr>
                <w:sz w:val="20"/>
                <w:szCs w:val="20"/>
                <w:color w:val="auto"/>
              </w:rPr>
            </w:pPr>
            <w:r>
              <w:rPr>
                <w:rFonts w:ascii="Arial" w:cs="Arial" w:eastAsia="Arial" w:hAnsi="Arial"/>
                <w:sz w:val="18"/>
                <w:szCs w:val="18"/>
                <w:color w:val="auto"/>
              </w:rPr>
              <w:t>21,953,903</w:t>
            </w:r>
          </w:p>
        </w:tc>
        <w:tc>
          <w:tcPr>
            <w:tcW w:w="180" w:type="dxa"/>
            <w:vAlign w:val="bottom"/>
            <w:tcBorders>
              <w:top w:val="single" w:sz="8" w:color="CCEEFF"/>
            </w:tcBorders>
            <w:shd w:val="clear" w:color="auto" w:fill="CCEEFF"/>
          </w:tcPr>
          <w:p>
            <w:pPr>
              <w:spacing w:after="0"/>
              <w:rPr>
                <w:sz w:val="18"/>
                <w:szCs w:val="18"/>
                <w:color w:val="auto"/>
              </w:rPr>
            </w:pPr>
          </w:p>
        </w:tc>
        <w:tc>
          <w:tcPr>
            <w:tcW w:w="1940" w:type="dxa"/>
            <w:vAlign w:val="bottom"/>
            <w:tcBorders>
              <w:top w:val="single" w:sz="8" w:color="auto"/>
            </w:tcBorders>
            <w:shd w:val="clear" w:color="auto" w:fill="CCEEFF"/>
          </w:tcPr>
          <w:p>
            <w:pPr>
              <w:jc w:val="right"/>
              <w:ind w:right="590"/>
              <w:spacing w:after="0"/>
              <w:rPr>
                <w:sz w:val="20"/>
                <w:szCs w:val="20"/>
                <w:color w:val="auto"/>
              </w:rPr>
            </w:pPr>
            <w:r>
              <w:rPr>
                <w:rFonts w:ascii="Arial" w:cs="Arial" w:eastAsia="Arial" w:hAnsi="Arial"/>
                <w:sz w:val="18"/>
                <w:szCs w:val="18"/>
                <w:color w:val="auto"/>
              </w:rPr>
              <w:t>11,361</w:t>
            </w:r>
          </w:p>
        </w:tc>
        <w:tc>
          <w:tcPr>
            <w:tcW w:w="180" w:type="dxa"/>
            <w:vAlign w:val="bottom"/>
            <w:tcBorders>
              <w:top w:val="single" w:sz="8" w:color="CCEEFF"/>
            </w:tcBorders>
            <w:shd w:val="clear" w:color="auto" w:fill="CCEEFF"/>
          </w:tcPr>
          <w:p>
            <w:pPr>
              <w:spacing w:after="0"/>
              <w:rPr>
                <w:sz w:val="18"/>
                <w:szCs w:val="18"/>
                <w:color w:val="auto"/>
              </w:rPr>
            </w:pPr>
          </w:p>
        </w:tc>
        <w:tc>
          <w:tcPr>
            <w:tcW w:w="1920" w:type="dxa"/>
            <w:vAlign w:val="bottom"/>
            <w:tcBorders>
              <w:top w:val="single" w:sz="8" w:color="auto"/>
            </w:tcBorders>
            <w:shd w:val="clear" w:color="auto" w:fill="CCEEFF"/>
          </w:tcPr>
          <w:p>
            <w:pPr>
              <w:jc w:val="right"/>
              <w:ind w:right="530"/>
              <w:spacing w:after="0"/>
              <w:rPr>
                <w:sz w:val="20"/>
                <w:szCs w:val="20"/>
                <w:color w:val="auto"/>
              </w:rPr>
            </w:pPr>
            <w:r>
              <w:rPr>
                <w:rFonts w:ascii="Arial" w:cs="Arial" w:eastAsia="Arial" w:hAnsi="Arial"/>
                <w:sz w:val="18"/>
                <w:szCs w:val="18"/>
                <w:color w:val="auto"/>
              </w:rPr>
              <w:t>126,131</w:t>
            </w:r>
          </w:p>
        </w:tc>
        <w:tc>
          <w:tcPr>
            <w:tcW w:w="160" w:type="dxa"/>
            <w:vAlign w:val="bottom"/>
            <w:tcBorders>
              <w:top w:val="single" w:sz="8" w:color="CCEEFF"/>
            </w:tcBorders>
            <w:shd w:val="clear" w:color="auto" w:fill="CCEEFF"/>
          </w:tcPr>
          <w:p>
            <w:pPr>
              <w:spacing w:after="0"/>
              <w:rPr>
                <w:sz w:val="18"/>
                <w:szCs w:val="18"/>
                <w:color w:val="auto"/>
              </w:rPr>
            </w:pPr>
          </w:p>
        </w:tc>
        <w:tc>
          <w:tcPr>
            <w:tcW w:w="1940" w:type="dxa"/>
            <w:vAlign w:val="bottom"/>
            <w:tcBorders>
              <w:top w:val="single" w:sz="8" w:color="auto"/>
            </w:tcBorders>
            <w:shd w:val="clear" w:color="auto" w:fill="CCEEFF"/>
          </w:tcPr>
          <w:p>
            <w:pPr>
              <w:ind w:left="960"/>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CEEFF"/>
            </w:tcBorders>
            <w:shd w:val="clear" w:color="auto" w:fill="CCEEFF"/>
          </w:tcPr>
          <w:p>
            <w:pPr>
              <w:spacing w:after="0"/>
              <w:rPr>
                <w:sz w:val="18"/>
                <w:szCs w:val="18"/>
                <w:color w:val="auto"/>
              </w:rPr>
            </w:pPr>
          </w:p>
        </w:tc>
        <w:tc>
          <w:tcPr>
            <w:tcW w:w="1400" w:type="dxa"/>
            <w:vAlign w:val="bottom"/>
          </w:tcPr>
          <w:p>
            <w:pPr>
              <w:spacing w:after="0"/>
              <w:rPr>
                <w:sz w:val="18"/>
                <w:szCs w:val="18"/>
                <w:color w:val="auto"/>
              </w:rPr>
            </w:pPr>
          </w:p>
        </w:tc>
      </w:tr>
      <w:tr>
        <w:trPr>
          <w:trHeight w:val="432"/>
        </w:trPr>
        <w:tc>
          <w:tcPr>
            <w:tcW w:w="142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jc w:val="center"/>
        <w:ind w:right="-6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NEXTCURE,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Date: June 25, 2021</w:t>
      </w:r>
    </w:p>
    <w:p>
      <w:pPr>
        <w:spacing w:after="0" w:line="22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Steven P. Cobourn</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0600"/>
      </w:cols>
      <w:pgMar w:left="320" w:top="904" w:right="9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2021-06-25T15:06:50Z</dcterms:created>
  <dcterms:modified xsi:type="dcterms:W3CDTF">2021-06-25T15:06:50Z</dcterms:modified>
</cp:coreProperties>
</file>