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SEC Form 4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49" w:lineRule="exact"/>
        <w:rPr>
          <w:sz w:val="24"/>
          <w:szCs w:val="24"/>
          <w:color w:val="auto"/>
        </w:rPr>
      </w:pPr>
    </w:p>
    <w:p>
      <w:pPr>
        <w:ind w:left="360"/>
        <w:spacing w:after="0" w:line="22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34925</wp:posOffset>
            </wp:positionH>
            <wp:positionV relativeFrom="paragraph">
              <wp:posOffset>-233045</wp:posOffset>
            </wp:positionV>
            <wp:extent cx="130810" cy="130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" cy="130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53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4"/>
        </w:trPr>
        <w:tc>
          <w:tcPr>
            <w:tcW w:w="6280" w:type="dxa"/>
            <w:vAlign w:val="bottom"/>
          </w:tcPr>
          <w:p>
            <w:pPr>
              <w:jc w:val="center"/>
              <w:ind w:right="15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  <w:w w:val="97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280" w:type="dxa"/>
            <w:vAlign w:val="bottom"/>
            <w:vMerge w:val="restart"/>
          </w:tcPr>
          <w:p>
            <w:pPr>
              <w:jc w:val="center"/>
              <w:ind w:right="156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8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5"/>
        </w:trPr>
        <w:tc>
          <w:tcPr>
            <w:tcW w:w="62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40" w:type="dxa"/>
            <w:vAlign w:val="bottom"/>
            <w:gridSpan w:val="3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5"/>
        </w:trPr>
        <w:tc>
          <w:tcPr>
            <w:tcW w:w="62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280" w:type="dxa"/>
            <w:vAlign w:val="bottom"/>
            <w:vMerge w:val="restart"/>
          </w:tcPr>
          <w:p>
            <w:pPr>
              <w:jc w:val="center"/>
              <w:ind w:right="17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  <w:w w:val="97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2"/>
        </w:trPr>
        <w:tc>
          <w:tcPr>
            <w:tcW w:w="628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60" w:type="dxa"/>
            <w:vAlign w:val="bottom"/>
          </w:tcPr>
          <w:p>
            <w:pPr>
              <w:jc w:val="right"/>
              <w:ind w:right="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5"/>
        </w:trPr>
        <w:tc>
          <w:tcPr>
            <w:tcW w:w="62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4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5"/>
        </w:trPr>
        <w:tc>
          <w:tcPr>
            <w:tcW w:w="6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1"/>
        </w:trPr>
        <w:tc>
          <w:tcPr>
            <w:tcW w:w="6280" w:type="dxa"/>
            <w:vAlign w:val="bottom"/>
            <w:vMerge w:val="restart"/>
          </w:tcPr>
          <w:p>
            <w:pPr>
              <w:jc w:val="center"/>
              <w:ind w:right="17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9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60" w:type="dxa"/>
            <w:vAlign w:val="bottom"/>
          </w:tcPr>
          <w:p>
            <w:pPr>
              <w:jc w:val="right"/>
              <w:ind w:right="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"/>
        </w:trPr>
        <w:tc>
          <w:tcPr>
            <w:tcW w:w="62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2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5266690</wp:posOffset>
            </wp:positionH>
            <wp:positionV relativeFrom="paragraph">
              <wp:posOffset>-626110</wp:posOffset>
            </wp:positionV>
            <wp:extent cx="58420" cy="639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639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3980815</wp:posOffset>
            </wp:positionH>
            <wp:positionV relativeFrom="paragraph">
              <wp:posOffset>-626110</wp:posOffset>
            </wp:positionV>
            <wp:extent cx="58420" cy="6394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639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-1635760</wp:posOffset>
            </wp:positionH>
            <wp:positionV relativeFrom="paragraph">
              <wp:posOffset>15875</wp:posOffset>
            </wp:positionV>
            <wp:extent cx="7046595" cy="47421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6595" cy="4742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5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260" w:space="300"/>
            <w:col w:w="8520"/>
          </w:cols>
          <w:pgMar w:left="460" w:top="221" w:right="359" w:bottom="1440" w:gutter="0" w:footer="0" w:header="0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4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540" w:type="dxa"/>
            <w:vAlign w:val="bottom"/>
            <w:gridSpan w:val="7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8"/>
              </w:rPr>
              <w:t>1. Name and Address of Reporting Person</w:t>
            </w:r>
            <w:r>
              <w:rPr>
                <w:rFonts w:ascii="Arial" w:cs="Arial" w:eastAsia="Arial" w:hAnsi="Arial"/>
                <w:sz w:val="21"/>
                <w:szCs w:val="21"/>
                <w:color w:val="auto"/>
                <w:w w:val="98"/>
                <w:vertAlign w:val="superscript"/>
              </w:rPr>
              <w:t>*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40" w:type="dxa"/>
            <w:vAlign w:val="bottom"/>
            <w:gridSpan w:val="8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2. Issuer Name </w:t>
            </w: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and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 Ticker or Trading Symbol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00" w:type="dxa"/>
            <w:vAlign w:val="bottom"/>
            <w:gridSpan w:val="10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5. Relationship of Reporting Person(s) to Issuer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60" w:type="dxa"/>
            <w:vAlign w:val="bottom"/>
            <w:gridSpan w:val="6"/>
            <w:vMerge w:val="restart"/>
          </w:tcPr>
          <w:p>
            <w:pPr>
              <w:ind w:left="20"/>
              <w:spacing w:after="0"/>
              <w:rPr>
                <w:rFonts w:ascii="Arial" w:cs="Arial" w:eastAsia="Arial" w:hAnsi="Arial"/>
                <w:sz w:val="21"/>
                <w:szCs w:val="21"/>
                <w:color w:val="0000EE"/>
              </w:rPr>
            </w:pPr>
            <w:hyperlink r:id="rId12">
              <w:r>
                <w:rPr>
                  <w:rFonts w:ascii="Arial" w:cs="Arial" w:eastAsia="Arial" w:hAnsi="Arial"/>
                  <w:sz w:val="21"/>
                  <w:szCs w:val="21"/>
                  <w:color w:val="0000EE"/>
                </w:rPr>
                <w:t>Nicholson Garry A</w:t>
              </w:r>
            </w:hyperlink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40" w:type="dxa"/>
            <w:vAlign w:val="bottom"/>
            <w:gridSpan w:val="6"/>
          </w:tcPr>
          <w:p>
            <w:pPr>
              <w:spacing w:after="0" w:line="103" w:lineRule="exact"/>
              <w:rPr>
                <w:rFonts w:ascii="Arial" w:cs="Arial" w:eastAsia="Arial" w:hAnsi="Arial"/>
                <w:sz w:val="11"/>
                <w:szCs w:val="11"/>
                <w:color w:val="0000EE"/>
              </w:rPr>
            </w:pPr>
            <w:hyperlink r:id="rId13">
              <w:r>
                <w:rPr>
                  <w:rFonts w:ascii="Arial" w:cs="Arial" w:eastAsia="Arial" w:hAnsi="Arial"/>
                  <w:sz w:val="11"/>
                  <w:szCs w:val="11"/>
                  <w:color w:val="0000EE"/>
                </w:rPr>
                <w:t xml:space="preserve">NextCure, Inc. </w:t>
              </w:r>
            </w:hyperlink>
            <w:r>
              <w:rPr>
                <w:rFonts w:ascii="Arial" w:cs="Arial" w:eastAsia="Arial" w:hAnsi="Arial"/>
                <w:sz w:val="11"/>
                <w:szCs w:val="11"/>
                <w:color w:val="000000"/>
              </w:rPr>
              <w:t>[</w:t>
            </w:r>
            <w:r>
              <w:rPr>
                <w:rFonts w:ascii="Arial" w:cs="Arial" w:eastAsia="Arial" w:hAnsi="Arial"/>
                <w:sz w:val="11"/>
                <w:szCs w:val="11"/>
                <w:color w:val="0000EE"/>
              </w:rPr>
              <w:t xml:space="preserve"> </w:t>
            </w:r>
            <w:r>
              <w:rPr>
                <w:rFonts w:ascii="Arial" w:cs="Arial" w:eastAsia="Arial" w:hAnsi="Arial"/>
                <w:sz w:val="9"/>
                <w:szCs w:val="9"/>
                <w:color w:val="0000FF"/>
              </w:rPr>
              <w:t>NXTC</w:t>
            </w:r>
            <w:r>
              <w:rPr>
                <w:rFonts w:ascii="Arial" w:cs="Arial" w:eastAsia="Arial" w:hAnsi="Arial"/>
                <w:sz w:val="11"/>
                <w:szCs w:val="11"/>
                <w:color w:val="0000EE"/>
              </w:rPr>
              <w:t xml:space="preserve"> </w:t>
            </w:r>
            <w:r>
              <w:rPr>
                <w:rFonts w:ascii="Arial" w:cs="Arial" w:eastAsia="Arial" w:hAnsi="Arial"/>
                <w:sz w:val="11"/>
                <w:szCs w:val="11"/>
                <w:color w:val="000000"/>
              </w:rPr>
              <w:t>]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40" w:type="dxa"/>
            <w:vAlign w:val="bottom"/>
            <w:gridSpan w:val="5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(Check all applicable)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60" w:type="dxa"/>
            <w:vAlign w:val="bottom"/>
            <w:gridSpan w:val="6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4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60" w:type="dxa"/>
            <w:vAlign w:val="bottom"/>
            <w:gridSpan w:val="6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60" w:type="dxa"/>
            <w:vAlign w:val="bottom"/>
            <w:gridSpan w:val="4"/>
            <w:vMerge w:val="restart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2"/>
                <w:szCs w:val="12"/>
                <w:color w:val="000000"/>
              </w:rPr>
              <w:t>Director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gridSpan w:val="4"/>
            <w:vMerge w:val="restart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60" w:type="dxa"/>
            <w:vAlign w:val="bottom"/>
            <w:gridSpan w:val="6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6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8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6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8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Officer (give title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80" w:type="dxa"/>
            <w:vAlign w:val="bottom"/>
            <w:gridSpan w:val="4"/>
            <w:vMerge w:val="restart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80" w:type="dxa"/>
            <w:vAlign w:val="bottom"/>
            <w:gridSpan w:val="4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40" w:type="dxa"/>
            <w:vAlign w:val="bottom"/>
            <w:gridSpan w:val="8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3. Date of Earliest Transaction (Month/Day/Year)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8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(Last)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20" w:type="dxa"/>
            <w:vAlign w:val="bottom"/>
            <w:gridSpan w:val="3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(First)</w:t>
            </w:r>
          </w:p>
        </w:tc>
        <w:tc>
          <w:tcPr>
            <w:tcW w:w="110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(Middle)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40" w:type="dxa"/>
            <w:vAlign w:val="bottom"/>
            <w:gridSpan w:val="8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ind w:left="140"/>
              <w:spacing w:after="0" w:line="12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220"/>
              <w:spacing w:after="0" w:line="12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00" w:type="dxa"/>
            <w:vAlign w:val="bottom"/>
            <w:gridSpan w:val="5"/>
            <w:vMerge w:val="restart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06/24/2021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460" w:type="dxa"/>
            <w:vAlign w:val="bottom"/>
            <w:gridSpan w:val="6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C/O NEXTCURE, INC.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0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60" w:type="dxa"/>
            <w:vAlign w:val="bottom"/>
            <w:gridSpan w:val="6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560" w:type="dxa"/>
            <w:vAlign w:val="bottom"/>
            <w:gridSpan w:val="7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9000 VIRGINIA MANOR ROAD, SUITE 200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56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520" w:type="dxa"/>
            <w:vAlign w:val="bottom"/>
            <w:gridSpan w:val="9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4. If Amendment, Date of Original Filed (Month/Day/Year)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0" w:type="dxa"/>
            <w:vAlign w:val="bottom"/>
            <w:gridSpan w:val="10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520" w:type="dxa"/>
            <w:vAlign w:val="bottom"/>
            <w:gridSpan w:val="9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0" w:type="dxa"/>
            <w:vAlign w:val="bottom"/>
            <w:gridSpan w:val="10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  <w:vMerge w:val="restart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6"/>
              </w:rPr>
              <w:t>Line)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8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(Street)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400" w:type="dxa"/>
            <w:vAlign w:val="bottom"/>
            <w:gridSpan w:val="10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2"/>
                <w:szCs w:val="12"/>
                <w:color w:val="000000"/>
              </w:rPr>
              <w:t>Form filed by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4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BELTSVILLE</w:t>
            </w:r>
          </w:p>
        </w:tc>
        <w:tc>
          <w:tcPr>
            <w:tcW w:w="12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MD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20705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960" w:type="dxa"/>
            <w:vAlign w:val="bottom"/>
            <w:gridSpan w:val="7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Form filed by More than One Reporting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ind w:left="14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Person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(City)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(State)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(Zip)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2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40" w:type="dxa"/>
            <w:vAlign w:val="bottom"/>
            <w:tcBorders>
              <w:top w:val="single" w:sz="8" w:color="2C2C2C"/>
            </w:tcBorders>
            <w:gridSpan w:val="19"/>
          </w:tcPr>
          <w:p>
            <w:pPr>
              <w:ind w:left="6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  <w:w w:val="99"/>
              </w:rPr>
              <w:t>Table I - Non-Derivative Securities Acquired, Disposed of, or Beneficially Owned</w:t>
            </w:r>
          </w:p>
        </w:tc>
        <w:tc>
          <w:tcPr>
            <w:tcW w:w="5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540" w:type="dxa"/>
            <w:vAlign w:val="bottom"/>
            <w:gridSpan w:val="7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820" w:type="dxa"/>
            <w:vAlign w:val="bottom"/>
            <w:gridSpan w:val="5"/>
          </w:tcPr>
          <w:p>
            <w:pPr>
              <w:ind w:left="7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92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20" w:type="dxa"/>
            <w:vAlign w:val="bottom"/>
            <w:gridSpan w:val="5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ind w:left="760"/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20" w:type="dxa"/>
            <w:vAlign w:val="bottom"/>
            <w:gridSpan w:val="3"/>
          </w:tcPr>
          <w:p>
            <w:pPr>
              <w:ind w:left="20"/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Execution Date,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1820" w:type="dxa"/>
            <w:vAlign w:val="bottom"/>
            <w:gridSpan w:val="5"/>
          </w:tcPr>
          <w:p>
            <w:pPr>
              <w:ind w:left="40"/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ind w:left="60"/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4"/>
              </w:rPr>
              <w:t>Securities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40" w:type="dxa"/>
            <w:vAlign w:val="bottom"/>
            <w:gridSpan w:val="2"/>
          </w:tcPr>
          <w:p>
            <w:pPr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20" w:type="dxa"/>
            <w:vAlign w:val="bottom"/>
            <w:gridSpan w:val="5"/>
          </w:tcPr>
          <w:p>
            <w:pPr>
              <w:ind w:left="7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580" w:type="dxa"/>
            <w:vAlign w:val="bottom"/>
          </w:tcPr>
          <w:p>
            <w:pPr>
              <w:ind w:left="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540" w:type="dxa"/>
            <w:vAlign w:val="bottom"/>
          </w:tcPr>
          <w:p>
            <w:pPr>
              <w:ind w:left="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  <w:gridSpan w:val="5"/>
          </w:tcPr>
          <w:p>
            <w:pPr>
              <w:ind w:left="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  8)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  <w:vMerge w:val="restart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680" w:type="dxa"/>
            <w:vAlign w:val="bottom"/>
          </w:tcPr>
          <w:p>
            <w:pPr>
              <w:ind w:left="30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600" w:type="dxa"/>
            <w:vAlign w:val="bottom"/>
            <w:gridSpan w:val="3"/>
            <w:vMerge w:val="restart"/>
          </w:tcPr>
          <w:p>
            <w:pPr>
              <w:jc w:val="right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6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9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bottom w:val="single" w:sz="8" w:color="2C2C2C"/>
            </w:tcBorders>
            <w:gridSpan w:val="6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4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040" w:type="dxa"/>
            <w:vAlign w:val="bottom"/>
            <w:tcBorders>
              <w:top w:val="single" w:sz="8" w:color="2C2C2C"/>
            </w:tcBorders>
            <w:gridSpan w:val="19"/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5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480" w:type="dxa"/>
            <w:vAlign w:val="bottom"/>
            <w:gridSpan w:val="16"/>
          </w:tcPr>
          <w:p>
            <w:pPr>
              <w:jc w:val="right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6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1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4.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20" w:type="dxa"/>
            <w:vAlign w:val="bottom"/>
            <w:gridSpan w:val="3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460" w:type="dxa"/>
            <w:vAlign w:val="bottom"/>
            <w:gridSpan w:val="4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1280" w:type="dxa"/>
            <w:vAlign w:val="bottom"/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 Amount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gridSpan w:val="3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080" w:type="dxa"/>
            <w:vAlign w:val="bottom"/>
            <w:gridSpan w:val="2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0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720" w:type="dxa"/>
            <w:vAlign w:val="bottom"/>
            <w:gridSpan w:val="4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4"/>
              </w:rPr>
              <w:t>Transaction</w:t>
            </w:r>
          </w:p>
        </w:tc>
        <w:tc>
          <w:tcPr>
            <w:tcW w:w="580" w:type="dxa"/>
            <w:vAlign w:val="bottom"/>
          </w:tcPr>
          <w:p>
            <w:pPr>
              <w:ind w:left="1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gridSpan w:val="3"/>
          </w:tcPr>
          <w:p>
            <w:pPr>
              <w:ind w:left="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Expiration Date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gridSpan w:val="4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Securities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580" w:type="dxa"/>
            <w:vAlign w:val="bottom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derivative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3"/>
              </w:rPr>
              <w:t>Ownership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ind w:left="1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gridSpan w:val="3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080" w:type="dxa"/>
            <w:vAlign w:val="bottom"/>
            <w:gridSpan w:val="2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110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20" w:type="dxa"/>
            <w:vAlign w:val="bottom"/>
            <w:gridSpan w:val="4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Code (Instr.</w:t>
            </w:r>
          </w:p>
        </w:tc>
        <w:tc>
          <w:tcPr>
            <w:tcW w:w="920" w:type="dxa"/>
            <w:vAlign w:val="bottom"/>
            <w:gridSpan w:val="3"/>
          </w:tcPr>
          <w:p>
            <w:pPr>
              <w:ind w:left="1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460" w:type="dxa"/>
            <w:vAlign w:val="bottom"/>
            <w:gridSpan w:val="4"/>
          </w:tcPr>
          <w:p>
            <w:pPr>
              <w:ind w:left="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Underlying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580" w:type="dxa"/>
            <w:vAlign w:val="bottom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Securities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ind w:left="1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gridSpan w:val="3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64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80" w:type="dxa"/>
            <w:vAlign w:val="bottom"/>
            <w:gridSpan w:val="2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3"/>
              </w:rPr>
              <w:t>8)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gridSpan w:val="3"/>
          </w:tcPr>
          <w:p>
            <w:pPr>
              <w:ind w:left="1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gridSpan w:val="4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 Security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ind w:left="1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4"/>
              </w:rPr>
              <w:t>Derivative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gridSpan w:val="3"/>
          </w:tcPr>
          <w:p>
            <w:pPr>
              <w:ind w:left="1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gridSpan w:val="4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or Indirect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ind w:left="1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ind w:left="1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Following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3"/>
              </w:rPr>
              <w:t>(I) (Instr. 4)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gridSpan w:val="3"/>
          </w:tcPr>
          <w:p>
            <w:pPr>
              <w:ind w:left="1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gridSpan w:val="3"/>
          </w:tcPr>
          <w:p>
            <w:pPr>
              <w:ind w:left="1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 (Instr.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gridSpan w:val="3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3, 4 and 5)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3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3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3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58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</w:t>
            </w:r>
          </w:p>
        </w:tc>
        <w:tc>
          <w:tcPr>
            <w:tcW w:w="3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60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Stock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Option</w:t>
            </w:r>
          </w:p>
        </w:tc>
        <w:tc>
          <w:tcPr>
            <w:tcW w:w="64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$</w:t>
            </w:r>
            <w:r>
              <w:rPr>
                <w:rFonts w:ascii="Arial" w:cs="Arial" w:eastAsia="Arial" w:hAnsi="Arial"/>
                <w:sz w:val="12"/>
                <w:szCs w:val="12"/>
                <w:color w:val="0000FF"/>
              </w:rPr>
              <w:t>8.21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gridSpan w:val="2"/>
          </w:tcPr>
          <w:p>
            <w:pPr>
              <w:jc w:val="right"/>
              <w:ind w:right="15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06/24/2021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2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A</w:t>
            </w:r>
          </w:p>
        </w:tc>
        <w:tc>
          <w:tcPr>
            <w:tcW w:w="58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14,250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  <w:w w:val="98"/>
              </w:rPr>
              <w:t>06/23/2031</w:t>
            </w: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Common</w:t>
            </w:r>
          </w:p>
        </w:tc>
        <w:tc>
          <w:tcPr>
            <w:tcW w:w="540" w:type="dxa"/>
            <w:vAlign w:val="bottom"/>
            <w:gridSpan w:val="2"/>
          </w:tcPr>
          <w:p>
            <w:pPr>
              <w:spacing w:after="0" w:line="18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9"/>
              </w:rPr>
              <w:t>14,250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$</w:t>
            </w:r>
            <w:r>
              <w:rPr>
                <w:rFonts w:ascii="Arial" w:cs="Arial" w:eastAsia="Arial" w:hAnsi="Arial"/>
                <w:sz w:val="12"/>
                <w:szCs w:val="12"/>
                <w:color w:val="0000FF"/>
              </w:rPr>
              <w:t>0</w:t>
            </w:r>
          </w:p>
        </w:tc>
        <w:tc>
          <w:tcPr>
            <w:tcW w:w="5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  <w:w w:val="85"/>
              </w:rPr>
              <w:t>14,250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D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80" w:type="dxa"/>
            <w:vAlign w:val="bottom"/>
            <w:gridSpan w:val="3"/>
          </w:tcPr>
          <w:p>
            <w:pPr>
              <w:ind w:left="60"/>
              <w:spacing w:after="0" w:line="10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0000FF"/>
              </w:rPr>
              <w:t>(Right to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160"/>
              <w:spacing w:after="0" w:line="10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0000FF"/>
              </w:rPr>
              <w:t>Stock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0000FF"/>
        </w:rPr>
        <w:t>Buy)</w:t>
      </w:r>
    </w:p>
    <w:p>
      <w:pPr>
        <w:spacing w:after="0" w:line="91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Explanation of Responses:</w:t>
      </w:r>
    </w:p>
    <w:p>
      <w:pPr>
        <w:spacing w:after="0" w:line="52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008000"/>
        </w:rPr>
        <w:t>1. The option vests in full on the earlier of June 24, 2022 and the date of the 2022 Annual Meeting of Stockholders.</w:t>
      </w:r>
    </w:p>
    <w:p>
      <w:pPr>
        <w:spacing w:after="0" w:line="70" w:lineRule="exact"/>
        <w:rPr>
          <w:sz w:val="20"/>
          <w:szCs w:val="20"/>
          <w:color w:val="auto"/>
        </w:rPr>
      </w:pPr>
    </w:p>
    <w:p>
      <w:pPr>
        <w:ind w:left="66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/s/ Steven P. Cobourn, as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4186555</wp:posOffset>
            </wp:positionH>
            <wp:positionV relativeFrom="paragraph">
              <wp:posOffset>-11430</wp:posOffset>
            </wp:positionV>
            <wp:extent cx="1058545" cy="825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545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6600"/>
        <w:spacing w:after="0"/>
        <w:tabs>
          <w:tab w:leader="none" w:pos="87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attorney-in fact for Garry A.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5"/>
          <w:szCs w:val="15"/>
          <w:color w:val="0000FF"/>
        </w:rPr>
        <w:t>06/28/2021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4186555</wp:posOffset>
            </wp:positionH>
            <wp:positionV relativeFrom="paragraph">
              <wp:posOffset>-15875</wp:posOffset>
            </wp:positionV>
            <wp:extent cx="1885315" cy="825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315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66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Nicholson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4186555</wp:posOffset>
            </wp:positionH>
            <wp:positionV relativeFrom="paragraph">
              <wp:posOffset>-15875</wp:posOffset>
            </wp:positionV>
            <wp:extent cx="437515" cy="825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43" w:lineRule="exact"/>
        <w:rPr>
          <w:sz w:val="20"/>
          <w:szCs w:val="20"/>
          <w:color w:val="auto"/>
        </w:rPr>
      </w:pPr>
    </w:p>
    <w:p>
      <w:pPr>
        <w:ind w:left="6600"/>
        <w:spacing w:after="0"/>
        <w:tabs>
          <w:tab w:leader="none" w:pos="87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** Signature of Reporting Person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Date</w:t>
      </w:r>
    </w:p>
    <w:p>
      <w:pPr>
        <w:spacing w:after="0" w:line="44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Reminder: Report on a separate line for each class of securities beneficially owned directly or indirectly.</w:t>
      </w:r>
    </w:p>
    <w:p>
      <w:pPr>
        <w:spacing w:after="0" w:line="30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4 (b)(v).</w:t>
      </w:r>
    </w:p>
    <w:p>
      <w:pPr>
        <w:spacing w:after="0" w:line="44" w:lineRule="exact"/>
        <w:rPr>
          <w:sz w:val="20"/>
          <w:szCs w:val="20"/>
          <w:color w:val="auto"/>
        </w:rPr>
      </w:pPr>
    </w:p>
    <w:p>
      <w:pPr>
        <w:jc w:val="both"/>
        <w:ind w:left="40" w:right="3600" w:firstLine="2"/>
        <w:spacing w:after="0" w:line="334" w:lineRule="auto"/>
        <w:tabs>
          <w:tab w:leader="none" w:pos="176" w:val="left"/>
        </w:tabs>
        <w:numPr>
          <w:ilvl w:val="0"/>
          <w:numId w:val="1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080"/>
      </w:cols>
      <w:pgMar w:left="460" w:top="221" w:right="35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327B23C6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2" Type="http://schemas.openxmlformats.org/officeDocument/2006/relationships/hyperlink" Target="http://www.sec.gov/cgi-bin/browse-edgar?action=getcompany&amp;CIK=0001640861" TargetMode="External"/><Relationship Id="rId13" Type="http://schemas.openxmlformats.org/officeDocument/2006/relationships/hyperlink" Target="http://www.sec.gov/cgi-bin/browse-edgar?action=getcompany&amp;CIK=0001661059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2021-06-28T17:20:04Z</dcterms:created>
  <dcterms:modified xsi:type="dcterms:W3CDTF">2021-06-28T17:20:04Z</dcterms:modified>
</cp:coreProperties>
</file>