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03"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2462530</wp:posOffset>
            </wp:positionH>
            <wp:positionV relativeFrom="page">
              <wp:posOffset>294640</wp:posOffset>
            </wp:positionV>
            <wp:extent cx="2588895" cy="5226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588895" cy="522605"/>
                    </a:xfrm>
                    <a:prstGeom prst="rect">
                      <a:avLst/>
                    </a:prstGeom>
                    <a:noFill/>
                  </pic:spPr>
                </pic:pic>
              </a:graphicData>
            </a:graphic>
          </wp:anchor>
        </w:drawing>
      </w:r>
    </w:p>
    <w:p>
      <w:pPr>
        <w:jc w:val="center"/>
        <w:ind w:left="480"/>
        <w:spacing w:after="0"/>
        <w:rPr>
          <w:sz w:val="20"/>
          <w:szCs w:val="20"/>
          <w:color w:val="auto"/>
        </w:rPr>
      </w:pPr>
      <w:r>
        <w:rPr>
          <w:rFonts w:ascii="Arial" w:cs="Arial" w:eastAsia="Arial" w:hAnsi="Arial"/>
          <w:sz w:val="18"/>
          <w:szCs w:val="18"/>
          <w:color w:val="auto"/>
        </w:rPr>
        <w:t>April 26, 2021</w:t>
      </w:r>
    </w:p>
    <w:p>
      <w:pPr>
        <w:spacing w:after="0" w:line="23" w:lineRule="exact"/>
        <w:rPr>
          <w:sz w:val="24"/>
          <w:szCs w:val="24"/>
          <w:color w:val="auto"/>
        </w:rPr>
      </w:pPr>
    </w:p>
    <w:p>
      <w:pPr>
        <w:ind w:left="140"/>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ind w:left="140"/>
        <w:spacing w:after="0"/>
        <w:rPr>
          <w:sz w:val="20"/>
          <w:szCs w:val="20"/>
          <w:color w:val="auto"/>
        </w:rPr>
      </w:pPr>
      <w:r>
        <w:rPr>
          <w:rFonts w:ascii="Arial" w:cs="Arial" w:eastAsia="Arial" w:hAnsi="Arial"/>
          <w:sz w:val="18"/>
          <w:szCs w:val="18"/>
          <w:color w:val="auto"/>
        </w:rPr>
        <w:t>Office of Life Sciences</w:t>
      </w:r>
    </w:p>
    <w:p>
      <w:pPr>
        <w:spacing w:after="0" w:line="9" w:lineRule="exact"/>
        <w:rPr>
          <w:sz w:val="24"/>
          <w:szCs w:val="24"/>
          <w:color w:val="auto"/>
        </w:rPr>
      </w:pPr>
    </w:p>
    <w:p>
      <w:pPr>
        <w:ind w:left="140"/>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ind w:left="140"/>
        <w:spacing w:after="0"/>
        <w:rPr>
          <w:sz w:val="20"/>
          <w:szCs w:val="20"/>
          <w:color w:val="auto"/>
        </w:rPr>
      </w:pPr>
      <w:r>
        <w:rPr>
          <w:rFonts w:ascii="Arial" w:cs="Arial" w:eastAsia="Arial" w:hAnsi="Arial"/>
          <w:sz w:val="18"/>
          <w:szCs w:val="18"/>
          <w:color w:val="auto"/>
        </w:rPr>
        <w:t>100 F Street, NE</w:t>
      </w:r>
    </w:p>
    <w:p>
      <w:pPr>
        <w:spacing w:after="0" w:line="9" w:lineRule="exact"/>
        <w:rPr>
          <w:sz w:val="24"/>
          <w:szCs w:val="24"/>
          <w:color w:val="auto"/>
        </w:rPr>
      </w:pPr>
    </w:p>
    <w:p>
      <w:pPr>
        <w:ind w:left="140"/>
        <w:spacing w:after="0"/>
        <w:rPr>
          <w:sz w:val="20"/>
          <w:szCs w:val="20"/>
          <w:color w:val="auto"/>
        </w:rPr>
      </w:pPr>
      <w:r>
        <w:rPr>
          <w:rFonts w:ascii="Arial" w:cs="Arial" w:eastAsia="Arial" w:hAnsi="Arial"/>
          <w:sz w:val="18"/>
          <w:szCs w:val="18"/>
          <w:color w:val="auto"/>
        </w:rPr>
        <w:t>Washington, D.C. 20549</w:t>
      </w:r>
    </w:p>
    <w:p>
      <w:pPr>
        <w:spacing w:after="0" w:line="9" w:lineRule="exact"/>
        <w:rPr>
          <w:sz w:val="24"/>
          <w:szCs w:val="24"/>
          <w:color w:val="auto"/>
        </w:rPr>
      </w:pPr>
    </w:p>
    <w:p>
      <w:pPr>
        <w:ind w:left="140"/>
        <w:spacing w:after="0"/>
        <w:rPr>
          <w:sz w:val="20"/>
          <w:szCs w:val="20"/>
          <w:color w:val="auto"/>
        </w:rPr>
      </w:pPr>
      <w:r>
        <w:rPr>
          <w:rFonts w:ascii="Arial" w:cs="Arial" w:eastAsia="Arial" w:hAnsi="Arial"/>
          <w:sz w:val="18"/>
          <w:szCs w:val="18"/>
          <w:color w:val="auto"/>
        </w:rPr>
        <w:t>Attn: Tara Harkins and Kevin Kuhar</w:t>
      </w:r>
    </w:p>
    <w:p>
      <w:pPr>
        <w:spacing w:after="0" w:line="207" w:lineRule="exact"/>
        <w:rPr>
          <w:sz w:val="24"/>
          <w:szCs w:val="24"/>
          <w:color w:val="auto"/>
        </w:rPr>
      </w:pPr>
    </w:p>
    <w:p>
      <w:pPr>
        <w:ind w:left="800"/>
        <w:spacing w:after="0"/>
        <w:rPr>
          <w:sz w:val="20"/>
          <w:szCs w:val="20"/>
          <w:color w:val="auto"/>
        </w:rPr>
      </w:pPr>
      <w:r>
        <w:rPr>
          <w:rFonts w:ascii="Arial" w:cs="Arial" w:eastAsia="Arial" w:hAnsi="Arial"/>
          <w:sz w:val="18"/>
          <w:szCs w:val="18"/>
          <w:b w:val="1"/>
          <w:bCs w:val="1"/>
          <w:color w:val="auto"/>
        </w:rPr>
        <w:t>Re: NextCure, Inc.</w:t>
      </w:r>
    </w:p>
    <w:p>
      <w:pPr>
        <w:spacing w:after="0" w:line="27" w:lineRule="exact"/>
        <w:rPr>
          <w:sz w:val="24"/>
          <w:szCs w:val="24"/>
          <w:color w:val="auto"/>
        </w:rPr>
      </w:pPr>
    </w:p>
    <w:p>
      <w:pPr>
        <w:ind w:left="1100"/>
        <w:spacing w:after="0"/>
        <w:rPr>
          <w:sz w:val="20"/>
          <w:szCs w:val="20"/>
          <w:color w:val="auto"/>
        </w:rPr>
      </w:pPr>
      <w:r>
        <w:rPr>
          <w:rFonts w:ascii="Arial" w:cs="Arial" w:eastAsia="Arial" w:hAnsi="Arial"/>
          <w:sz w:val="18"/>
          <w:szCs w:val="18"/>
          <w:b w:val="1"/>
          <w:bCs w:val="1"/>
          <w:color w:val="auto"/>
        </w:rPr>
        <w:t>Form 10-K for the Fiscal Year Ended December 31, 2020 Filed March 4, 2021</w:t>
      </w:r>
    </w:p>
    <w:p>
      <w:pPr>
        <w:spacing w:after="0" w:line="9" w:lineRule="exact"/>
        <w:rPr>
          <w:sz w:val="24"/>
          <w:szCs w:val="24"/>
          <w:color w:val="auto"/>
        </w:rPr>
      </w:pPr>
    </w:p>
    <w:p>
      <w:pPr>
        <w:ind w:left="1100"/>
        <w:spacing w:after="0"/>
        <w:rPr>
          <w:sz w:val="20"/>
          <w:szCs w:val="20"/>
          <w:color w:val="auto"/>
        </w:rPr>
      </w:pPr>
      <w:r>
        <w:rPr>
          <w:rFonts w:ascii="Arial" w:cs="Arial" w:eastAsia="Arial" w:hAnsi="Arial"/>
          <w:sz w:val="18"/>
          <w:szCs w:val="18"/>
          <w:b w:val="1"/>
          <w:bCs w:val="1"/>
          <w:color w:val="auto"/>
        </w:rPr>
        <w:t>File No. 001-38905</w:t>
      </w:r>
    </w:p>
    <w:p>
      <w:pPr>
        <w:spacing w:after="0" w:line="211" w:lineRule="exact"/>
        <w:rPr>
          <w:sz w:val="24"/>
          <w:szCs w:val="24"/>
          <w:color w:val="auto"/>
        </w:rPr>
      </w:pPr>
    </w:p>
    <w:p>
      <w:pPr>
        <w:ind w:left="140"/>
        <w:spacing w:after="0"/>
        <w:rPr>
          <w:sz w:val="20"/>
          <w:szCs w:val="20"/>
          <w:color w:val="auto"/>
        </w:rPr>
      </w:pPr>
      <w:r>
        <w:rPr>
          <w:rFonts w:ascii="Arial" w:cs="Arial" w:eastAsia="Arial" w:hAnsi="Arial"/>
          <w:sz w:val="18"/>
          <w:szCs w:val="18"/>
          <w:color w:val="auto"/>
        </w:rPr>
        <w:t>Ladies and Gentlemen:</w:t>
      </w:r>
    </w:p>
    <w:p>
      <w:pPr>
        <w:spacing w:after="0" w:line="225" w:lineRule="exact"/>
        <w:rPr>
          <w:sz w:val="24"/>
          <w:szCs w:val="24"/>
          <w:color w:val="auto"/>
        </w:rPr>
      </w:pPr>
    </w:p>
    <w:p>
      <w:pPr>
        <w:jc w:val="both"/>
        <w:ind w:left="140" w:firstLine="522"/>
        <w:spacing w:after="0" w:line="263" w:lineRule="auto"/>
        <w:rPr>
          <w:sz w:val="20"/>
          <w:szCs w:val="20"/>
          <w:color w:val="auto"/>
        </w:rPr>
      </w:pPr>
      <w:r>
        <w:rPr>
          <w:rFonts w:ascii="Arial" w:cs="Arial" w:eastAsia="Arial" w:hAnsi="Arial"/>
          <w:sz w:val="18"/>
          <w:szCs w:val="18"/>
          <w:color w:val="auto"/>
        </w:rPr>
        <w:t>This letter sets forth responses of NextCure, Inc. (the “Company”) to the comment of the staff of the Division of Corporation Finance (the “Staff”) of the Securities and Exchange Commission (the “Commission”) set forth in your letter dated April 15, 2021, with respect to the above referenced Annual Report on Form 10-K for the fiscal year ended December 31, 2020 (the “Form 10-K”).</w:t>
      </w:r>
    </w:p>
    <w:p>
      <w:pPr>
        <w:spacing w:after="0" w:line="184" w:lineRule="exact"/>
        <w:rPr>
          <w:sz w:val="24"/>
          <w:szCs w:val="24"/>
          <w:color w:val="auto"/>
        </w:rPr>
      </w:pPr>
    </w:p>
    <w:p>
      <w:pPr>
        <w:ind w:left="660"/>
        <w:spacing w:after="0"/>
        <w:rPr>
          <w:sz w:val="20"/>
          <w:szCs w:val="20"/>
          <w:color w:val="auto"/>
        </w:rPr>
      </w:pPr>
      <w:r>
        <w:rPr>
          <w:rFonts w:ascii="Arial" w:cs="Arial" w:eastAsia="Arial" w:hAnsi="Arial"/>
          <w:sz w:val="18"/>
          <w:szCs w:val="18"/>
          <w:color w:val="auto"/>
        </w:rPr>
        <w:t>The text of the Staff’s comment has been included in this letter for your convenience, along with the Company’s response.</w:t>
      </w:r>
    </w:p>
    <w:p>
      <w:pPr>
        <w:spacing w:after="0" w:line="225" w:lineRule="exact"/>
        <w:rPr>
          <w:sz w:val="24"/>
          <w:szCs w:val="24"/>
          <w:color w:val="auto"/>
        </w:rPr>
      </w:pPr>
    </w:p>
    <w:p>
      <w:pPr>
        <w:ind w:left="140"/>
        <w:spacing w:after="0"/>
        <w:rPr>
          <w:sz w:val="20"/>
          <w:szCs w:val="20"/>
          <w:color w:val="auto"/>
        </w:rPr>
      </w:pPr>
      <w:r>
        <w:rPr>
          <w:rFonts w:ascii="Arial" w:cs="Arial" w:eastAsia="Arial" w:hAnsi="Arial"/>
          <w:sz w:val="18"/>
          <w:szCs w:val="18"/>
          <w:i w:val="1"/>
          <w:iCs w:val="1"/>
          <w:u w:val="single" w:color="auto"/>
          <w:color w:val="auto"/>
        </w:rPr>
        <w:t>Form 10-K for the Fiscal Year Ended December 31, 2020 Exhibits</w:t>
      </w:r>
    </w:p>
    <w:p>
      <w:pPr>
        <w:spacing w:after="0" w:line="225" w:lineRule="exact"/>
        <w:rPr>
          <w:sz w:val="24"/>
          <w:szCs w:val="24"/>
          <w:color w:val="auto"/>
        </w:rPr>
      </w:pPr>
    </w:p>
    <w:p>
      <w:pPr>
        <w:ind w:left="980" w:right="180" w:hanging="324"/>
        <w:spacing w:after="0" w:line="301" w:lineRule="auto"/>
        <w:tabs>
          <w:tab w:leader="none" w:pos="980" w:val="left"/>
        </w:tabs>
        <w:numPr>
          <w:ilvl w:val="0"/>
          <w:numId w:val="1"/>
        </w:numPr>
        <w:rPr>
          <w:rFonts w:ascii="Arial" w:cs="Arial" w:eastAsia="Arial" w:hAnsi="Arial"/>
          <w:sz w:val="16"/>
          <w:szCs w:val="16"/>
          <w:i w:val="1"/>
          <w:iCs w:val="1"/>
          <w:color w:val="auto"/>
        </w:rPr>
      </w:pPr>
      <w:r>
        <w:rPr>
          <w:rFonts w:ascii="Arial" w:cs="Arial" w:eastAsia="Arial" w:hAnsi="Arial"/>
          <w:sz w:val="16"/>
          <w:szCs w:val="16"/>
          <w:i w:val="1"/>
          <w:iCs w:val="1"/>
          <w:color w:val="auto"/>
        </w:rPr>
        <w:t>We note the certifications provided in Exhibits 31.1 and 31.2 do not include paragraph 4(b) and the introductory language in paragraph 4 referring to internal control over financial reporting after the end of the transition period that allows these omissions. Please amend the filing to provide revised certifications. You may file an abbreviated amendment that is limited to the cover page, explanatory note, signature page and paragraphs 1, 2, 4 and 5 of the certification. Refer to Exchange Act Rule 13a-14(a) and Item 601(b)(31) of Regulation S-K.</w:t>
      </w:r>
    </w:p>
    <w:p>
      <w:pPr>
        <w:spacing w:after="0" w:line="153" w:lineRule="exact"/>
        <w:rPr>
          <w:sz w:val="24"/>
          <w:szCs w:val="24"/>
          <w:color w:val="auto"/>
        </w:rPr>
      </w:pPr>
    </w:p>
    <w:p>
      <w:pPr>
        <w:ind w:right="1060" w:firstLine="648"/>
        <w:spacing w:after="0" w:line="347" w:lineRule="auto"/>
        <w:rPr>
          <w:sz w:val="20"/>
          <w:szCs w:val="20"/>
          <w:color w:val="auto"/>
        </w:rPr>
      </w:pPr>
      <w:r>
        <w:rPr>
          <w:rFonts w:ascii="Arial" w:cs="Arial" w:eastAsia="Arial" w:hAnsi="Arial"/>
          <w:sz w:val="16"/>
          <w:szCs w:val="16"/>
          <w:b w:val="1"/>
          <w:bCs w:val="1"/>
          <w:color w:val="auto"/>
        </w:rPr>
        <w:t xml:space="preserve">Response: </w:t>
      </w:r>
      <w:r>
        <w:rPr>
          <w:rFonts w:ascii="Arial" w:cs="Arial" w:eastAsia="Arial" w:hAnsi="Arial"/>
          <w:sz w:val="16"/>
          <w:szCs w:val="16"/>
          <w:color w:val="auto"/>
        </w:rPr>
        <w:t>The Company acknowledges the Staff’s comment and has filed an amendment to the Form 10-K, which includes revised</w:t>
      </w:r>
      <w:r>
        <w:rPr>
          <w:rFonts w:ascii="Arial" w:cs="Arial" w:eastAsia="Arial" w:hAnsi="Arial"/>
          <w:sz w:val="16"/>
          <w:szCs w:val="16"/>
          <w:b w:val="1"/>
          <w:bCs w:val="1"/>
          <w:color w:val="auto"/>
        </w:rPr>
        <w:t xml:space="preserve"> </w:t>
      </w:r>
      <w:r>
        <w:rPr>
          <w:rFonts w:ascii="Arial" w:cs="Arial" w:eastAsia="Arial" w:hAnsi="Arial"/>
          <w:sz w:val="16"/>
          <w:szCs w:val="16"/>
          <w:color w:val="auto"/>
        </w:rPr>
        <w:t>certifications to include paragraph 4(b) and the introductory language in paragraph 4 referring to internal control over financial reporting.</w:t>
      </w:r>
    </w:p>
    <w:p>
      <w:pPr>
        <w:spacing w:after="0" w:line="120" w:lineRule="exact"/>
        <w:rPr>
          <w:sz w:val="24"/>
          <w:szCs w:val="24"/>
          <w:color w:val="auto"/>
        </w:rPr>
      </w:pPr>
    </w:p>
    <w:p>
      <w:pPr>
        <w:ind w:right="840" w:firstLine="648"/>
        <w:spacing w:after="0" w:line="277" w:lineRule="auto"/>
        <w:rPr>
          <w:sz w:val="20"/>
          <w:szCs w:val="20"/>
          <w:color w:val="auto"/>
        </w:rPr>
      </w:pPr>
      <w:r>
        <w:rPr>
          <w:rFonts w:ascii="Arial" w:cs="Arial" w:eastAsia="Arial" w:hAnsi="Arial"/>
          <w:sz w:val="18"/>
          <w:szCs w:val="18"/>
          <w:color w:val="auto"/>
        </w:rPr>
        <w:t>The Company acknowledges that the Company and its management are responsible for the accuracy and adequacy of their disclosures, notwithstanding any review, comments, action or absence of action by the Staff.</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408940</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20"/>
          </w:cols>
          <w:pgMar w:left="320" w:top="1440" w:right="359" w:bottom="1440" w:gutter="0" w:footer="0" w:header="0"/>
        </w:sectPr>
      </w:pPr>
    </w:p>
    <w:bookmarkStart w:id="1" w:name="page2"/>
    <w:bookmarkEnd w:id="1"/>
    <w:p>
      <w:pPr>
        <w:ind w:left="140"/>
        <w:spacing w:after="0"/>
        <w:rPr>
          <w:sz w:val="20"/>
          <w:szCs w:val="20"/>
          <w:color w:val="auto"/>
        </w:rPr>
      </w:pPr>
      <w:r>
        <w:rPr>
          <w:rFonts w:ascii="Arial" w:cs="Arial" w:eastAsia="Arial" w:hAnsi="Arial"/>
          <w:sz w:val="18"/>
          <w:szCs w:val="18"/>
          <w:color w:val="auto"/>
        </w:rPr>
        <w:t>Securities and Exchange Commission</w:t>
      </w:r>
    </w:p>
    <w:p>
      <w:pPr>
        <w:spacing w:after="0" w:line="23" w:lineRule="exact"/>
        <w:rPr>
          <w:sz w:val="20"/>
          <w:szCs w:val="20"/>
          <w:color w:val="auto"/>
        </w:rPr>
      </w:pPr>
    </w:p>
    <w:p>
      <w:pPr>
        <w:ind w:left="140"/>
        <w:spacing w:after="0"/>
        <w:rPr>
          <w:sz w:val="20"/>
          <w:szCs w:val="20"/>
          <w:color w:val="auto"/>
        </w:rPr>
      </w:pPr>
      <w:r>
        <w:rPr>
          <w:rFonts w:ascii="Arial" w:cs="Arial" w:eastAsia="Arial" w:hAnsi="Arial"/>
          <w:sz w:val="18"/>
          <w:szCs w:val="18"/>
          <w:color w:val="auto"/>
        </w:rPr>
        <w:t>Office of Life Sciences</w:t>
      </w:r>
    </w:p>
    <w:p>
      <w:pPr>
        <w:spacing w:after="0" w:line="9" w:lineRule="exact"/>
        <w:rPr>
          <w:sz w:val="20"/>
          <w:szCs w:val="20"/>
          <w:color w:val="auto"/>
        </w:rPr>
      </w:pPr>
    </w:p>
    <w:p>
      <w:pPr>
        <w:ind w:left="140"/>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0"/>
          <w:szCs w:val="20"/>
          <w:color w:val="auto"/>
        </w:rPr>
      </w:pPr>
    </w:p>
    <w:p>
      <w:pPr>
        <w:ind w:left="140"/>
        <w:spacing w:after="0"/>
        <w:rPr>
          <w:sz w:val="20"/>
          <w:szCs w:val="20"/>
          <w:color w:val="auto"/>
        </w:rPr>
      </w:pPr>
      <w:r>
        <w:rPr>
          <w:rFonts w:ascii="Arial" w:cs="Arial" w:eastAsia="Arial" w:hAnsi="Arial"/>
          <w:sz w:val="18"/>
          <w:szCs w:val="18"/>
          <w:color w:val="auto"/>
        </w:rPr>
        <w:t>April 26, 2021</w:t>
      </w:r>
    </w:p>
    <w:p>
      <w:pPr>
        <w:spacing w:after="0" w:line="9" w:lineRule="exact"/>
        <w:rPr>
          <w:sz w:val="20"/>
          <w:szCs w:val="20"/>
          <w:color w:val="auto"/>
        </w:rPr>
      </w:pPr>
    </w:p>
    <w:p>
      <w:pPr>
        <w:ind w:left="140"/>
        <w:spacing w:after="0"/>
        <w:rPr>
          <w:sz w:val="20"/>
          <w:szCs w:val="20"/>
          <w:color w:val="auto"/>
        </w:rPr>
      </w:pPr>
      <w:r>
        <w:rPr>
          <w:rFonts w:ascii="Arial" w:cs="Arial" w:eastAsia="Arial" w:hAnsi="Arial"/>
          <w:sz w:val="18"/>
          <w:szCs w:val="18"/>
          <w:color w:val="auto"/>
        </w:rPr>
        <w:t>Page 2</w:t>
      </w:r>
    </w:p>
    <w:p>
      <w:pPr>
        <w:spacing w:after="0" w:line="211" w:lineRule="exact"/>
        <w:rPr>
          <w:sz w:val="20"/>
          <w:szCs w:val="20"/>
          <w:color w:val="auto"/>
        </w:rPr>
      </w:pPr>
    </w:p>
    <w:p>
      <w:pPr>
        <w:ind w:firstLine="441"/>
        <w:spacing w:after="0" w:line="277" w:lineRule="auto"/>
        <w:rPr>
          <w:sz w:val="20"/>
          <w:szCs w:val="20"/>
          <w:color w:val="auto"/>
        </w:rPr>
      </w:pPr>
      <w:r>
        <w:rPr>
          <w:rFonts w:ascii="Arial" w:cs="Arial" w:eastAsia="Arial" w:hAnsi="Arial"/>
          <w:sz w:val="18"/>
          <w:szCs w:val="18"/>
          <w:color w:val="auto"/>
        </w:rPr>
        <w:t>We hope that the foregoing has been responsive to the Staff’s comment. If you have any questions related to this letter, please contact the undersigned at (240) 479-2718 or Andrea Reed at (312) 853-7881 of Sidley Austin LLP.</w:t>
      </w:r>
    </w:p>
    <w:p>
      <w:pPr>
        <w:spacing w:after="0" w:line="170"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Sincerely,</w:t>
      </w:r>
    </w:p>
    <w:p>
      <w:pPr>
        <w:spacing w:after="0" w:line="22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 Steven P. Cobourn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3571240</wp:posOffset>
            </wp:positionH>
            <wp:positionV relativeFrom="paragraph">
              <wp:posOffset>14605</wp:posOffset>
            </wp:positionV>
            <wp:extent cx="356616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566160" cy="8255"/>
                    </a:xfrm>
                    <a:prstGeom prst="rect">
                      <a:avLst/>
                    </a:prstGeom>
                    <a:noFill/>
                  </pic:spPr>
                </pic:pic>
              </a:graphicData>
            </a:graphic>
          </wp:anchor>
        </w:drawing>
      </w:r>
    </w:p>
    <w:p>
      <w:pPr>
        <w:spacing w:after="0" w:line="205"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Steven P. Cobourn</w:t>
      </w:r>
    </w:p>
    <w:p>
      <w:pPr>
        <w:spacing w:after="0" w:line="23"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Chief Financial Officer</w:t>
      </w:r>
    </w:p>
    <w:p>
      <w:pPr>
        <w:spacing w:after="0" w:line="211" w:lineRule="exact"/>
        <w:rPr>
          <w:sz w:val="20"/>
          <w:szCs w:val="20"/>
          <w:color w:val="auto"/>
        </w:rPr>
      </w:pPr>
    </w:p>
    <w:p>
      <w:pPr>
        <w:jc w:val="center"/>
        <w:ind w:right="-19"/>
        <w:spacing w:after="0"/>
        <w:rPr>
          <w:sz w:val="20"/>
          <w:szCs w:val="20"/>
          <w:color w:val="auto"/>
        </w:rPr>
      </w:pPr>
      <w:r>
        <w:rPr>
          <w:rFonts w:ascii="Arial" w:cs="Arial" w:eastAsia="Arial" w:hAnsi="Arial"/>
          <w:sz w:val="18"/>
          <w:szCs w:val="18"/>
          <w:i w:val="1"/>
          <w:iCs w:val="1"/>
          <w:color w:val="auto"/>
        </w:rPr>
        <w:t>NextCure, Inc., 9000 Virginia Manor Road, Suite 200, Beltsville, Maryland 20705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443230</wp:posOffset>
            </wp:positionV>
            <wp:extent cx="713232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90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2021-05-28T00:40:34Z</dcterms:created>
  <dcterms:modified xsi:type="dcterms:W3CDTF">2021-05-28T00:40:34Z</dcterms:modified>
</cp:coreProperties>
</file>