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sz w:val="20"/>
        </w:rPr>
      </w:pPr>
      <w:bookmarkStart w:id="0" w:name="tm2620692d2_425.htm"/>
      <w:bookmarkStart w:id="1" w:name="kstm2620692d2_425"/>
      <w:bookmarkEnd w:id="0"/>
      <w:bookmarkEnd w:id="1"/>
      <w:r>
        <w:rPr>
          <w:sz w:val="20"/>
        </w:rPr>
        <w:t>Filed by NextCure, Inc.</w:t>
      </w:r>
    </w:p>
    <w:p>
      <w:pPr>
        <w:pStyle w:val="TextBody"/>
        <w:bidi w:val="0"/>
        <w:jc w:val="right"/>
        <w:rPr>
          <w:sz w:val="20"/>
        </w:rPr>
      </w:pPr>
      <w:r>
        <w:rPr>
          <w:sz w:val="20"/>
        </w:rPr>
        <w:t>pursuant to Rule 425 under the Securities Act of 1933</w:t>
      </w:r>
    </w:p>
    <w:p>
      <w:pPr>
        <w:pStyle w:val="TextBody"/>
        <w:bidi w:val="0"/>
        <w:jc w:val="right"/>
        <w:rPr>
          <w:sz w:val="20"/>
        </w:rPr>
      </w:pPr>
      <w:r>
        <w:rPr>
          <w:sz w:val="20"/>
        </w:rPr>
        <w:t>and deemed filed pursuant to Rule 14a-12</w:t>
      </w:r>
    </w:p>
    <w:p>
      <w:pPr>
        <w:pStyle w:val="TextBody"/>
        <w:bidi w:val="0"/>
        <w:jc w:val="right"/>
        <w:rPr>
          <w:sz w:val="20"/>
        </w:rPr>
      </w:pPr>
      <w:r>
        <w:rPr>
          <w:sz w:val="20"/>
        </w:rPr>
        <w:t>under the Securities Exchange Act of 1934</w:t>
      </w:r>
    </w:p>
    <w:p>
      <w:pPr>
        <w:pStyle w:val="TextBody"/>
        <w:bidi w:val="0"/>
        <w:jc w:val="right"/>
        <w:rPr/>
      </w:pPr>
      <w:r>
        <w:rPr/>
        <w:t> </w:t>
      </w:r>
    </w:p>
    <w:p>
      <w:pPr>
        <w:pStyle w:val="TextBody"/>
        <w:bidi w:val="0"/>
        <w:jc w:val="right"/>
        <w:rPr>
          <w:sz w:val="20"/>
        </w:rPr>
      </w:pPr>
      <w:r>
        <w:rPr>
          <w:sz w:val="20"/>
        </w:rPr>
        <w:t>Subject Company: NextCure, Inc.</w:t>
      </w:r>
    </w:p>
    <w:p>
      <w:pPr>
        <w:pStyle w:val="TextBody"/>
        <w:bidi w:val="0"/>
        <w:jc w:val="right"/>
        <w:rPr>
          <w:sz w:val="20"/>
        </w:rPr>
      </w:pPr>
      <w:r>
        <w:rPr>
          <w:sz w:val="20"/>
        </w:rPr>
        <w:t>Commission File No.: 001-38905</w:t>
      </w:r>
    </w:p>
    <w:p>
      <w:pPr>
        <w:pStyle w:val="TextBody"/>
        <w:bidi w:val="0"/>
        <w:jc w:val="right"/>
        <w:rPr>
          <w:sz w:val="20"/>
        </w:rPr>
      </w:pPr>
      <w:r>
        <w:rPr>
          <w:sz w:val="20"/>
        </w:rPr>
        <w:t>Date: July 16,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This filing relates to the proposed transaction pursuant to the terms of that certain Agreement and Plan of Merger and Reorganization dated as of July 14, 2026, by and among NextCure, Inc., a Delaware corporation (“</w:t>
      </w:r>
      <w:r>
        <w:rPr>
          <w:sz w:val="20"/>
          <w:u w:val="single"/>
        </w:rPr>
        <w:t>NextCure</w:t>
      </w:r>
      <w:r>
        <w:rPr>
          <w:sz w:val="20"/>
        </w:rPr>
        <w:t>”), Avere Therapeutics, Inc., a Delaware corporation (“</w:t>
      </w:r>
      <w:r>
        <w:rPr>
          <w:sz w:val="20"/>
          <w:u w:val="single"/>
        </w:rPr>
        <w:t>Avere</w:t>
      </w:r>
      <w:r>
        <w:rPr>
          <w:sz w:val="20"/>
        </w:rPr>
        <w:t>”), Neptune Merger Sub Corp., a Delaware corporation and a wholly owned subsidiary of NextCure (“</w:t>
      </w:r>
      <w:r>
        <w:rPr>
          <w:sz w:val="20"/>
          <w:u w:val="single"/>
        </w:rPr>
        <w:t>First Merger Sub</w:t>
      </w:r>
      <w:r>
        <w:rPr>
          <w:sz w:val="20"/>
        </w:rPr>
        <w:t>”), and Neptune Second Merger Sub, LLC, a Delaware limited liability company and a wholly owned subsidiary of NextCure (“</w:t>
      </w:r>
      <w:r>
        <w:rPr>
          <w:sz w:val="20"/>
          <w:u w:val="single"/>
        </w:rPr>
        <w:t>Second Merger Sub</w:t>
      </w:r>
      <w:r>
        <w:rPr>
          <w:sz w:val="20"/>
        </w:rPr>
        <w:t>”), entered into an Agreement and Plan of Merger and Reorganization (the “</w:t>
      </w:r>
      <w:r>
        <w:rPr>
          <w:sz w:val="20"/>
          <w:u w:val="single"/>
        </w:rPr>
        <w:t>Merger Agreement</w:t>
      </w:r>
      <w:r>
        <w:rPr>
          <w:sz w:val="20"/>
        </w:rPr>
        <w: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w:t>
      </w:r>
      <w:r>
        <w:rPr>
          <w:sz w:val="20"/>
          <w:u w:val="single"/>
        </w:rPr>
        <w:t>First Merger</w:t>
      </w:r>
      <w:r>
        <w:rPr>
          <w:sz w:val="20"/>
        </w:rPr>
        <w:t>”), and (ii) immediately following the First Merger and as part of the same overall transaction as the First Merger, Avere will merge with and into Second Merger Sub, with Second Merger Sub continuing as the surviving entity and a wholly owned subsidiary of NextCure (the “</w:t>
      </w:r>
      <w:r>
        <w:rPr>
          <w:sz w:val="20"/>
          <w:u w:val="single"/>
        </w:rPr>
        <w:t>Second Merger</w:t>
      </w:r>
      <w:r>
        <w:rPr>
          <w:sz w:val="20"/>
        </w:rPr>
        <w:t>” and, together with the First Merger, the “</w:t>
      </w:r>
      <w:r>
        <w:rPr>
          <w:sz w:val="20"/>
          <w:u w:val="single"/>
        </w:rPr>
        <w:t>Merger</w:t>
      </w:r>
      <w:r>
        <w:rPr>
          <w:sz w:val="20"/>
        </w:rPr>
        <w:t>”).</w:t>
      </w:r>
    </w:p>
    <w:p>
      <w:pPr>
        <w:pStyle w:val="TextBody"/>
        <w:bidi w:val="0"/>
        <w:jc w:val="left"/>
        <w:rPr>
          <w:sz w:val="20"/>
        </w:rPr>
      </w:pPr>
      <w:r>
        <w:rPr>
          <w:sz w:val="20"/>
        </w:rPr>
        <w:t>On July 16, 2026, Avere and NextCure published the following communication:</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40" w:after="40"/>
        <w:ind w:left="0" w:right="0" w:hanging="0"/>
        <w:jc w:val="right"/>
        <w:rPr/>
      </w:pPr>
      <w:r>
        <w:rPr/>
        <w:t> </w:t>
      </w:r>
    </w:p>
    <w:p>
      <w:pPr>
        <w:pStyle w:val="TextBody"/>
        <w:bidi w:val="0"/>
        <w:spacing w:before="40" w:after="40"/>
        <w:ind w:left="0" w:right="0" w:hanging="0"/>
        <w:jc w:val="right"/>
        <w:rPr>
          <w:caps w:val="false"/>
          <w:smallCaps w:val="false"/>
        </w:rPr>
      </w:pPr>
      <w:r>
        <w:rPr>
          <w:caps w:val="false"/>
          <w:smallCaps w:val="false"/>
        </w:rPr>
        <w:t> </w:t>
      </w:r>
    </w:p>
    <w:tbl>
      <w:tblPr>
        <w:tblW w:w="20113" w:type="dxa"/>
        <w:jc w:val="center"/>
        <w:tblInd w:w="0" w:type="dxa"/>
        <w:tblLayout w:type="fixed"/>
        <w:tblCellMar>
          <w:top w:w="0" w:type="dxa"/>
          <w:left w:w="0" w:type="dxa"/>
          <w:bottom w:w="0" w:type="dxa"/>
          <w:right w:w="0" w:type="dxa"/>
        </w:tblCellMar>
      </w:tblPr>
      <w:tblGrid>
        <w:gridCol w:w="23"/>
        <w:gridCol w:w="1995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0" cy="71247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July 2026 Corporate Presentation</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Disclaimers This presentation is strictly confidential and being made to you solely as a prospective investor in the proposed private placement (the “Private Placement") of securities of Avere Therapeutics, Inc. ("we," "us," "our" or the "Company"). The securities have not been and will not be registered under the U.S. Securities Act of 1933 (as amended, the "Securities Act") or any state securities laws or the laws of any foreign jurisdiction. The securities are being offered only to persons in reliance upon the exemption from securities registration for transactions not involving any public offering afforded by Section 4(a)(2) of the Securities Act. The securities have not been approved or disapproved by the United States Securities and Exchange Commission, or any other securities regulating body or agency, nor has any such authority, commission, or body passed on the accuracy or adequacy of this presentation. Any representation to the contrary is a criminal offense. By accepting this presentation, you will be deemed to represent that you are an accredited investor, have the capacity to protect your own interests in connection with the Private Placement, and have sufficient knowledge and experience in investing in investments similar to the securities to properly evaluate the merits and risks of the investment in the securities. This presentation is meant only for the intended recipient based on its representations regarding such qualifications. This presentation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 This presentation is for informational purposes only and only a summary of certain information related to the Company. It does not purport to be complete and does not contain all information that an investor may need to consider in making an investment decision. You may not take away, reproduce, or distribute this presentation, in whole or in part, and you may not disclose any of the contents of this presentation to any other person. Acceptance of this presentation constitutes an agreement to be bound by the terms set forth herein. The information contained herein does not constitute investment, legal, accounting, regulatory, taxation or other advice, and the information does not take into account your investment objectives or legal, accounting, regulatory, taxation or financial situation or particular needs. Investors must conduct their own investigation of the investment opportunity and evaluate the risks of acquiring the securities based solely upon such investor's independent examination and judgment as to the prospects of the Company as determined from information in the possession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is correct as of any time subsequent to such date. The Company is under no obligation to update or keep current the information contained in this document. No representation or warranty, express or implied, is made as to, and no reliance should be placed on, the fairness, accuracy, completeness or correctness of the information or opinions contained herein, and any reliance you place on them will be at your sole risk. The Company, its affiliates and advisors do not accept any liability whatsoever for any loss howsoever arising, directly or indirectly, from the use of this document or its contents, or otherwise arising in connection with the Private Placement. Confidential information Please note that this presentation and anything you may hear or learn in connection with any related meeting or discussion are strictly confidential and should not be discussed outside of your organization. This presentation is being provided with the express understanding that you will not release or otherwise disclose any portion of this document, discuss the information contained herein, or make reproductions of or use this presentation for any other purpose without the prior express written permission of the Company. By receiving, reviewing, or attending any meeting related to this presentation, you are acknowledging the confidential nature of this information and are agreeing to abide by the terms of this disclaimer. Forward-looking statements and other information Certain statements contained in this presentation that are not descriptions of historical facts are “forward-looking statements.” When we use words such as “potentially,” “could,” “will,” “projected,” “possible,” “expect,” “illustrative,” “estimated” or similar expressions that do not relate solely to historical matters, we are making forward-looking statements. Forward-looking statements are not guarantees of future performance and involve risks and uncertainties that may cause our actual results to differ materially from our expectations discussed in the forward-looking statements. This may be a result of various factors, including, but not limited to: our management team’s expectations, hopes, beliefs, intentions or strategies regarding the future including, without limitation, statements regarding: the Private Placement and any contemplated transaction, and the expected effects, perceived benefits or opportunities and related timing with respect thereto, expectations regarding or plans for discovery, preclinical studies, clinical trials and research and development programs and therapies, including timing of regulatory filings and preclinical and clinical trials; the potential clinical benefit and safety of discovery-stage assets and product candidates, including as compared to third-party products and product candidates in development; expectations regarding the use of proceeds and the time period over which our capital resources will be sufficient to fund our anticipated operations; statements regarding the market, competition, and potential opportunities for the treatment of psoriasis, inflammatory bowel disease, psoriatic arthritis, and other inflammatory and autoimmune conditions; and statements related to the Company’s intellectual property, its freedom to operate and the intellectual property of others. Certain preclinical and clinical data presented herein was generated by third parties outside the United States; such data may not be directly predictive of results in U.S. clinical trials or of U.S. regulatory outcomes, and a bridging strategy to Western markets may be required. All forward-looking statements, expressed or implied, included in this presentation are expressly qualified in their entirety by this cautionary statement. You are cautioned not to place undue reliance on any forward-looking statements. Except as otherwise required by applicable law, we disclaim any duty to update any forward-looking statements, all of which are expressly qualified by this cautionary statement, to reflect events or circumstances after the date of this presentation. This presentation concerns drug candidates that are under preclinical and/or clinical investigation, and which have not yet been approved by the U.S. Food and Drug Administration. These are currently limited by federal law to investigational use, and no representation is made as to their safety or effectiveness for the purposes for which they are being investigated. Market and Industry Data Market and industry data used in this presentation and statements made orally during this presentation relate to or are based on studies, publications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 party sources. Where this presentation includes consensus estimates, projected sales forecasts, or market size projections sourced from third-party analysts or data providers, such figures reflect the views of those third parties and do not constitute Company guidance or forecasts. Forecasts and other forward-looking information obtained from these sources are subject to the same qualifications and uncertainties as the other forward-looking statements in this presentation. Statements as to our market and competitive position data are based on market data currently available to us, as well as management’s internal analyses and assumptions regarding the Company, which involve certain assumptions and estimates. These internal analyses have not been verified by any independent sources and there can be no assurance that the assumptions or estimates are accurate. While we are not aware of any misstatements regarding our industry data presented herein, our estimates involve risks and uncertainties and are subject to change based on various factors. As a result, we cannot guarantee the accuracy or completeness of such information contained in this presentation. Confidential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Developing AVR-001, a potentially best-in-class once-weekly oral peptide IL-23 receptor antagonist (IL-23RA), with opportunity to address multiple high-value indications • Lead indication in psoriasis (PsO) is large and growing, with opportunity to expand into psoriatic arthritis (PsA) &amp; inflammatory bowel diseases (IBD) • Led by team of accomplished biotech executives with history of efficient drug development Indication Stage IND-enabling Phase 1 Phase 2 Psoriasis Ulcerative colitis Crohn’s disease Psoriatic arthritis Our mission is to deliver IL-23RA efficacy &amp; safety in a convenient weekly oral dose Confidential Avere is developing potentially best-in-class oral therapies for the treatment of psoriasis, IBD, &amp; PsA IBD: inflammatory bowel disease; PsA: psoriatic arthritis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Avere is led by a world-class management team Andrew Cheng Chairman Nimish Shah Board Member Venrock Julianne Bruno Board Member Fairmount Two Representatives from Hansoh Pharmaceuticals Management Team Board of Directors Confidential ©Copyright 2026 Avere Therapeutics Andrew Cheng, MD, PhD Chief Executive Officer, President, &amp; Chairman of the Board • Led Akero Therapeutics as CEO from crossover financing through IPO and ultimate sale to Novo Nordisk for up to $5.2B in December 2025 • Previously CMO of Gilead • Led 11 NDA/MAA approvals Kitty Yale Chief Development Officer • CDO at Akero Therapeutics • Led strategy &amp; execution for lead asset EFX from IND through launch of global Ph 3 program • Previously VP of Clinical Operations at Gilead • Major role in 8 NDA/MAA approvals Brett Pletcher General Counsel • Served on Gilead’s executive leadership team for 13 years as General Counsel • Led numerous financing, acquisition, joint venture and collaboration transactions • Represented emerging growth private and public companies for over a decade as partner, associate and advisor at Gunderson Dettmer William White Chief Financial Officer &amp; Head of Corporate Development • CFO &amp; Head of Corporate Development at Akero Therapeutics • Raised $1.8B for Akero from IPO through sale to Novo Nordisk • 18 years in life sciences investment banking at Goldman Sachs, Citigroup and Deutsche Bank in New York and London</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Psoriasis market: $32B+ Projected to continue growing at 6% p.a. Unlocking opportunity with validated target in multibillion dollar inflammatory disease markets • IL-23R: one of the most effective and safe targets in PsO • Icotyde is the first oral option, but leaves opportunity for improvement given its required daily dosing on an empty stomach • Inhibiting IL-23R has been shown to be effective and safe in a Phase 2b ulcerative colitis study • Need exists for safe, highly effective oral therapies IBD market: $25B+ Projected to continue growing at 10% p.a. Source: Evaluate Pharma, 7/8/26 Projected PsO Global Sales Projected IBD Global Sales Sales ($B) 2025 2030 0 20 40 60 2025 2030 0 20 40 60 Sales ($B) $32B $44B $25B $39B Confidential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A potential best-in-class, once-weekly oral IL-23RA designed to be a leading psoriasis therapy Significant opportunity for a differentiated once-weekly fast-follower IL-23RA Next-generation orals have potential to expand psoriasis market • Skyrizi &amp; Tremfya combined sold ~$15B in PsO in 2025 • Oral IL-23RA market just beginning with Icotyde’s 2026 approval • Estimated peak sales of &gt;$8B in PsO alone for first-generation oral IL-23RA1 AVR-0012 has achieved encouraging Ph 1 3 clinical POC • Half-life ~100 hr, supports QW dosing • Early Ph 1 data show meaningful improvements in PASI scores &amp; key biomarkers • Ph 1 POC data unlocks opportunity to rapidly develop AVR-001 • IND is in effect Confidential Source: 1Guggenheim Securities, LLC; 2 In-licensed from Hansoh Pharma; 3Ph 1 trial conducted in China and New Zealand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“Icotyde has the potential to be one of our largest products ever” – Joaquin Duato, CEO of JNJ1 2026 2027 2028 2029 2030 2031 2032 203 2034 2035 0 5 10 15 20 Oral IL-23RAs have blockbuster potential Projected Icotyde WW revenue2 Total Revenue ($B) Projected sales PsO PsA UC CD • Peak psoriasis sales alone are projected to reach &gt;$5B • Expansion into IBD and PsA significantly amplifies upside potential • Protagonist (PTGX) valued at &gt;$5B, with majority of value potentially driven by Icotyde royalty • Icotyde QD dosing, requiring daily fasting, remains a key disadvantage of the recently approved therapy Confidential Projected PsO sales Source: 1JNJ’s 1Q26 earnings call; 2Guggenheim Securities, LLC 3.1 0.3 1.6 13.8 4.5 6.6 8.8 10.7 12.4 $14.9B 4.1 5.7 6.8 7.4 7.7 7.9 8.3 2.9 1.5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Once-weekly AVR-001 targets IL-23 receptor Confidential IL-12Rb1 IL-12Rβ1 IL--12Rβ1 ©Copyright 2026 Avere Therapeutics Antagonists that inhibit IL-23 signaling have been used to treat multiple inflammatory diseases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Randomized, placebo-controlled Ph 1 MAD study for moderate-severe PsO Confidential AVR-001 Ph 1 study provides POC for a once-weekly oral IL-23RA in psoriasis Cohort 3 600 mg QW (x5) Cohort 2 300 mg QW (x5) Cohort 1 100 mg QW (x5) Weekly cohorts Cohort 6 100 mg QD (x7) + 50 mg QD (x21) Cohort 5 50 mg QD (x7) + 25 mg QD (x21) Daily cohorts AVR-001 shows Icotyde-like profile Data confirm AVR-001’s extended half-life (~100 hr), supporting weekly dosing regimen Across multiple PASI endpoints and IL-17A and hBD-2 biomarkers, AVR-001 is similar to Icotyde Safety profile supports advancement of AVR-001, with potential as a more convenient option for PsO Trial designs differ and no head-to-head clinical trials have been conducted; a planned cohort 4 never enrolled patients as steady state exposure levels were not expected to differ from cohort 2 hBD-2: human beta-defensin-2 Key endpoints • Safety &amp; tolerability • PK • IL-17, hBD-2 • PASI Randomization &amp; treatment • 3:1 (active vs pbo) • n = ~12 per cohort • 4 wks dosing followed by 6 wks observation period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10 AVR-001 achieved similar absolute reductions in PASI as Icotyde in Phase 1 MAD Study Comparable changes at Wk 4 -80 -60 -40 -20 0 AVR-001 (all cohorts)* AVR-001 (QW cohorts)* AVR-001 (QD cohorts)* Icotyde (QD) Absolute % change in PASI (from baseline) -44% -46% -41% -44% -80 -60 -40 -20 0 AVR-001 (all cohorts)* AVR-001 (QW cohorts)* AVR-001 (QD cohorts)* Icotyde (QD) Deepening changes at Wk 8, despite treatment cessation after Wk 4 -70% -68% -72% -66% Absolute % change in PASI (from baseline) *AVR-001 cohorts ceased dosing after Wk 4; Cross-trial comparison only; trial designs, patient populations, &amp; endpoints differ between AVR-001 Ph1 MAD &amp; Icotyde Ph3 ICONIC-ADVANCE 1 &amp; 2. No head-to-head studies have been conducted; Icotyde change in PASI is pooled from ICONIC-ADVANCE 1 &amp; 2 plus ICONIC-LEAD. Icotyde data were digitized from 2026 Winter Clinical – Hawaii and EADV 2025 presentations.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11 AVR-001 achieved similar PASI 75 response rate as Icotyde in Phase 1 MAD study Response rate at Wk 4 0 20 40 60 AVR-001 (all cohorts)* AVR-001 (QW cohorts)* AVR-001 (QD cohorts)* Icotyde (QD) PASI 75 response rate 11% 15% 6% 14% 0 20 40 60 AVR-001 (all cohorts)* AVR-001 (QW cohorts)* AVR-001 (QD cohorts)* Icotyde (QD) Deepening response at Wk 8, despite treatment cessation after Wk 4 57% 59% 53% 47% *AVR-001 cohorts ceased dosing after Wk 4; Cross-trial comparison only; trial designs, patient populations, &amp; endpoints differ between AVR-001 Ph1 MAD &amp; Icotyde Ph3 ICONIC-ADVANCE 1 &amp; 2. No head-to-head studies have been conducted; Icotyde PASI 75 data is pooled from ICONIC-ADVANCE 1 &amp; 2 plus ICONIC-LEAD. Icotyde data were digitized from Gold et al., 2025 Lancet or Bissonette et al., 2025 New Eng J Med PASI 75 response rate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Icotyde Log2 factor change from baseline in IL-17A and hBD-2 data are digitized ICONIC-LEAD data from EADV 2025 presentation; Cross-trial comparison only; trial designs, patient populations &amp; endpoints differ between AVR-001 Ph1 MAD &amp; Icotyde Ph3 ICONIC-ADVANCE 1 &amp; 2. No head-to-head studies have been conducted. hBD-2: human beta-defensin-2 Confidential AVR-001 achieved consistent &amp; robust reductions in key biomarkers in Phase 1 MAD study -3 -2 -1 0 -3 -2 -1 0 Wk 4 change in IL-17A consistent with Icotyde AVR-001 (QW cohorts) Icotyde (QD) -1.8 -0.8 Wk 4 change in hBD-2 consistent with Icotyde -2.4 -1.6 -2.0 -2.2 AVR-001 (all cohorts) AVR-001 (QD cohorts) -2.7 -2.4 -2.5 AVR-001 (QW cohorts) Icotyde (QD) AVR-001 (all cohorts) AVR-001 (QD cohorts) Log2 Factor Change (from baseline) Log2 Factor Change (from baseline)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13 AVR-001 demonstrated generally favorable safety profile Preferred Term ≥2 patients Placebo AVR-001 100 mg QW 300 mg QW 600 mg QW 50 mg QD x7, 25 mg QD x21 100 mg QD x7, 50 mg QD x21 N=15 N=9 N=9 N=9 N=8 N=9 Lipase Increased, N (%) 1 (6.7) 1 (11.1) 1 (11.1) 0 0 2 (22.2) ALT Increased, N (%) 1 (6.7) 0 0 0 0 3 (33.3) Blood Triglycerides Increased, N (%) 0 0 2 (22.2) 0 1 (12.5) 1 (11.1) Hyperuricemia, N (%) 4 (26.7) 0 1 (11.1) 1 (11.1) 1 (12.5) 0 Hyperlipidemia, N (%) 2 (13.3) 1 (11.1) 2 (22.2) 1 (11.1) 0 1 (11.1) Upper Respiratory Tract Infection, N (%) 0 0 0 1 (11.1) 0 3 (33.3) • SAE: One patient with multiple CVD risk factors (hypertension, diabetes, hyperlipidemia and a history of smoking) developed myocardial infarction on 50 mg dose. Event deemed unrelated. ©Copyright 2026 Avere Therapeutics Safety summary for Phase 1 MAD study</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Current Future 0 25 50 75 100 “Patients would rather take weekly than daily pill for more convenience” “Once-weekly dosing would lead to a huge improvement in patient compliance” “Would be a huge improvement to have once a week dosing to reduce the daily thoughts of psoriasis management” Confidential Source: Survey of N=30 practicing dermatologists in US Prescribers anticipate introduction of IL-23RA orals to increase market share &gt;2x; Once available, a QW option likely to take majority of the oral market 9.8% 30.7% 59.5% Projected Orals Growth Future Orals Market Injectables Orals Other Oral IL-23RAs QW (e.g., AVR-001) Icotyde (QD) Other orals 16% 36% 62% 51% % Market share IL-23RA orals anticipated by dermatologists to increase oral market share 2x; QW option has potential to be favorably positioned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Icotyde has already validated the potential for IL-23RA orals in ulcerative colitis in a Phase 2b study *PEP, All values represent percentages; values in parentheses show the adjusted treatment difference between treatment group and placebo Confidential Source: V Jairath UEG presentation Oct 2025 (wk12 results from ANTHEM-UC); 1Evaluate Pharma, 7/8/26; 2Complete blood counts, cardiac evaluation, liver tests, ophthalmic assessments and skin exams (the latter two can be done shortly after initiating treatment) Week 12 Regimen Clinical Response* Clinical Remission Symptomatic Remission Endoscopic Improvement Placebo 27.0 11.1 19.0 14.3 100 mg QD 54.7 (27.7) 21.9 (10.9) 53.1 (34.1) 26.6 (12.4) 200 mg QD 58.1 (30.8) 24.2 (13.0) 41.9 (22.7) 33.9 (19.7) 400 mg QD 63.5 (36.3) 30.2 (19.2) 46.0 (26.9) 36.5 (22.4) Ulcerative colitis and Crohn’s disease combined represent a growing $25B1 market as of 2025 • Expansion into IBD significantly amplifies upside potential • Current oral options carry black box warnings (JAKs) or require many pre-dosing assessments2 (S1Ps) • Oral IL-23RAs could represent a much needed safe and efficacious oral option for IBD Oral IL-23RA has demonstrated robust efficacy across key endpoints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AVR-001 could deliver a powerful pipeline in one product Psoriasis anchors launch, then potential for expansion across IL-23-driven diseases AVR-001 Psoriasis market: $32B • Highest unmet need for oral • Icotyde Ph2/3 data validates path Source: Evaluate Pharma 2025 WW Sales, 7/8/26; Combined IL-23 TAM across psoriasis, IBD &amp; PsA: &gt;$60B globally — one oral asset, multiple blockbuster indications EXPANSION Ulcerative Colitis market: $9B EXPANSION Crohn’s Disease market: $16B EXPANSION Psoriatic Arthritis market: $5.6B Confidential ©Copyright 2026 Avere Therapeutics</w:t>
            </w:r>
          </w:p>
        </w:tc>
      </w:tr>
    </w:tbl>
    <w:tbl>
      <w:tblPr>
        <w:tblW w:w="20203" w:type="dxa"/>
        <w:jc w:val="center"/>
        <w:tblInd w:w="0" w:type="dxa"/>
        <w:tblLayout w:type="fixed"/>
        <w:tblCellMar>
          <w:top w:w="0" w:type="dxa"/>
          <w:left w:w="0" w:type="dxa"/>
          <w:bottom w:w="0" w:type="dxa"/>
          <w:right w:w="0" w:type="dxa"/>
        </w:tblCellMar>
      </w:tblPr>
      <w:tblGrid>
        <w:gridCol w:w="23"/>
        <w:gridCol w:w="1995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68250" cy="71247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Founding team combines significant company-building experience with extensive drug development expertise &amp; &amp; One of the leading China-based biopharmaceutical innovators with a track record of developing a robust pipeline of candidates, including AVR-001 US company-launching vehicle and financier: Proven launchpad for innovation with 15 companies founded Proven leadership team from Akero Therapeutics, with successful record in company building and drug development Confidential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Financing expected to fund AVR-001 through key value-generating clinical POC data Pre-closing financing expected to fund company through (1) Ph 2b psoriasis readout and (2) initiation of Ph 2b ulcerative colitis and Ph 3 psoriasis trials • Ph 2b psoriasis initiation • Ph 2b UC initiation • China Ph 2b psoriasis readout (1H) 2027 2028 AVR-001 (Oral IL-23RA peptide) • Ph 2b psoriasis readout (1H) • Ph 3 psoriasis initiation Anticipated Milestones Confidential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Estimating capitalization following close of reverse merger &amp; pre-closing financing ©Copyright 2026 Avere Therapeutics NEXTCURE AVERE PRE-CLOSING FINANCING Shares on an as-converted basis Expected ownership of the combined company • Shares of common stock outstanding (including 1,240,823 shares underlying pre-funded warrants, but excluding 1,014,208 shares underlying out-of-the-money options) 5,309,774 1.21% • Shares of common stock outstanding (including shares underlying pre-funded warrants, options and warrants) • Shares of common stock (including underlying pre-funded warrants) 190,139,133 243,378,016 43.33% Estimated total shares of common stock post-closing 438,826,923 Estimated post-closing capitalization based on information as of the signing of the proposed reverse merger and pre-closing financing. 55.46%</w:t>
            </w:r>
          </w:p>
        </w:tc>
      </w:tr>
    </w:tbl>
    <w:tbl>
      <w:tblPr>
        <w:tblW w:w="20203" w:type="dxa"/>
        <w:jc w:val="center"/>
        <w:tblInd w:w="0" w:type="dxa"/>
        <w:tblLayout w:type="fixed"/>
        <w:tblCellMar>
          <w:top w:w="0" w:type="dxa"/>
          <w:left w:w="0" w:type="dxa"/>
          <w:bottom w:w="0" w:type="dxa"/>
          <w:right w:w="0" w:type="dxa"/>
        </w:tblCellMar>
      </w:tblPr>
      <w:tblGrid>
        <w:gridCol w:w="23"/>
        <w:gridCol w:w="1995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68250" cy="71247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Contact: Andrew Cheng CEO, President, &amp; Chairman andrew@averetx.com</w:t>
            </w:r>
          </w:p>
        </w:tc>
      </w:tr>
    </w:tbl>
    <w:p>
      <w:pPr>
        <w:pStyle w:val="TextBody"/>
        <w:bidi w:val="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(including within the meaning of Section 21E of the Exchange Act and Section 27A of the Securities Act) concerning NextCure, Avere,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future operations of the combined company; the nature, strategy and focus of the combined company; the development and commercial potential and potential benefits of any product candidates of Avere or the combined company; anticipated preclinical and clinical drug development activities and related timelines, including the expected timing for data and other clinical results; the expected cash runway and capital resources of the combined company; statements contained in the presentation regarding Avere's platform, pipeline and product candidates; and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substantial risks and uncertainties that could cause actual results to differ materially from those projected in any forward-looking statement. These risks and uncertainties include, but are not limited to, risks associated with the possible failure to satisfy the conditions to the closing or consummation of the Merger, including NextCure's failure to obtain stockholder approval for the Merger, risks associated with the potential failure to complete the financing transaction in a timely manner or at all, risks associated with the uncertainty as to the timing of the consummation of the Merger and the ability of each of NextCure and Avere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international relations, tariffs, and other trade regulations between the U.S. and China; and the impact of current and future laws and regulations. More detailed information on these and additional factors that could affect NextCure's actual results is described under the heading “Risk Factors” in NextCure's most recent Annual Report on Form 10-K, Quarterly Report on Form 10-Q and in NextCure's other filings with the Securities and Exchange Commission. You should not place undue reliance on any forward-looking statements. Forward-looking statements speak only as of the date of this communication, and NextCure assumes no obligation to update any forward-looking statements, even if expectations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Offer or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ARE TRUTHFUL OR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About the Proposed Transaction Will be Filed with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is not a substitute for any other document that NextCure may file with the SEC in connection with the proposed transaction, including the registration statement on Form S-4 (the “Form S-4”) that will contain a proxy statement and prospectus. In connection with the proposed transaction between NextCure and Avere, NextCure intends to file relevant materials with the SEC, including the Form S-4. NEXTCURE URGES INVESTORS AND STOCKHOLDERS TO READ THE REGISTRATION STATEMENT,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 addition, investors and stockholders should note that NextCure communicates with investors and the public using its website (</w:t>
      </w:r>
      <w:r>
        <w:rPr>
          <w:rFonts w:ascii="Times New Roman;Times;Serif" w:hAnsi="Times New Roman;Times;Serif"/>
          <w:b w:val="false"/>
          <w:i/>
          <w:caps w:val="false"/>
          <w:smallCaps w:val="false"/>
          <w:sz w:val="20"/>
        </w:rPr>
        <w:t>https://www.nextcure.com</w:t>
      </w:r>
      <w:r>
        <w:rPr>
          <w:rFonts w:ascii="Times New Roman;Times;Serif" w:hAnsi="Times New Roman;Times;Serif"/>
          <w:b w:val="false"/>
          <w:i w:val="false"/>
          <w:caps w:val="false"/>
          <w:smallCaps w:val="false"/>
          <w:sz w:val="20"/>
        </w:rPr>
        <w:t>) and the investor relations website (</w:t>
      </w:r>
      <w:r>
        <w:rPr>
          <w:rFonts w:ascii="Times New Roman;Times;Serif" w:hAnsi="Times New Roman;Times;Serif"/>
          <w:b w:val="false"/>
          <w:i/>
          <w:caps w:val="false"/>
          <w:smallCaps w:val="false"/>
          <w:sz w:val="20"/>
        </w:rPr>
        <w:t>https://ir.nextcure.com/</w:t>
      </w:r>
      <w:r>
        <w:rPr>
          <w:rFonts w:ascii="Times New Roman;Times;Serif" w:hAnsi="Times New Roman;Times;Serif"/>
          <w:b w:val="false"/>
          <w:i w:val="false"/>
          <w:caps w:val="false"/>
          <w:smallCaps w:val="false"/>
          <w:sz w:val="20"/>
        </w:rPr>
        <w:t>) where anyone will be able to obtain free copies of the Registration Statement and included proxy statement/prospectus and other documents filed by NextCure with the SEC and stockholders are urged to read the Registration Statement and included proxy statement/prospectus and the other relevant materials when they become available before making any voting or investment decision with respect to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5361</Words>
  <Characters>30186</Characters>
  <CharactersWithSpaces>35516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