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primary_doc.xml.htm"/>
      <w:bookmarkStart w:id="1" w:name="ksprimary_doc"/>
      <w:bookmarkEnd w:id="0"/>
      <w:bookmarkEnd w:id="1"/>
      <w:r>
        <w:rPr/>
        <w:t xml:space="preserve">SEC Form 3 </w:t>
      </w:r>
    </w:p>
    <w:tbl>
      <w:tblPr>
        <w:tblW w:w="5000" w:type="pct"/>
        <w:jc w:val="left"/>
        <w:tblInd w:w="0" w:type="dxa"/>
        <w:tblLayout w:type="fixed"/>
        <w:tblCellMar>
          <w:top w:w="60" w:type="dxa"/>
          <w:left w:w="60" w:type="dxa"/>
          <w:bottom w:w="60" w:type="dxa"/>
          <w:right w:w="60" w:type="dxa"/>
        </w:tblCellMar>
      </w:tblPr>
      <w:tblGrid>
        <w:gridCol w:w="2040"/>
        <w:gridCol w:w="6124"/>
        <w:gridCol w:w="2041"/>
      </w:tblGrid>
      <w:tr>
        <w:trPr/>
        <w:tc>
          <w:tcPr>
            <w:tcW w:w="2040" w:type="dxa"/>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3</w:t>
            </w:r>
          </w:p>
        </w:tc>
        <w:tc>
          <w:tcPr>
            <w:tcW w:w="6124" w:type="dxa"/>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INITIAL STATEMENT OF BENEFICIAL OWNERSHIP OF SECURITIES</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2041" w:type="dxa"/>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921"/>
            </w:tblGrid>
            <w:tr>
              <w:trPr/>
              <w:tc>
                <w:tcPr>
                  <w:tcW w:w="1921"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78"/>
                    <w:gridCol w:w="687"/>
                  </w:tblGrid>
                  <w:tr>
                    <w:trPr/>
                    <w:tc>
                      <w:tcPr>
                        <w:tcW w:w="1178"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87"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3235-0104</w:t>
                        </w:r>
                      </w:p>
                    </w:tc>
                  </w:tr>
                  <w:tr>
                    <w:trPr/>
                    <w:tc>
                      <w:tcPr>
                        <w:tcW w:w="1865"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78"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87"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921"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061"/>
        <w:gridCol w:w="1530"/>
        <w:gridCol w:w="3062"/>
        <w:gridCol w:w="2552"/>
      </w:tblGrid>
      <w:tr>
        <w:trPr/>
        <w:tc>
          <w:tcPr>
            <w:tcW w:w="306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2941"/>
            </w:tblGrid>
            <w:tr>
              <w:trPr/>
              <w:tc>
                <w:tcPr>
                  <w:tcW w:w="2941" w:type="dxa"/>
                  <w:tcBorders/>
                  <w:vAlign w:val="center"/>
                </w:tcPr>
                <w:p>
                  <w:pPr>
                    <w:pStyle w:val="TableContents"/>
                    <w:bidi w:val="0"/>
                    <w:spacing w:before="0" w:after="283"/>
                    <w:jc w:val="left"/>
                    <w:rPr/>
                  </w:pPr>
                  <w:hyperlink r:id="rId2">
                    <w:r>
                      <w:rPr>
                        <w:rStyle w:val="InternetLink"/>
                      </w:rPr>
                      <w:t>ADAR1 Capital Management, LLC</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980"/>
              <w:gridCol w:w="980"/>
              <w:gridCol w:w="981"/>
            </w:tblGrid>
            <w:tr>
              <w:trPr/>
              <w:tc>
                <w:tcPr>
                  <w:tcW w:w="98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98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98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2941"/>
            </w:tblGrid>
            <w:tr>
              <w:trPr/>
              <w:tc>
                <w:tcPr>
                  <w:tcW w:w="294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3503 WILD CHERRY DRIVE</w:t>
                  </w:r>
                </w:p>
              </w:tc>
            </w:tr>
            <w:tr>
              <w:trPr/>
              <w:tc>
                <w:tcPr>
                  <w:tcW w:w="294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BUILDING 9</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980"/>
              <w:gridCol w:w="980"/>
              <w:gridCol w:w="981"/>
            </w:tblGrid>
            <w:tr>
              <w:trPr/>
              <w:tc>
                <w:tcPr>
                  <w:tcW w:w="98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AUSTIN</w:t>
                  </w:r>
                </w:p>
              </w:tc>
              <w:tc>
                <w:tcPr>
                  <w:tcW w:w="98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TX</w:t>
                  </w:r>
                </w:p>
              </w:tc>
              <w:tc>
                <w:tcPr>
                  <w:tcW w:w="98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78738</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980"/>
              <w:gridCol w:w="980"/>
              <w:gridCol w:w="981"/>
            </w:tblGrid>
            <w:tr>
              <w:trPr/>
              <w:tc>
                <w:tcPr>
                  <w:tcW w:w="98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98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98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1530"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2. Date of Event Requiring Statement (Month/Day/Year)</w:t>
            </w:r>
            <w:r>
              <w:rPr/>
              <w:br/>
            </w:r>
            <w:r>
              <w:rPr>
                <w:rFonts w:ascii="Times;serif" w:hAnsi="Times;serif"/>
                <w:color w:val="0000FF"/>
                <w:sz w:val="24"/>
                <w:shd w:fill="FFFFFF" w:val="clear"/>
              </w:rPr>
              <w:t>07/27/2026</w:t>
            </w:r>
          </w:p>
        </w:tc>
        <w:tc>
          <w:tcPr>
            <w:tcW w:w="5614" w:type="dxa"/>
            <w:gridSpan w:val="2"/>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3.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3">
              <w:r>
                <w:rPr>
                  <w:rStyle w:val="InternetLink"/>
                </w:rPr>
                <w:t>NextCure, Inc.</w:t>
              </w:r>
            </w:hyperlink>
            <w:r>
              <w:rPr/>
              <w:t xml:space="preserve"> [ </w:t>
            </w:r>
            <w:r>
              <w:rPr>
                <w:rFonts w:ascii="Times;serif" w:hAnsi="Times;serif"/>
                <w:color w:val="0000FF"/>
                <w:sz w:val="24"/>
                <w:shd w:fill="FFFFFF" w:val="clear"/>
              </w:rPr>
              <w:t>NXTC</w:t>
            </w:r>
            <w:r>
              <w:rPr/>
              <w:t xml:space="preserve"> ] </w:t>
              <w:br/>
            </w:r>
            <w:r>
              <w:rPr>
                <w:rFonts w:ascii="arial;helvetica;sans-serif" w:hAnsi="arial;helvetica;sans-serif"/>
                <w:sz w:val="20"/>
              </w:rPr>
              <w:t>Foreign Trading Symbol</w:t>
            </w:r>
          </w:p>
        </w:tc>
      </w:tr>
      <w:tr>
        <w:trPr/>
        <w:tc>
          <w:tcPr>
            <w:tcW w:w="306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1530"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3062" w:type="dxa"/>
            <w:vMerge w:val="restart"/>
            <w:tcBorders>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4.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c>
          <w:tcPr>
            <w:tcW w:w="2552" w:type="dxa"/>
            <w:tcBorders>
              <w:left w:val="single" w:sz="2" w:space="0" w:color="808080"/>
              <w:bottom w:val="single" w:sz="2"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5. If Amendment, Date of Original Filed (Month/Day/Year)</w:t>
            </w:r>
          </w:p>
        </w:tc>
      </w:tr>
      <w:tr>
        <w:trPr/>
        <w:tc>
          <w:tcPr>
            <w:tcW w:w="306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1530"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3062"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255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364"/>
              <w:gridCol w:w="2068"/>
            </w:tblGrid>
            <w:tr>
              <w:trPr/>
              <w:tc>
                <w:tcPr>
                  <w:tcW w:w="364" w:type="dxa"/>
                  <w:tcBorders/>
                  <w:vAlign w:val="center"/>
                </w:tcPr>
                <w:p>
                  <w:pPr>
                    <w:pStyle w:val="TableContents"/>
                    <w:bidi w:val="0"/>
                    <w:spacing w:before="0" w:after="283"/>
                    <w:jc w:val="left"/>
                    <w:rPr>
                      <w:sz w:val="4"/>
                      <w:szCs w:val="4"/>
                    </w:rPr>
                  </w:pPr>
                  <w:r>
                    <w:rPr>
                      <w:sz w:val="4"/>
                      <w:szCs w:val="4"/>
                    </w:rPr>
                  </w:r>
                </w:p>
              </w:tc>
              <w:tc>
                <w:tcPr>
                  <w:tcW w:w="2068"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364"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p>
              </w:tc>
              <w:tc>
                <w:tcPr>
                  <w:tcW w:w="2068"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4422"/>
        <w:gridCol w:w="1963"/>
        <w:gridCol w:w="1166"/>
        <w:gridCol w:w="2654"/>
      </w:tblGrid>
      <w:tr>
        <w:trPr>
          <w:tblHeader w:val="true"/>
        </w:trPr>
        <w:tc>
          <w:tcPr>
            <w:tcW w:w="10205" w:type="dxa"/>
            <w:gridSpan w:val="4"/>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Beneficially Owned</w:t>
            </w:r>
          </w:p>
        </w:tc>
      </w:tr>
      <w:tr>
        <w:trPr>
          <w:tblHeader w:val="true"/>
        </w:trPr>
        <w:tc>
          <w:tcPr>
            <w:tcW w:w="4422" w:type="dxa"/>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4) </w:t>
            </w:r>
          </w:p>
        </w:tc>
        <w:tc>
          <w:tcPr>
            <w:tcW w:w="1963" w:type="dxa"/>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2. Amount of Securities Beneficially Owned (Instr. 4) </w:t>
            </w:r>
          </w:p>
        </w:tc>
        <w:tc>
          <w:tcPr>
            <w:tcW w:w="1166" w:type="dxa"/>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3. Ownership Form: Direct (D) or Indirect (I) (Instr. 5) </w:t>
            </w:r>
          </w:p>
        </w:tc>
        <w:tc>
          <w:tcPr>
            <w:tcW w:w="2654" w:type="dxa"/>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4. Nature of Indirect Beneficial Ownership (Instr. 5) </w:t>
            </w:r>
          </w:p>
        </w:tc>
      </w:tr>
      <w:tr>
        <w:trPr/>
        <w:tc>
          <w:tcPr>
            <w:tcW w:w="4422"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196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375,658</w:t>
            </w:r>
          </w:p>
        </w:tc>
        <w:tc>
          <w:tcPr>
            <w:tcW w:w="116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265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See Footnote</w:t>
            </w:r>
            <w:r>
              <w:rPr>
                <w:rFonts w:ascii="Times;serif" w:hAnsi="Times;serif"/>
                <w:color w:val="008000"/>
                <w:position w:val="7"/>
                <w:sz w:val="16"/>
                <w:sz w:val="20"/>
                <w:shd w:fill="FFFFFF" w:val="clear"/>
              </w:rPr>
              <w:t>(1)(2)</w:t>
            </w:r>
          </w:p>
        </w:tc>
      </w:tr>
    </w:tbl>
    <w:tbl>
      <w:tblPr>
        <w:tblW w:w="5000" w:type="pct"/>
        <w:jc w:val="left"/>
        <w:tblInd w:w="-7" w:type="dxa"/>
        <w:tblLayout w:type="fixed"/>
        <w:tblCellMar>
          <w:top w:w="60" w:type="dxa"/>
          <w:left w:w="60" w:type="dxa"/>
          <w:bottom w:w="60" w:type="dxa"/>
          <w:right w:w="60" w:type="dxa"/>
        </w:tblCellMar>
      </w:tblPr>
      <w:tblGrid>
        <w:gridCol w:w="1880"/>
        <w:gridCol w:w="1222"/>
        <w:gridCol w:w="1137"/>
        <w:gridCol w:w="1015"/>
        <w:gridCol w:w="957"/>
        <w:gridCol w:w="1285"/>
        <w:gridCol w:w="1256"/>
        <w:gridCol w:w="1453"/>
      </w:tblGrid>
      <w:tr>
        <w:trPr>
          <w:tblHeader w:val="true"/>
        </w:trPr>
        <w:tc>
          <w:tcPr>
            <w:tcW w:w="10205" w:type="dxa"/>
            <w:gridSpan w:val="8"/>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1880"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Derivative Security (Instr. 4) </w:t>
            </w:r>
          </w:p>
        </w:tc>
        <w:tc>
          <w:tcPr>
            <w:tcW w:w="2359"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2. Date Exercisable and Expiration Date (Month/Day/Year)</w:t>
            </w:r>
          </w:p>
        </w:tc>
        <w:tc>
          <w:tcPr>
            <w:tcW w:w="197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3. Title and Amount of Securities Underlying Derivative Security (Instr. 4) </w:t>
            </w:r>
          </w:p>
        </w:tc>
        <w:tc>
          <w:tcPr>
            <w:tcW w:w="128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4. Conversion or Exercise Price of Derivative Security </w:t>
            </w:r>
          </w:p>
        </w:tc>
        <w:tc>
          <w:tcPr>
            <w:tcW w:w="125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5. Ownership Form: Direct (D) or Indirect (I) (Instr. 5) </w:t>
            </w:r>
          </w:p>
        </w:tc>
        <w:tc>
          <w:tcPr>
            <w:tcW w:w="145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6. Nature of Indirect Beneficial Ownership (Instr. 5) </w:t>
            </w:r>
          </w:p>
        </w:tc>
      </w:tr>
      <w:tr>
        <w:trPr>
          <w:tblHeader w:val="true"/>
        </w:trPr>
        <w:tc>
          <w:tcPr>
            <w:tcW w:w="1880"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1222"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Date Exercisable</w:t>
            </w:r>
          </w:p>
        </w:tc>
        <w:tc>
          <w:tcPr>
            <w:tcW w:w="1137"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Expiration Date</w:t>
            </w:r>
          </w:p>
        </w:tc>
        <w:tc>
          <w:tcPr>
            <w:tcW w:w="1015"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Title</w:t>
            </w:r>
          </w:p>
        </w:tc>
        <w:tc>
          <w:tcPr>
            <w:tcW w:w="957"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Amount or Number of Shares</w:t>
            </w:r>
          </w:p>
        </w:tc>
        <w:tc>
          <w:tcPr>
            <w:tcW w:w="1285"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125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1453"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2000" w:type="pct"/>
        <w:jc w:val="left"/>
        <w:tblInd w:w="-7" w:type="dxa"/>
        <w:tblLayout w:type="fixed"/>
        <w:tblCellMar>
          <w:top w:w="60" w:type="dxa"/>
          <w:left w:w="60" w:type="dxa"/>
          <w:bottom w:w="60" w:type="dxa"/>
          <w:right w:w="60" w:type="dxa"/>
        </w:tblCellMar>
      </w:tblPr>
      <w:tblGrid>
        <w:gridCol w:w="4082"/>
      </w:tblGrid>
      <w:tr>
        <w:trPr/>
        <w:tc>
          <w:tcPr>
            <w:tcW w:w="4082" w:type="dxa"/>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pPr>
                  <w:hyperlink r:id="rId6">
                    <w:r>
                      <w:rPr>
                        <w:rStyle w:val="InternetLink"/>
                      </w:rPr>
                      <w:t>ADAR1 Capital Management, LLC</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3503 WILD CHERRY DRIVE</w:t>
                  </w:r>
                </w:p>
              </w:tc>
            </w:tr>
            <w:tr>
              <w:trPr/>
              <w:tc>
                <w:tcPr>
                  <w:tcW w:w="396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BUILDING 9</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AUSTIN</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TX</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78738</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r>
      <w:tr>
        <w:trPr/>
        <w:tc>
          <w:tcPr>
            <w:tcW w:w="4082" w:type="dxa"/>
            <w:tcBorders>
              <w:left w:val="single" w:sz="6"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pPr>
                  <w:hyperlink r:id="rId7">
                    <w:r>
                      <w:rPr>
                        <w:rStyle w:val="InternetLink"/>
                      </w:rPr>
                      <w:t>Schneeberger Daniel</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3503 WILD CHERRY DRIVE</w:t>
                  </w:r>
                </w:p>
              </w:tc>
            </w:tr>
            <w:tr>
              <w:trPr/>
              <w:tc>
                <w:tcPr>
                  <w:tcW w:w="396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BUILDING 9</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AUSTIN</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TX</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78738</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The reported securities are owned directly by private investment funds managed by ADAR1 Capital Management, LLC, and may be deemed to be indirectly beneficially owned by (i) ADAR1 Capital Management, LLC and (ii) Daniel Schneeberger, the sole manager of ADAR1 Capital Management, LLC.</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For purposes of Section 16 of the Securities Exchange Act of 1934, as amended, each Reporting Person disclaims beneficial ownership of any such securities, except to the extent of his/its pecuniary interest therein, if any, and this report shall not be deemed an admission that such Reporting Person is the beneficial owner of such securities for purposes of Section 16 or otherwise.</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ADAR1 Capital Management, LLC By: Daniel Schneeberger, Manager /s/ Daniel Schneeberger</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07/29/2026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Daniel Schneeberger</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07/29/2026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5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www.sec.gov/cgi-bin/browse-edgar?action=getcompany&amp;CIK=0001940272" TargetMode="External"/><Relationship Id="rId3" Type="http://schemas.openxmlformats.org/officeDocument/2006/relationships/hyperlink" Target="http://www.sec.gov/cgi-bin/browse-edgar?action=getcompany&amp;CIK=0001661059" TargetMode="External"/><Relationship Id="rId4" Type="http://schemas.openxmlformats.org/officeDocument/2006/relationships/image" Target="https://cdn.kscope.io/box-checked.jpg" TargetMode="External"/><Relationship Id="rId5" Type="http://schemas.openxmlformats.org/officeDocument/2006/relationships/image" Target="https://cdn.kscope.io/box-checked.jpg" TargetMode="External"/><Relationship Id="rId6" Type="http://schemas.openxmlformats.org/officeDocument/2006/relationships/hyperlink" Target="http://www.sec.gov/cgi-bin/browse-edgar?action=getcompany&amp;CIK=0001940272" TargetMode="External"/><Relationship Id="rId7" Type="http://schemas.openxmlformats.org/officeDocument/2006/relationships/hyperlink" Target="http://www.sec.gov/cgi-bin/browse-edgar?action=getcompany&amp;CIK=0001861120"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560</Words>
  <Characters>3111</Characters>
  <CharactersWithSpaces>3592</CharactersWithSpaces>
  <Paragraphs>99</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