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360680</wp:posOffset>
            </wp:positionV>
            <wp:extent cx="66122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64770</wp:posOffset>
            </wp:positionV>
            <wp:extent cx="16554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17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95250</wp:posOffset>
            </wp:positionV>
            <wp:extent cx="16554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64" w:lineRule="exact"/>
        <w:rPr>
          <w:sz w:val="24"/>
          <w:szCs w:val="24"/>
          <w:color w:val="auto"/>
        </w:rPr>
      </w:pPr>
    </w:p>
    <w:p>
      <w:pPr>
        <w:ind w:left="660" w:hanging="402"/>
        <w:spacing w:after="0"/>
        <w:tabs>
          <w:tab w:leader="none" w:pos="66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63" w:lineRule="exact"/>
        <w:rPr>
          <w:rFonts w:ascii="MS PGothic" w:cs="MS PGothic" w:eastAsia="MS PGothic" w:hAnsi="MS PGothic"/>
          <w:sz w:val="16"/>
          <w:szCs w:val="16"/>
          <w:color w:val="auto"/>
          <w:highlight w:val="black"/>
        </w:rPr>
      </w:pPr>
    </w:p>
    <w:p>
      <w:pPr>
        <w:ind w:left="380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4"/>
          <w:szCs w:val="14"/>
          <w:b w:val="1"/>
          <w:bCs w:val="1"/>
          <w:color w:val="auto"/>
        </w:rPr>
        <w:t>For the quarterly period ended June 30, 2019</w:t>
      </w:r>
    </w:p>
    <w:p>
      <w:pPr>
        <w:spacing w:after="0" w:line="6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64" w:lineRule="exact"/>
        <w:rPr>
          <w:sz w:val="24"/>
          <w:szCs w:val="24"/>
          <w:color w:val="auto"/>
        </w:rPr>
      </w:pPr>
    </w:p>
    <w:p>
      <w:pPr>
        <w:ind w:left="660" w:hanging="402"/>
        <w:spacing w:after="0"/>
        <w:tabs>
          <w:tab w:leader="none" w:pos="66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ectPr>
          <w:pgSz w:w="11900" w:h="16838" w:orient="portrait"/>
          <w:cols w:equalWidth="0" w:num="1">
            <w:col w:w="10400"/>
          </w:cols>
          <w:pgMar w:left="760" w:top="229" w:right="739" w:bottom="1440" w:gutter="0" w:footer="0" w:header="0"/>
        </w:sectPr>
      </w:pPr>
    </w:p>
    <w:p>
      <w:pPr>
        <w:spacing w:after="0" w:line="64"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69" w:lineRule="exact"/>
        <w:rPr>
          <w:sz w:val="24"/>
          <w:szCs w:val="24"/>
          <w:color w:val="auto"/>
        </w:rPr>
      </w:pPr>
    </w:p>
    <w:p>
      <w:pPr>
        <w:sectPr>
          <w:pgSz w:w="11900" w:h="16838" w:orient="portrait"/>
          <w:cols w:equalWidth="0" w:num="3">
            <w:col w:w="5340" w:space="720"/>
            <w:col w:w="120" w:space="680"/>
            <w:col w:w="3540"/>
          </w:cols>
          <w:pgMar w:left="760" w:top="229" w:right="7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001-38905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76200</wp:posOffset>
            </wp:positionV>
            <wp:extent cx="1655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ectPr>
          <w:pgSz w:w="11900" w:h="16838" w:orient="portrait"/>
          <w:cols w:equalWidth="0" w:num="1">
            <w:col w:w="10400"/>
          </w:cols>
          <w:pgMar w:left="760" w:top="229" w:right="739" w:bottom="1440" w:gutter="0" w:footer="0" w:header="0"/>
          <w:type w:val="continuous"/>
        </w:sectPr>
      </w:pP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NextCure,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64770</wp:posOffset>
            </wp:positionV>
            <wp:extent cx="16554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182" w:lineRule="exact"/>
        <w:rPr>
          <w:sz w:val="24"/>
          <w:szCs w:val="24"/>
          <w:color w:val="auto"/>
        </w:rPr>
      </w:pPr>
    </w:p>
    <w:tbl>
      <w:tblPr>
        <w:tblLayout w:type="fixed"/>
        <w:tblInd w:w="880" w:type="dxa"/>
        <w:tblCellMar>
          <w:top w:w="0" w:type="dxa"/>
          <w:left w:w="0" w:type="dxa"/>
          <w:bottom w:w="0" w:type="dxa"/>
          <w:right w:w="0" w:type="dxa"/>
        </w:tblCellMar>
      </w:tblPr>
      <w:tr>
        <w:trPr>
          <w:trHeight w:val="161"/>
        </w:trPr>
        <w:tc>
          <w:tcPr>
            <w:tcW w:w="4660" w:type="dxa"/>
            <w:vAlign w:val="bottom"/>
          </w:tcPr>
          <w:p>
            <w:pPr>
              <w:jc w:val="center"/>
              <w:ind w:right="116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30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04-5231247</w:t>
            </w:r>
          </w:p>
        </w:tc>
        <w:tc>
          <w:tcPr>
            <w:tcW w:w="0" w:type="dxa"/>
            <w:vAlign w:val="bottom"/>
          </w:tcPr>
          <w:p>
            <w:pPr>
              <w:spacing w:after="0"/>
              <w:rPr>
                <w:sz w:val="1"/>
                <w:szCs w:val="1"/>
                <w:color w:val="auto"/>
              </w:rPr>
            </w:pPr>
          </w:p>
        </w:tc>
      </w:tr>
      <w:tr>
        <w:trPr>
          <w:trHeight w:val="188"/>
        </w:trPr>
        <w:tc>
          <w:tcPr>
            <w:tcW w:w="4660" w:type="dxa"/>
            <w:vAlign w:val="bottom"/>
          </w:tcPr>
          <w:p>
            <w:pPr>
              <w:jc w:val="center"/>
              <w:ind w:right="1148"/>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300" w:type="dxa"/>
            <w:vAlign w:val="bottom"/>
          </w:tcPr>
          <w:p>
            <w:pPr>
              <w:jc w:val="center"/>
              <w:ind w:left="112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174"/>
        </w:trPr>
        <w:tc>
          <w:tcPr>
            <w:tcW w:w="4660" w:type="dxa"/>
            <w:vAlign w:val="bottom"/>
          </w:tcPr>
          <w:p>
            <w:pPr>
              <w:jc w:val="center"/>
              <w:ind w:right="1168"/>
              <w:spacing w:after="0"/>
              <w:rPr>
                <w:sz w:val="20"/>
                <w:szCs w:val="20"/>
                <w:color w:val="auto"/>
              </w:rPr>
            </w:pPr>
            <w:r>
              <w:rPr>
                <w:rFonts w:ascii="Times New Roman" w:cs="Times New Roman" w:eastAsia="Times New Roman" w:hAnsi="Times New Roman"/>
                <w:sz w:val="14"/>
                <w:szCs w:val="14"/>
                <w:b w:val="1"/>
                <w:bCs w:val="1"/>
                <w:color w:val="auto"/>
              </w:rPr>
              <w:t>9000 Virginia Manor Road, Suite 200</w:t>
            </w:r>
          </w:p>
        </w:tc>
        <w:tc>
          <w:tcPr>
            <w:tcW w:w="3300" w:type="dxa"/>
            <w:vAlign w:val="bottom"/>
            <w:vMerge w:val="restart"/>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20705</w:t>
            </w:r>
          </w:p>
        </w:tc>
        <w:tc>
          <w:tcPr>
            <w:tcW w:w="0" w:type="dxa"/>
            <w:vAlign w:val="bottom"/>
          </w:tcPr>
          <w:p>
            <w:pPr>
              <w:spacing w:after="0"/>
              <w:rPr>
                <w:sz w:val="1"/>
                <w:szCs w:val="1"/>
                <w:color w:val="auto"/>
              </w:rPr>
            </w:pPr>
          </w:p>
        </w:tc>
      </w:tr>
      <w:tr>
        <w:trPr>
          <w:trHeight w:val="151"/>
        </w:trPr>
        <w:tc>
          <w:tcPr>
            <w:tcW w:w="4660" w:type="dxa"/>
            <w:vAlign w:val="bottom"/>
          </w:tcPr>
          <w:p>
            <w:pPr>
              <w:jc w:val="center"/>
              <w:ind w:right="1148"/>
              <w:spacing w:after="0" w:line="151" w:lineRule="exact"/>
              <w:rPr>
                <w:sz w:val="20"/>
                <w:szCs w:val="20"/>
                <w:color w:val="auto"/>
              </w:rPr>
            </w:pPr>
            <w:r>
              <w:rPr>
                <w:rFonts w:ascii="Times New Roman" w:cs="Times New Roman" w:eastAsia="Times New Roman" w:hAnsi="Times New Roman"/>
                <w:sz w:val="14"/>
                <w:szCs w:val="14"/>
                <w:b w:val="1"/>
                <w:bCs w:val="1"/>
                <w:color w:val="auto"/>
              </w:rPr>
              <w:t>Beltsville, Maryland</w:t>
            </w:r>
          </w:p>
        </w:tc>
        <w:tc>
          <w:tcPr>
            <w:tcW w:w="3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660" w:type="dxa"/>
            <w:vAlign w:val="bottom"/>
          </w:tcPr>
          <w:p>
            <w:pPr>
              <w:jc w:val="center"/>
              <w:ind w:right="114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300" w:type="dxa"/>
            <w:vAlign w:val="bottom"/>
          </w:tcPr>
          <w:p>
            <w:pPr>
              <w:jc w:val="center"/>
              <w:ind w:left="1148"/>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bl>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(240) 399-4900</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47"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64"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07"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36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3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35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96"/>
        </w:trPr>
        <w:tc>
          <w:tcPr>
            <w:tcW w:w="36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$0.001 par value per share</w:t>
            </w:r>
          </w:p>
        </w:tc>
        <w:tc>
          <w:tcPr>
            <w:tcW w:w="3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NXTC</w:t>
            </w:r>
          </w:p>
        </w:tc>
        <w:tc>
          <w:tcPr>
            <w:tcW w:w="3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67" w:lineRule="exact"/>
        <w:rPr>
          <w:sz w:val="24"/>
          <w:szCs w:val="24"/>
          <w:color w:val="auto"/>
        </w:rPr>
      </w:pPr>
    </w:p>
    <w:p>
      <w:pPr>
        <w:ind w:right="180" w:firstLine="648"/>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0" w:lineRule="exact"/>
        <w:rPr>
          <w:sz w:val="24"/>
          <w:szCs w:val="24"/>
          <w:color w:val="auto"/>
        </w:rPr>
      </w:pPr>
    </w:p>
    <w:p>
      <w:pPr>
        <w:jc w:val="both"/>
        <w:ind w:right="140" w:firstLine="648"/>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0" w:lineRule="exact"/>
        <w:rPr>
          <w:sz w:val="24"/>
          <w:szCs w:val="24"/>
          <w:color w:val="auto"/>
        </w:rPr>
      </w:pPr>
    </w:p>
    <w:p>
      <w:pPr>
        <w:ind w:right="20" w:firstLine="648"/>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400"/>
          </w:cols>
          <w:pgMar w:left="760" w:top="229" w:right="739" w:bottom="1440" w:gutter="0" w:footer="0" w:header="0"/>
          <w:type w:val="continuous"/>
        </w:sectPr>
      </w:pPr>
    </w:p>
    <w:p>
      <w:pPr>
        <w:spacing w:after="0" w:line="1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22"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ind w:left="680"/>
        <w:spacing w:after="0" w:line="181"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68" w:lineRule="exact"/>
        <w:rPr>
          <w:sz w:val="24"/>
          <w:szCs w:val="24"/>
          <w:color w:val="auto"/>
        </w:rPr>
      </w:pPr>
    </w:p>
    <w:p>
      <w:pPr>
        <w:sectPr>
          <w:pgSz w:w="11900" w:h="16838" w:orient="portrait"/>
          <w:cols w:equalWidth="0" w:num="2">
            <w:col w:w="7720" w:space="720"/>
            <w:col w:w="1960"/>
          </w:cols>
          <w:pgMar w:left="760" w:top="229" w:right="739" w:bottom="1440" w:gutter="0" w:footer="0" w:header="0"/>
          <w:type w:val="continuous"/>
        </w:sectPr>
      </w:pPr>
    </w:p>
    <w:p>
      <w:pPr>
        <w:ind w:right="100" w:firstLine="648"/>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3" w:lineRule="exact"/>
        <w:rPr>
          <w:sz w:val="24"/>
          <w:szCs w:val="24"/>
          <w:color w:val="auto"/>
        </w:rPr>
      </w:pPr>
    </w:p>
    <w:p>
      <w:pPr>
        <w:ind w:left="640" w:right="1380"/>
        <w:spacing w:after="0" w:line="26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August 9, 2019, the registrant had 22,714,765 shares of common stock, par value $0.001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90805</wp:posOffset>
            </wp:positionV>
            <wp:extent cx="661225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1025525</wp:posOffset>
            </wp:positionV>
            <wp:extent cx="661225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400"/>
          </w:cols>
          <w:pgMar w:left="760" w:top="229" w:right="739" w:bottom="1440"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NextCure,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June 30, 2019</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580" w:type="dxa"/>
            <w:vAlign w:val="bottom"/>
            <w:gridSpan w:val="24"/>
            <w:vMerge w:val="restart"/>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PART I. FINANCIAL INFORMATION</w:t>
              </w:r>
            </w:hyperlink>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8580" w:type="dxa"/>
            <w:vAlign w:val="bottom"/>
            <w:gridSpan w:val="24"/>
            <w:vMerge w:val="continue"/>
          </w:tcPr>
          <w:p>
            <w:pPr>
              <w:spacing w:after="0"/>
              <w:rPr>
                <w:sz w:val="14"/>
                <w:szCs w:val="14"/>
                <w:color w:val="auto"/>
              </w:rPr>
            </w:pPr>
          </w:p>
        </w:tc>
        <w:tc>
          <w:tcPr>
            <w:tcW w:w="480" w:type="dxa"/>
            <w:vAlign w:val="bottom"/>
            <w:tcBorders>
              <w:top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3">
              <w:r>
                <w:rPr>
                  <w:rFonts w:ascii="Times New Roman" w:cs="Times New Roman" w:eastAsia="Times New Roman" w:hAnsi="Times New Roman"/>
                  <w:sz w:val="18"/>
                  <w:szCs w:val="18"/>
                  <w:color w:val="0000EE"/>
                  <w:w w:val="97"/>
                </w:rPr>
                <w:t>Item 1.</w:t>
              </w:r>
            </w:hyperlink>
          </w:p>
        </w:tc>
        <w:tc>
          <w:tcPr>
            <w:tcW w:w="240" w:type="dxa"/>
            <w:vAlign w:val="bottom"/>
            <w:tcBorders>
              <w:top w:val="single" w:sz="8" w:color="0000EE"/>
            </w:tcBorders>
            <w:gridSpan w:val="2"/>
          </w:tcPr>
          <w:p>
            <w:pPr>
              <w:spacing w:after="0"/>
              <w:rPr>
                <w:sz w:val="17"/>
                <w:szCs w:val="17"/>
                <w:color w:val="auto"/>
              </w:rPr>
            </w:pPr>
          </w:p>
        </w:tc>
        <w:tc>
          <w:tcPr>
            <w:tcW w:w="230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w:t>
              </w:r>
            </w:hyperlink>
          </w:p>
        </w:tc>
        <w:tc>
          <w:tcPr>
            <w:tcW w:w="5520" w:type="dxa"/>
            <w:vAlign w:val="bottom"/>
            <w:gridSpan w:val="10"/>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Balance Sheets as of June 30, 2019 (unaudited) and December 31, 2018</w:t>
              </w:r>
            </w:hyperlink>
          </w:p>
        </w:tc>
        <w:tc>
          <w:tcPr>
            <w:tcW w:w="1800" w:type="dxa"/>
            <w:vAlign w:val="bottom"/>
            <w:gridSpan w:val="5"/>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20" w:type="dxa"/>
            <w:vAlign w:val="bottom"/>
            <w:gridSpan w:val="21"/>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Unaudited Condensed Statements of Operations for the Three and Six Months Ended June 30, 2019 and</w:t>
              </w:r>
            </w:hyperlink>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4"/>
              </w:rPr>
            </w:pPr>
            <w:hyperlink w:anchor="page4">
              <w:r>
                <w:rPr>
                  <w:rFonts w:ascii="Times New Roman" w:cs="Times New Roman" w:eastAsia="Times New Roman" w:hAnsi="Times New Roman"/>
                  <w:sz w:val="18"/>
                  <w:szCs w:val="18"/>
                  <w:color w:val="0000EE"/>
                  <w:w w:val="94"/>
                </w:rPr>
                <w:t>2018</w:t>
              </w:r>
            </w:hyperlink>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7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Unaudited Condensed Statements of Preferred Stock and Stockholders’ Equity (Deficit) for the Six Months</w:t>
              </w:r>
            </w:hyperlink>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Ended June 30, 2019 and 2018</w:t>
              </w:r>
            </w:hyperlink>
          </w:p>
        </w:tc>
        <w:tc>
          <w:tcPr>
            <w:tcW w:w="5600" w:type="dxa"/>
            <w:vAlign w:val="bottom"/>
            <w:gridSpan w:val="11"/>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Unaudited Condensed Statements of Cash Flows for the Six Months Ended June 30, 2019 and 2018</w:t>
              </w:r>
            </w:hyperlink>
          </w:p>
        </w:tc>
        <w:tc>
          <w:tcPr>
            <w:tcW w:w="640" w:type="dxa"/>
            <w:vAlign w:val="bottom"/>
            <w:gridSpan w:val="3"/>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Notes to Unaudited Condensed Financial Statements</w:t>
              </w:r>
            </w:hyperlink>
          </w:p>
        </w:tc>
        <w:tc>
          <w:tcPr>
            <w:tcW w:w="4020" w:type="dxa"/>
            <w:vAlign w:val="bottom"/>
            <w:gridSpan w:val="8"/>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18">
              <w:r>
                <w:rPr>
                  <w:rFonts w:ascii="Times New Roman" w:cs="Times New Roman" w:eastAsia="Times New Roman" w:hAnsi="Times New Roman"/>
                  <w:sz w:val="18"/>
                  <w:szCs w:val="18"/>
                  <w:color w:val="0000EE"/>
                  <w:w w:val="97"/>
                </w:rPr>
                <w:t>Item 2.</w:t>
              </w:r>
            </w:hyperlink>
          </w:p>
        </w:tc>
        <w:tc>
          <w:tcPr>
            <w:tcW w:w="240" w:type="dxa"/>
            <w:vAlign w:val="bottom"/>
            <w:gridSpan w:val="2"/>
          </w:tcPr>
          <w:p>
            <w:pPr>
              <w:spacing w:after="0"/>
              <w:rPr>
                <w:sz w:val="17"/>
                <w:szCs w:val="17"/>
                <w:color w:val="auto"/>
              </w:rPr>
            </w:pPr>
          </w:p>
        </w:tc>
        <w:tc>
          <w:tcPr>
            <w:tcW w:w="7820" w:type="dxa"/>
            <w:vAlign w:val="bottom"/>
            <w:gridSpan w:val="21"/>
          </w:tcPr>
          <w:p>
            <w:pPr>
              <w:spacing w:after="0" w:line="196"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Management’s Discussion and Analysis of Financial Condition and Results of Operations</w:t>
              </w:r>
            </w:hyperlink>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25">
              <w:r>
                <w:rPr>
                  <w:rFonts w:ascii="Times New Roman" w:cs="Times New Roman" w:eastAsia="Times New Roman" w:hAnsi="Times New Roman"/>
                  <w:sz w:val="18"/>
                  <w:szCs w:val="18"/>
                  <w:color w:val="0000EE"/>
                  <w:w w:val="97"/>
                </w:rPr>
                <w:t>Item 3.</w:t>
              </w:r>
            </w:hyperlink>
          </w:p>
        </w:tc>
        <w:tc>
          <w:tcPr>
            <w:tcW w:w="240" w:type="dxa"/>
            <w:vAlign w:val="bottom"/>
            <w:gridSpan w:val="2"/>
          </w:tcPr>
          <w:p>
            <w:pPr>
              <w:spacing w:after="0"/>
              <w:rPr>
                <w:sz w:val="17"/>
                <w:szCs w:val="17"/>
                <w:color w:val="auto"/>
              </w:rPr>
            </w:pPr>
          </w:p>
        </w:tc>
        <w:tc>
          <w:tcPr>
            <w:tcW w:w="7820" w:type="dxa"/>
            <w:vAlign w:val="bottom"/>
            <w:gridSpan w:val="21"/>
          </w:tcPr>
          <w:p>
            <w:pPr>
              <w:spacing w:after="0" w:line="19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Quantitative and Qualitative Disclosures about Market Risk</w:t>
              </w:r>
            </w:hyperlink>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25">
              <w:r>
                <w:rPr>
                  <w:rFonts w:ascii="Times New Roman" w:cs="Times New Roman" w:eastAsia="Times New Roman" w:hAnsi="Times New Roman"/>
                  <w:sz w:val="18"/>
                  <w:szCs w:val="18"/>
                  <w:color w:val="0000EE"/>
                  <w:w w:val="97"/>
                </w:rPr>
                <w:t>Item 4.</w:t>
              </w:r>
            </w:hyperlink>
          </w:p>
        </w:tc>
        <w:tc>
          <w:tcPr>
            <w:tcW w:w="240" w:type="dxa"/>
            <w:vAlign w:val="bottom"/>
            <w:gridSpan w:val="2"/>
          </w:tcPr>
          <w:p>
            <w:pPr>
              <w:spacing w:after="0"/>
              <w:rPr>
                <w:sz w:val="17"/>
                <w:szCs w:val="17"/>
                <w:color w:val="auto"/>
              </w:rPr>
            </w:pPr>
          </w:p>
        </w:tc>
        <w:tc>
          <w:tcPr>
            <w:tcW w:w="7820" w:type="dxa"/>
            <w:vAlign w:val="bottom"/>
            <w:gridSpan w:val="21"/>
          </w:tcPr>
          <w:p>
            <w:pPr>
              <w:spacing w:after="0" w:line="19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Controls and Procedures</w:t>
              </w:r>
            </w:hyperlink>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b w:val="1"/>
                <w:bCs w:val="1"/>
                <w:color w:val="0000EE"/>
                <w:w w:val="98"/>
              </w:rPr>
            </w:pPr>
            <w:hyperlink w:anchor="page26">
              <w:r>
                <w:rPr>
                  <w:rFonts w:ascii="Times New Roman" w:cs="Times New Roman" w:eastAsia="Times New Roman" w:hAnsi="Times New Roman"/>
                  <w:sz w:val="18"/>
                  <w:szCs w:val="18"/>
                  <w:b w:val="1"/>
                  <w:bCs w:val="1"/>
                  <w:color w:val="0000EE"/>
                  <w:w w:val="98"/>
                </w:rPr>
                <w:t>Part II. OTHER INFORMATION</w:t>
              </w:r>
            </w:hyperlink>
          </w:p>
        </w:tc>
        <w:tc>
          <w:tcPr>
            <w:tcW w:w="5940" w:type="dxa"/>
            <w:vAlign w:val="bottom"/>
            <w:gridSpan w:val="12"/>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26">
              <w:r>
                <w:rPr>
                  <w:rFonts w:ascii="Times New Roman" w:cs="Times New Roman" w:eastAsia="Times New Roman" w:hAnsi="Times New Roman"/>
                  <w:sz w:val="18"/>
                  <w:szCs w:val="18"/>
                  <w:color w:val="0000EE"/>
                  <w:w w:val="97"/>
                </w:rPr>
                <w:t>Item 1.</w:t>
              </w:r>
            </w:hyperlink>
          </w:p>
        </w:tc>
        <w:tc>
          <w:tcPr>
            <w:tcW w:w="240" w:type="dxa"/>
            <w:vAlign w:val="bottom"/>
            <w:gridSpan w:val="2"/>
          </w:tcPr>
          <w:p>
            <w:pPr>
              <w:spacing w:after="0"/>
              <w:rPr>
                <w:sz w:val="17"/>
                <w:szCs w:val="17"/>
                <w:color w:val="auto"/>
              </w:rPr>
            </w:pPr>
          </w:p>
        </w:tc>
        <w:tc>
          <w:tcPr>
            <w:tcW w:w="7820" w:type="dxa"/>
            <w:vAlign w:val="bottom"/>
            <w:gridSpan w:val="21"/>
          </w:tcPr>
          <w:p>
            <w:pPr>
              <w:spacing w:after="0" w:line="19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Legal Proceedings</w:t>
              </w:r>
            </w:hyperlink>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6"/>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Item 1A.</w:t>
              </w:r>
            </w:hyperlink>
          </w:p>
        </w:tc>
        <w:tc>
          <w:tcPr>
            <w:tcW w:w="7820" w:type="dxa"/>
            <w:vAlign w:val="bottom"/>
            <w:gridSpan w:val="21"/>
          </w:tcPr>
          <w:p>
            <w:pPr>
              <w:spacing w:after="0" w:line="19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Risk Factors</w:t>
              </w:r>
            </w:hyperlink>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72">
              <w:r>
                <w:rPr>
                  <w:rFonts w:ascii="Times New Roman" w:cs="Times New Roman" w:eastAsia="Times New Roman" w:hAnsi="Times New Roman"/>
                  <w:sz w:val="18"/>
                  <w:szCs w:val="18"/>
                  <w:color w:val="0000EE"/>
                  <w:w w:val="97"/>
                </w:rPr>
                <w:t>Item 2.</w:t>
              </w:r>
            </w:hyperlink>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20" w:type="dxa"/>
            <w:vAlign w:val="bottom"/>
            <w:gridSpan w:val="21"/>
          </w:tcPr>
          <w:p>
            <w:pPr>
              <w:spacing w:after="0" w:line="196"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Unregistered Sales of Equity Securities and Use of Proceeds</w:t>
              </w:r>
            </w:hyperlink>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6"/>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72">
              <w:r>
                <w:rPr>
                  <w:rFonts w:ascii="Times New Roman" w:cs="Times New Roman" w:eastAsia="Times New Roman" w:hAnsi="Times New Roman"/>
                  <w:sz w:val="18"/>
                  <w:szCs w:val="18"/>
                  <w:color w:val="0000EE"/>
                  <w:w w:val="97"/>
                </w:rPr>
                <w:t>Item 3.</w:t>
              </w:r>
            </w:hyperlink>
          </w:p>
        </w:tc>
        <w:tc>
          <w:tcPr>
            <w:tcW w:w="240" w:type="dxa"/>
            <w:vAlign w:val="bottom"/>
            <w:gridSpan w:val="2"/>
          </w:tcPr>
          <w:p>
            <w:pPr>
              <w:spacing w:after="0"/>
              <w:rPr>
                <w:sz w:val="17"/>
                <w:szCs w:val="17"/>
                <w:color w:val="auto"/>
              </w:rPr>
            </w:pPr>
          </w:p>
        </w:tc>
        <w:tc>
          <w:tcPr>
            <w:tcW w:w="7820" w:type="dxa"/>
            <w:vAlign w:val="bottom"/>
            <w:gridSpan w:val="21"/>
          </w:tcPr>
          <w:p>
            <w:pPr>
              <w:spacing w:after="0" w:line="196"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Defaults Upon Senior Securities</w:t>
              </w:r>
            </w:hyperlink>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6"/>
            <w:shd w:val="clear" w:color="auto" w:fill="0000EE"/>
          </w:tcPr>
          <w:p>
            <w:pPr>
              <w:spacing w:after="0" w:line="20" w:lineRule="exact"/>
              <w:rPr>
                <w:sz w:val="1"/>
                <w:szCs w:val="1"/>
                <w:color w:val="auto"/>
              </w:rPr>
            </w:pPr>
          </w:p>
        </w:tc>
        <w:tc>
          <w:tcPr>
            <w:tcW w:w="550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72">
              <w:r>
                <w:rPr>
                  <w:rFonts w:ascii="Times New Roman" w:cs="Times New Roman" w:eastAsia="Times New Roman" w:hAnsi="Times New Roman"/>
                  <w:sz w:val="18"/>
                  <w:szCs w:val="18"/>
                  <w:color w:val="0000EE"/>
                  <w:w w:val="97"/>
                </w:rPr>
                <w:t>Item 4.</w:t>
              </w:r>
            </w:hyperlink>
          </w:p>
        </w:tc>
        <w:tc>
          <w:tcPr>
            <w:tcW w:w="240" w:type="dxa"/>
            <w:vAlign w:val="bottom"/>
            <w:gridSpan w:val="2"/>
          </w:tcPr>
          <w:p>
            <w:pPr>
              <w:spacing w:after="0"/>
              <w:rPr>
                <w:sz w:val="17"/>
                <w:szCs w:val="17"/>
                <w:color w:val="auto"/>
              </w:rPr>
            </w:pPr>
          </w:p>
        </w:tc>
        <w:tc>
          <w:tcPr>
            <w:tcW w:w="7820" w:type="dxa"/>
            <w:vAlign w:val="bottom"/>
            <w:gridSpan w:val="21"/>
          </w:tcPr>
          <w:p>
            <w:pPr>
              <w:spacing w:after="0" w:line="196"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Mine Safety Disclosures</w:t>
              </w:r>
            </w:hyperlink>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6060" w:type="dxa"/>
            <w:vAlign w:val="bottom"/>
            <w:gridSpan w:val="1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72">
              <w:r>
                <w:rPr>
                  <w:rFonts w:ascii="Times New Roman" w:cs="Times New Roman" w:eastAsia="Times New Roman" w:hAnsi="Times New Roman"/>
                  <w:sz w:val="18"/>
                  <w:szCs w:val="18"/>
                  <w:color w:val="0000EE"/>
                  <w:w w:val="97"/>
                </w:rPr>
                <w:t>Item 5.</w:t>
              </w:r>
            </w:hyperlink>
          </w:p>
        </w:tc>
        <w:tc>
          <w:tcPr>
            <w:tcW w:w="240" w:type="dxa"/>
            <w:vAlign w:val="bottom"/>
            <w:gridSpan w:val="2"/>
          </w:tcPr>
          <w:p>
            <w:pPr>
              <w:spacing w:after="0"/>
              <w:rPr>
                <w:sz w:val="17"/>
                <w:szCs w:val="17"/>
                <w:color w:val="auto"/>
              </w:rPr>
            </w:pPr>
          </w:p>
        </w:tc>
        <w:tc>
          <w:tcPr>
            <w:tcW w:w="7820" w:type="dxa"/>
            <w:vAlign w:val="bottom"/>
            <w:gridSpan w:val="21"/>
          </w:tcPr>
          <w:p>
            <w:pPr>
              <w:spacing w:after="0" w:line="196"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Other Information</w:t>
              </w:r>
            </w:hyperlink>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500" w:type="dxa"/>
            <w:vAlign w:val="bottom"/>
            <w:gridSpan w:val="1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72">
              <w:r>
                <w:rPr>
                  <w:rFonts w:ascii="Times New Roman" w:cs="Times New Roman" w:eastAsia="Times New Roman" w:hAnsi="Times New Roman"/>
                  <w:sz w:val="18"/>
                  <w:szCs w:val="18"/>
                  <w:color w:val="0000EE"/>
                  <w:w w:val="97"/>
                </w:rPr>
                <w:t>Item 6.</w:t>
              </w:r>
            </w:hyperlink>
          </w:p>
        </w:tc>
        <w:tc>
          <w:tcPr>
            <w:tcW w:w="240" w:type="dxa"/>
            <w:vAlign w:val="bottom"/>
            <w:gridSpan w:val="2"/>
          </w:tcPr>
          <w:p>
            <w:pPr>
              <w:spacing w:after="0"/>
              <w:rPr>
                <w:sz w:val="17"/>
                <w:szCs w:val="17"/>
                <w:color w:val="auto"/>
              </w:rPr>
            </w:pPr>
          </w:p>
        </w:tc>
        <w:tc>
          <w:tcPr>
            <w:tcW w:w="7820" w:type="dxa"/>
            <w:vAlign w:val="bottom"/>
            <w:gridSpan w:val="21"/>
          </w:tcPr>
          <w:p>
            <w:pPr>
              <w:spacing w:after="0" w:line="196"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Exhibits</w:t>
              </w:r>
            </w:hyperlink>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7220" w:type="dxa"/>
            <w:vAlign w:val="bottom"/>
            <w:gridSpan w:val="1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80" w:type="dxa"/>
            <w:vAlign w:val="bottom"/>
            <w:gridSpan w:val="24"/>
          </w:tcPr>
          <w:p>
            <w:pPr>
              <w:spacing w:after="0" w:line="196"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SIGNATURES</w:t>
              </w:r>
            </w:hyperlink>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NEXTCURE,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42"/>
        </w:trPr>
        <w:tc>
          <w:tcPr>
            <w:tcW w:w="6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192,689</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135,173</w:t>
            </w:r>
          </w:p>
        </w:tc>
        <w:tc>
          <w:tcPr>
            <w:tcW w:w="0" w:type="dxa"/>
            <w:vAlign w:val="bottom"/>
          </w:tcPr>
          <w:p>
            <w:pPr>
              <w:spacing w:after="0"/>
              <w:rPr>
                <w:sz w:val="1"/>
                <w:szCs w:val="1"/>
                <w:color w:val="auto"/>
              </w:rPr>
            </w:pPr>
          </w:p>
        </w:tc>
      </w:tr>
      <w:tr>
        <w:trPr>
          <w:trHeight w:val="149"/>
        </w:trPr>
        <w:tc>
          <w:tcPr>
            <w:tcW w:w="68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460</w:t>
            </w:r>
          </w:p>
        </w:tc>
        <w:tc>
          <w:tcPr>
            <w:tcW w:w="0" w:type="dxa"/>
            <w:vAlign w:val="bottom"/>
          </w:tcPr>
          <w:p>
            <w:pPr>
              <w:spacing w:after="0"/>
              <w:rPr>
                <w:sz w:val="1"/>
                <w:szCs w:val="1"/>
                <w:color w:val="auto"/>
              </w:rPr>
            </w:pPr>
          </w:p>
        </w:tc>
      </w:tr>
      <w:tr>
        <w:trPr>
          <w:trHeight w:val="149"/>
        </w:trPr>
        <w:tc>
          <w:tcPr>
            <w:tcW w:w="68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2,959</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r>
        <w:trPr>
          <w:trHeight w:val="142"/>
        </w:trPr>
        <w:tc>
          <w:tcPr>
            <w:tcW w:w="680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196,521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135,785</w:t>
            </w:r>
          </w:p>
        </w:tc>
        <w:tc>
          <w:tcPr>
            <w:tcW w:w="0" w:type="dxa"/>
            <w:vAlign w:val="bottom"/>
          </w:tcPr>
          <w:p>
            <w:pPr>
              <w:spacing w:after="0"/>
              <w:rPr>
                <w:sz w:val="1"/>
                <w:szCs w:val="1"/>
                <w:color w:val="auto"/>
              </w:rPr>
            </w:pPr>
          </w:p>
        </w:tc>
      </w:tr>
      <w:tr>
        <w:trPr>
          <w:trHeight w:val="149"/>
        </w:trPr>
        <w:tc>
          <w:tcPr>
            <w:tcW w:w="68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12,329</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11,407</w:t>
            </w:r>
          </w:p>
        </w:tc>
        <w:tc>
          <w:tcPr>
            <w:tcW w:w="0" w:type="dxa"/>
            <w:vAlign w:val="bottom"/>
          </w:tcPr>
          <w:p>
            <w:pPr>
              <w:spacing w:after="0"/>
              <w:rPr>
                <w:sz w:val="1"/>
                <w:szCs w:val="1"/>
                <w:color w:val="auto"/>
              </w:rPr>
            </w:pPr>
          </w:p>
        </w:tc>
      </w:tr>
      <w:tr>
        <w:trPr>
          <w:trHeight w:val="149"/>
        </w:trPr>
        <w:tc>
          <w:tcPr>
            <w:tcW w:w="6800" w:type="dxa"/>
            <w:vAlign w:val="bottom"/>
            <w:tcBorders>
              <w:bottom w:val="single" w:sz="8" w:color="CCEEFF"/>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4,200</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436</w:t>
            </w:r>
          </w:p>
        </w:tc>
        <w:tc>
          <w:tcPr>
            <w:tcW w:w="0" w:type="dxa"/>
            <w:vAlign w:val="bottom"/>
          </w:tcPr>
          <w:p>
            <w:pPr>
              <w:spacing w:after="0"/>
              <w:rPr>
                <w:sz w:val="1"/>
                <w:szCs w:val="1"/>
                <w:color w:val="auto"/>
              </w:rPr>
            </w:pPr>
          </w:p>
        </w:tc>
      </w:tr>
      <w:tr>
        <w:trPr>
          <w:trHeight w:val="162"/>
        </w:trPr>
        <w:tc>
          <w:tcPr>
            <w:tcW w:w="680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213,050</w:t>
            </w:r>
          </w:p>
        </w:tc>
        <w:tc>
          <w:tcPr>
            <w:tcW w:w="2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147,628</w:t>
            </w:r>
          </w:p>
        </w:tc>
        <w:tc>
          <w:tcPr>
            <w:tcW w:w="0" w:type="dxa"/>
            <w:vAlign w:val="bottom"/>
          </w:tcPr>
          <w:p>
            <w:pPr>
              <w:spacing w:after="0"/>
              <w:rPr>
                <w:sz w:val="1"/>
                <w:szCs w:val="1"/>
                <w:color w:val="auto"/>
              </w:rPr>
            </w:pPr>
          </w:p>
        </w:tc>
      </w:tr>
      <w:tr>
        <w:trPr>
          <w:trHeight w:val="136"/>
        </w:trPr>
        <w:tc>
          <w:tcPr>
            <w:tcW w:w="6800" w:type="dxa"/>
            <w:vAlign w:val="bottom"/>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Liabilities, Preferred Stock and Stockholders’ Equity (Deficit)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1,990</w:t>
            </w:r>
          </w:p>
        </w:tc>
        <w:tc>
          <w:tcPr>
            <w:tcW w:w="200" w:type="dxa"/>
            <w:vAlign w:val="bottom"/>
          </w:tcPr>
          <w:p>
            <w:pPr>
              <w:spacing w:after="0"/>
              <w:rPr>
                <w:sz w:val="12"/>
                <w:szCs w:val="12"/>
                <w:color w:val="auto"/>
              </w:rPr>
            </w:pPr>
          </w:p>
        </w:tc>
        <w:tc>
          <w:tcPr>
            <w:tcW w:w="2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2,483</w:t>
            </w:r>
          </w:p>
        </w:tc>
        <w:tc>
          <w:tcPr>
            <w:tcW w:w="0" w:type="dxa"/>
            <w:vAlign w:val="bottom"/>
          </w:tcPr>
          <w:p>
            <w:pPr>
              <w:spacing w:after="0"/>
              <w:rPr>
                <w:sz w:val="1"/>
                <w:szCs w:val="1"/>
                <w:color w:val="auto"/>
              </w:rPr>
            </w:pPr>
          </w:p>
        </w:tc>
      </w:tr>
      <w:tr>
        <w:trPr>
          <w:trHeight w:val="149"/>
        </w:trPr>
        <w:tc>
          <w:tcPr>
            <w:tcW w:w="68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Accrued liabilities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2,171</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2,411</w:t>
            </w:r>
          </w:p>
        </w:tc>
        <w:tc>
          <w:tcPr>
            <w:tcW w:w="0" w:type="dxa"/>
            <w:vAlign w:val="bottom"/>
          </w:tcPr>
          <w:p>
            <w:pPr>
              <w:spacing w:after="0"/>
              <w:rPr>
                <w:sz w:val="1"/>
                <w:szCs w:val="1"/>
                <w:color w:val="auto"/>
              </w:rPr>
            </w:pPr>
          </w:p>
        </w:tc>
      </w:tr>
      <w:tr>
        <w:trPr>
          <w:trHeight w:val="149"/>
        </w:trPr>
        <w:tc>
          <w:tcPr>
            <w:tcW w:w="68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Deferred rent, current portion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49"/>
        </w:trPr>
        <w:tc>
          <w:tcPr>
            <w:tcW w:w="68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Term loan, current portion</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833</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387</w:t>
            </w:r>
          </w:p>
        </w:tc>
        <w:tc>
          <w:tcPr>
            <w:tcW w:w="0" w:type="dxa"/>
            <w:vAlign w:val="bottom"/>
          </w:tcPr>
          <w:p>
            <w:pPr>
              <w:spacing w:after="0"/>
              <w:rPr>
                <w:sz w:val="1"/>
                <w:szCs w:val="1"/>
                <w:color w:val="auto"/>
              </w:rPr>
            </w:pPr>
          </w:p>
        </w:tc>
      </w:tr>
      <w:tr>
        <w:trPr>
          <w:trHeight w:val="149"/>
        </w:trPr>
        <w:tc>
          <w:tcPr>
            <w:tcW w:w="6800" w:type="dxa"/>
            <w:vAlign w:val="bottom"/>
            <w:tcBorders>
              <w:bottom w:val="single" w:sz="8" w:color="CCEEFF"/>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Deferred revenue, current portion</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6,524</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4,989</w:t>
            </w:r>
          </w:p>
        </w:tc>
        <w:tc>
          <w:tcPr>
            <w:tcW w:w="0" w:type="dxa"/>
            <w:vAlign w:val="bottom"/>
          </w:tcPr>
          <w:p>
            <w:pPr>
              <w:spacing w:after="0"/>
              <w:rPr>
                <w:sz w:val="1"/>
                <w:szCs w:val="1"/>
                <w:color w:val="auto"/>
              </w:rPr>
            </w:pPr>
          </w:p>
        </w:tc>
      </w:tr>
      <w:tr>
        <w:trPr>
          <w:trHeight w:val="142"/>
        </w:trPr>
        <w:tc>
          <w:tcPr>
            <w:tcW w:w="68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11,524</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10,298</w:t>
            </w:r>
          </w:p>
        </w:tc>
        <w:tc>
          <w:tcPr>
            <w:tcW w:w="0" w:type="dxa"/>
            <w:vAlign w:val="bottom"/>
          </w:tcPr>
          <w:p>
            <w:pPr>
              <w:spacing w:after="0"/>
              <w:rPr>
                <w:sz w:val="1"/>
                <w:szCs w:val="1"/>
                <w:color w:val="auto"/>
              </w:rPr>
            </w:pPr>
          </w:p>
        </w:tc>
      </w:tr>
      <w:tr>
        <w:trPr>
          <w:trHeight w:val="149"/>
        </w:trPr>
        <w:tc>
          <w:tcPr>
            <w:tcW w:w="68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Deferred rent, net of current portion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242</w:t>
            </w:r>
          </w:p>
        </w:tc>
        <w:tc>
          <w:tcPr>
            <w:tcW w:w="0" w:type="dxa"/>
            <w:vAlign w:val="bottom"/>
          </w:tcPr>
          <w:p>
            <w:pPr>
              <w:spacing w:after="0"/>
              <w:rPr>
                <w:sz w:val="1"/>
                <w:szCs w:val="1"/>
                <w:color w:val="auto"/>
              </w:rPr>
            </w:pPr>
          </w:p>
        </w:tc>
      </w:tr>
      <w:tr>
        <w:trPr>
          <w:trHeight w:val="149"/>
        </w:trPr>
        <w:tc>
          <w:tcPr>
            <w:tcW w:w="68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Term loan, net of current portion</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4,167</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49"/>
        </w:trPr>
        <w:tc>
          <w:tcPr>
            <w:tcW w:w="6800" w:type="dxa"/>
            <w:vAlign w:val="bottom"/>
            <w:tcBorders>
              <w:bottom w:val="single" w:sz="8" w:color="CCEEFF"/>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Deferred revenue, net of current portion</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18,442</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21,736</w:t>
            </w:r>
          </w:p>
        </w:tc>
        <w:tc>
          <w:tcPr>
            <w:tcW w:w="0" w:type="dxa"/>
            <w:vAlign w:val="bottom"/>
          </w:tcPr>
          <w:p>
            <w:pPr>
              <w:spacing w:after="0"/>
              <w:rPr>
                <w:sz w:val="1"/>
                <w:szCs w:val="1"/>
                <w:color w:val="auto"/>
              </w:rPr>
            </w:pPr>
          </w:p>
        </w:tc>
      </w:tr>
      <w:tr>
        <w:trPr>
          <w:trHeight w:val="142"/>
        </w:trPr>
        <w:tc>
          <w:tcPr>
            <w:tcW w:w="68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34,455</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32,349</w:t>
            </w:r>
          </w:p>
        </w:tc>
        <w:tc>
          <w:tcPr>
            <w:tcW w:w="0" w:type="dxa"/>
            <w:vAlign w:val="bottom"/>
          </w:tcPr>
          <w:p>
            <w:pPr>
              <w:spacing w:after="0"/>
              <w:rPr>
                <w:sz w:val="1"/>
                <w:szCs w:val="1"/>
                <w:color w:val="auto"/>
              </w:rPr>
            </w:pPr>
          </w:p>
        </w:tc>
      </w:tr>
      <w:tr>
        <w:trPr>
          <w:trHeight w:val="142"/>
        </w:trPr>
        <w:tc>
          <w:tcPr>
            <w:tcW w:w="68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Commitments and contingencies (Note 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Redeemable preferred stock:</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800" w:type="dxa"/>
            <w:vAlign w:val="bottom"/>
          </w:tcPr>
          <w:p>
            <w:pPr>
              <w:ind w:left="120"/>
              <w:spacing w:after="0" w:line="126" w:lineRule="exact"/>
              <w:rPr>
                <w:sz w:val="20"/>
                <w:szCs w:val="20"/>
                <w:color w:val="auto"/>
              </w:rPr>
            </w:pPr>
            <w:r>
              <w:rPr>
                <w:rFonts w:ascii="Times New Roman" w:cs="Times New Roman" w:eastAsia="Times New Roman" w:hAnsi="Times New Roman"/>
                <w:sz w:val="14"/>
                <w:szCs w:val="14"/>
                <w:color w:val="auto"/>
              </w:rPr>
              <w:t>Series A Preferred Stock, par value of $0.001 per share; 0 and 68,181,819 shares authorized, issued and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71,000</w:t>
            </w:r>
          </w:p>
        </w:tc>
        <w:tc>
          <w:tcPr>
            <w:tcW w:w="0" w:type="dxa"/>
            <w:vAlign w:val="bottom"/>
          </w:tcPr>
          <w:p>
            <w:pPr>
              <w:spacing w:after="0"/>
              <w:rPr>
                <w:sz w:val="1"/>
                <w:szCs w:val="1"/>
                <w:color w:val="auto"/>
              </w:rPr>
            </w:pPr>
          </w:p>
        </w:tc>
      </w:tr>
      <w:tr>
        <w:trPr>
          <w:trHeight w:val="171"/>
        </w:trPr>
        <w:tc>
          <w:tcPr>
            <w:tcW w:w="6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outstanding at June 30, 2019 and December 31, 2018, respectively</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6800" w:type="dxa"/>
            <w:vAlign w:val="bottom"/>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Series B Preferred Stock, par value $0.001 per share; 0 and 56,828,852 shares authorized at June 30, 2019 and</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8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December 31, 2018, respectively, 0 and 56,828,851 shares issued and outstanding at June 30, 2019 and December</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91,223</w:t>
            </w:r>
          </w:p>
        </w:tc>
        <w:tc>
          <w:tcPr>
            <w:tcW w:w="0" w:type="dxa"/>
            <w:vAlign w:val="bottom"/>
          </w:tcPr>
          <w:p>
            <w:pPr>
              <w:spacing w:after="0"/>
              <w:rPr>
                <w:sz w:val="1"/>
                <w:szCs w:val="1"/>
                <w:color w:val="auto"/>
              </w:rPr>
            </w:pPr>
          </w:p>
        </w:tc>
      </w:tr>
      <w:tr>
        <w:trPr>
          <w:trHeight w:val="171"/>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31, 2018, respectively</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redeemable preferred stock</w:t>
            </w:r>
          </w:p>
        </w:tc>
        <w:tc>
          <w:tcPr>
            <w:tcW w:w="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162,223</w:t>
            </w:r>
          </w:p>
        </w:tc>
        <w:tc>
          <w:tcPr>
            <w:tcW w:w="0" w:type="dxa"/>
            <w:vAlign w:val="bottom"/>
          </w:tcPr>
          <w:p>
            <w:pPr>
              <w:spacing w:after="0"/>
              <w:rPr>
                <w:sz w:val="1"/>
                <w:szCs w:val="1"/>
                <w:color w:val="auto"/>
              </w:rPr>
            </w:pPr>
          </w:p>
        </w:tc>
      </w:tr>
      <w:tr>
        <w:trPr>
          <w:trHeight w:val="142"/>
        </w:trPr>
        <w:tc>
          <w:tcPr>
            <w:tcW w:w="68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Stockholders’ equity (deficit):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800" w:type="dxa"/>
            <w:vAlign w:val="bottom"/>
          </w:tcPr>
          <w:p>
            <w:pPr>
              <w:ind w:left="120"/>
              <w:spacing w:after="0" w:line="126" w:lineRule="exact"/>
              <w:rPr>
                <w:sz w:val="20"/>
                <w:szCs w:val="20"/>
                <w:color w:val="auto"/>
              </w:rPr>
            </w:pPr>
            <w:r>
              <w:rPr>
                <w:rFonts w:ascii="Times New Roman" w:cs="Times New Roman" w:eastAsia="Times New Roman" w:hAnsi="Times New Roman"/>
                <w:sz w:val="14"/>
                <w:szCs w:val="14"/>
                <w:color w:val="auto"/>
              </w:rPr>
              <w:t>Preferred stock, par value of $0.001 per share; 10,000,000 and 0 shares authorized at June 30, 2019 and December</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6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31, 2018. No shares issued and outstanding at June 30, 2019 and December 31, 2018, respectively</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6800" w:type="dxa"/>
            <w:vAlign w:val="bottom"/>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Common stock, par value of $0.001 per share; 100,000,000 and 158,745,671 shares authorized at June 30, 2019</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8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and December 31, 2018, respectively, 22,714,765, and 1,374,812 shares issued and outstanding at June 30, 2019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71"/>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and December 31, 2018, respectively</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8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240,245</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342</w:t>
            </w:r>
          </w:p>
        </w:tc>
        <w:tc>
          <w:tcPr>
            <w:tcW w:w="0" w:type="dxa"/>
            <w:vAlign w:val="bottom"/>
          </w:tcPr>
          <w:p>
            <w:pPr>
              <w:spacing w:after="0"/>
              <w:rPr>
                <w:sz w:val="1"/>
                <w:szCs w:val="1"/>
                <w:color w:val="auto"/>
              </w:rPr>
            </w:pPr>
          </w:p>
        </w:tc>
      </w:tr>
      <w:tr>
        <w:trPr>
          <w:trHeight w:val="149"/>
        </w:trPr>
        <w:tc>
          <w:tcPr>
            <w:tcW w:w="68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(61,673)</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(47,297)</w:t>
            </w:r>
          </w:p>
        </w:tc>
        <w:tc>
          <w:tcPr>
            <w:tcW w:w="0" w:type="dxa"/>
            <w:vAlign w:val="bottom"/>
          </w:tcPr>
          <w:p>
            <w:pPr>
              <w:spacing w:after="0"/>
              <w:rPr>
                <w:sz w:val="1"/>
                <w:szCs w:val="1"/>
                <w:color w:val="auto"/>
              </w:rPr>
            </w:pPr>
          </w:p>
        </w:tc>
      </w:tr>
      <w:tr>
        <w:trPr>
          <w:trHeight w:val="142"/>
        </w:trPr>
        <w:tc>
          <w:tcPr>
            <w:tcW w:w="68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stockholders’ equity (deficit)</w:t>
            </w:r>
          </w:p>
        </w:tc>
        <w:tc>
          <w:tcPr>
            <w:tcW w:w="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178,595</w:t>
            </w:r>
          </w:p>
        </w:tc>
        <w:tc>
          <w:tcPr>
            <w:tcW w:w="2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(46,944)</w:t>
            </w:r>
          </w:p>
        </w:tc>
        <w:tc>
          <w:tcPr>
            <w:tcW w:w="0" w:type="dxa"/>
            <w:vAlign w:val="bottom"/>
          </w:tcPr>
          <w:p>
            <w:pPr>
              <w:spacing w:after="0"/>
              <w:rPr>
                <w:sz w:val="1"/>
                <w:szCs w:val="1"/>
                <w:color w:val="auto"/>
              </w:rPr>
            </w:pPr>
          </w:p>
        </w:tc>
      </w:tr>
      <w:tr>
        <w:trPr>
          <w:trHeight w:val="149"/>
        </w:trPr>
        <w:tc>
          <w:tcPr>
            <w:tcW w:w="680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liabilities, preferred stock and stockholders’ equity (deficit)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213,050</w:t>
            </w:r>
          </w:p>
        </w:tc>
        <w:tc>
          <w:tcPr>
            <w:tcW w:w="2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147,628</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NEXTCURE, INC.</w:t>
      </w:r>
    </w:p>
    <w:p>
      <w:pPr>
        <w:spacing w:after="0" w:line="3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gridSpan w:val="5"/>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5"/>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research and development arrangement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(8,221)</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(14,376)</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(10,227)</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760" w:type="dxa"/>
            <w:vAlign w:val="bottom"/>
            <w:shd w:val="clear" w:color="auto" w:fill="CCEEFF"/>
          </w:tcPr>
          <w:p>
            <w:pPr>
              <w:ind w:left="100"/>
              <w:spacing w:after="0" w:line="178" w:lineRule="exact"/>
              <w:rPr>
                <w:sz w:val="20"/>
                <w:szCs w:val="20"/>
                <w:color w:val="auto"/>
              </w:rPr>
            </w:pPr>
            <w:r>
              <w:rPr>
                <w:rFonts w:ascii="Times New Roman" w:cs="Times New Roman" w:eastAsia="Times New Roman" w:hAnsi="Times New Roman"/>
                <w:sz w:val="18"/>
                <w:szCs w:val="18"/>
                <w:color w:val="auto"/>
              </w:rPr>
              <w:t>Net loss per share attributable to common stockholders—basic</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(0.61)</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(1.92)</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and diluted</w:t>
            </w:r>
          </w:p>
        </w:tc>
        <w:tc>
          <w:tcPr>
            <w:tcW w:w="240" w:type="dxa"/>
            <w:vAlign w:val="bottom"/>
            <w:gridSpan w:val="2"/>
            <w:vMerge w:val="continue"/>
            <w:shd w:val="clear" w:color="auto" w:fill="CCEEFF"/>
          </w:tcPr>
          <w:p>
            <w:pPr>
              <w:spacing w:after="0"/>
              <w:rPr>
                <w:sz w:val="20"/>
                <w:szCs w:val="20"/>
                <w:color w:val="auto"/>
              </w:rPr>
            </w:pPr>
          </w:p>
        </w:tc>
        <w:tc>
          <w:tcPr>
            <w:tcW w:w="960" w:type="dxa"/>
            <w:vAlign w:val="bottom"/>
            <w:gridSpan w:val="2"/>
            <w:vMerge w:val="continue"/>
            <w:shd w:val="clear" w:color="auto" w:fill="CCEEFF"/>
          </w:tcPr>
          <w:p>
            <w:pPr>
              <w:spacing w:after="0"/>
              <w:rPr>
                <w:sz w:val="20"/>
                <w:szCs w:val="20"/>
                <w:color w:val="auto"/>
              </w:rPr>
            </w:pPr>
          </w:p>
        </w:tc>
        <w:tc>
          <w:tcPr>
            <w:tcW w:w="180" w:type="dxa"/>
            <w:vAlign w:val="bottom"/>
            <w:gridSpan w:val="2"/>
            <w:vMerge w:val="continue"/>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260" w:type="dxa"/>
            <w:vAlign w:val="bottom"/>
            <w:gridSpan w:val="2"/>
            <w:vMerge w:val="continue"/>
            <w:shd w:val="clear" w:color="auto" w:fill="CCEEFF"/>
          </w:tcPr>
          <w:p>
            <w:pPr>
              <w:spacing w:after="0"/>
              <w:rPr>
                <w:sz w:val="20"/>
                <w:szCs w:val="20"/>
                <w:color w:val="auto"/>
              </w:rPr>
            </w:pPr>
          </w:p>
        </w:tc>
        <w:tc>
          <w:tcPr>
            <w:tcW w:w="860" w:type="dxa"/>
            <w:vAlign w:val="bottom"/>
            <w:gridSpan w:val="2"/>
            <w:vMerge w:val="continue"/>
            <w:shd w:val="clear" w:color="auto" w:fill="CCEEFF"/>
          </w:tcPr>
          <w:p>
            <w:pPr>
              <w:spacing w:after="0"/>
              <w:rPr>
                <w:sz w:val="20"/>
                <w:szCs w:val="20"/>
                <w:color w:val="auto"/>
              </w:rPr>
            </w:pPr>
          </w:p>
        </w:tc>
        <w:tc>
          <w:tcPr>
            <w:tcW w:w="180" w:type="dxa"/>
            <w:vAlign w:val="bottom"/>
            <w:gridSpan w:val="2"/>
            <w:vMerge w:val="continue"/>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Borders>
              <w:top w:val="single" w:sz="8" w:color="CCEEFF"/>
            </w:tcBorders>
          </w:tcPr>
          <w:p>
            <w:pPr>
              <w:ind w:left="100"/>
              <w:spacing w:after="0" w:line="171" w:lineRule="exact"/>
              <w:rPr>
                <w:sz w:val="20"/>
                <w:szCs w:val="20"/>
                <w:color w:val="auto"/>
              </w:rPr>
            </w:pPr>
            <w:r>
              <w:rPr>
                <w:rFonts w:ascii="Times New Roman" w:cs="Times New Roman" w:eastAsia="Times New Roman" w:hAnsi="Times New Roman"/>
                <w:sz w:val="18"/>
                <w:szCs w:val="18"/>
                <w:color w:val="auto"/>
              </w:rPr>
              <w:t>Weighted average common shares outstanding—basic and</w:t>
            </w:r>
          </w:p>
        </w:tc>
        <w:tc>
          <w:tcPr>
            <w:tcW w:w="16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98"/>
              </w:rPr>
              <w:t>13,498,393</w:t>
            </w:r>
          </w:p>
        </w:tc>
        <w:tc>
          <w:tcPr>
            <w:tcW w:w="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97"/>
              </w:rPr>
              <w:t>1,369,212</w:t>
            </w:r>
          </w:p>
        </w:tc>
        <w:tc>
          <w:tcPr>
            <w:tcW w:w="16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97"/>
              </w:rPr>
              <w:t>7,472,298</w:t>
            </w:r>
          </w:p>
        </w:tc>
        <w:tc>
          <w:tcPr>
            <w:tcW w:w="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97"/>
              </w:rPr>
              <w:t>1,369,212</w:t>
            </w:r>
          </w:p>
        </w:tc>
        <w:tc>
          <w:tcPr>
            <w:tcW w:w="6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1" w:right="139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NEXTCURE, INC.</w:t>
      </w:r>
    </w:p>
    <w:p>
      <w:pPr>
        <w:spacing w:after="0" w:line="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CONDENSED STATEMENTS OF PREFERRED STOCK AND STOCKHOLDERS’ EQUITY (DEFICIT)</w:t>
      </w:r>
    </w:p>
    <w:p>
      <w:pPr>
        <w:spacing w:after="0" w:line="63"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38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Six Months Ended June 30, 2019</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3"/>
            <w:vMerge w:val="restart"/>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20" w:type="dxa"/>
            <w:vAlign w:val="bottom"/>
            <w:gridSpan w:val="10"/>
            <w:vMerge w:val="restart"/>
          </w:tcPr>
          <w:p>
            <w:pPr>
              <w:ind w:left="300"/>
              <w:spacing w:after="0"/>
              <w:rPr>
                <w:sz w:val="20"/>
                <w:szCs w:val="20"/>
                <w:color w:val="auto"/>
              </w:rPr>
            </w:pPr>
            <w:r>
              <w:rPr>
                <w:rFonts w:ascii="Times New Roman" w:cs="Times New Roman" w:eastAsia="Times New Roman" w:hAnsi="Times New Roman"/>
                <w:sz w:val="13"/>
                <w:szCs w:val="13"/>
                <w:b w:val="1"/>
                <w:bCs w:val="1"/>
                <w:color w:val="auto"/>
              </w:rPr>
              <w:t>Stockholders’ Equity (Deficit)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3"/>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220" w:type="dxa"/>
            <w:vAlign w:val="bottom"/>
            <w:tcBorders>
              <w:bottom w:val="single" w:sz="8" w:color="auto"/>
            </w:tcBorders>
            <w:gridSpan w:val="10"/>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gridSpan w:val="3"/>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90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Series A</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Series B</w:t>
            </w:r>
          </w:p>
        </w:tc>
        <w:tc>
          <w:tcPr>
            <w:tcW w:w="5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3"/>
          </w:tcPr>
          <w:p>
            <w:pPr>
              <w:ind w:left="2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Common Stock</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84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74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w w:val="93"/>
              </w:rPr>
              <w:t>Stockholders’</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vMerge w:val="restart"/>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95"/>
        </w:trPr>
        <w:tc>
          <w:tcPr>
            <w:tcW w:w="2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380" w:type="dxa"/>
            <w:vAlign w:val="bottom"/>
          </w:tcPr>
          <w:p>
            <w:pPr>
              <w:spacing w:after="0"/>
              <w:rPr>
                <w:sz w:val="13"/>
                <w:szCs w:val="13"/>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6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3"/>
                <w:szCs w:val="13"/>
                <w:color w:val="auto"/>
              </w:rPr>
            </w:pPr>
          </w:p>
        </w:tc>
        <w:tc>
          <w:tcPr>
            <w:tcW w:w="640" w:type="dxa"/>
            <w:vAlign w:val="bottom"/>
            <w:tcBorders>
              <w:right w:val="single" w:sz="8" w:color="auto"/>
            </w:tcBorders>
            <w:gridSpan w:val="2"/>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0" w:type="dxa"/>
            <w:vAlign w:val="bottom"/>
          </w:tcPr>
          <w:p>
            <w:pPr>
              <w:spacing w:after="0"/>
              <w:rPr>
                <w:sz w:val="13"/>
                <w:szCs w:val="13"/>
                <w:color w:val="auto"/>
              </w:rPr>
            </w:pP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6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3"/>
                <w:szCs w:val="13"/>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3"/>
                <w:szCs w:val="13"/>
                <w:color w:val="auto"/>
              </w:rPr>
            </w:pP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(Deficit)</w:t>
            </w:r>
          </w:p>
        </w:tc>
        <w:tc>
          <w:tcPr>
            <w:tcW w:w="0" w:type="dxa"/>
            <w:vAlign w:val="bottom"/>
          </w:tcPr>
          <w:p>
            <w:pPr>
              <w:spacing w:after="0"/>
              <w:rPr>
                <w:sz w:val="1"/>
                <w:szCs w:val="1"/>
                <w:color w:val="auto"/>
              </w:rPr>
            </w:pPr>
          </w:p>
        </w:tc>
      </w:tr>
      <w:tr>
        <w:trPr>
          <w:trHeight w:val="129"/>
        </w:trPr>
        <w:tc>
          <w:tcPr>
            <w:tcW w:w="238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Balance as of December 31, 2018</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68,181,819</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71,000</w:t>
            </w:r>
          </w:p>
        </w:tc>
        <w:tc>
          <w:tcPr>
            <w:tcW w:w="1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56,828,851</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right w:val="single" w:sz="8" w:color="auto"/>
            </w:tcBorders>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91,223</w:t>
            </w:r>
          </w:p>
        </w:tc>
        <w:tc>
          <w:tcPr>
            <w:tcW w:w="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1,374,812</w:t>
            </w:r>
          </w:p>
        </w:tc>
        <w:tc>
          <w:tcPr>
            <w:tcW w:w="14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w:t>
            </w:r>
          </w:p>
        </w:tc>
        <w:tc>
          <w:tcPr>
            <w:tcW w:w="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352</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(47,297)</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(46,944)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8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Borders>
              <w:right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383</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Issuance of common stock</w:t>
            </w:r>
          </w:p>
        </w:tc>
        <w:tc>
          <w:tcPr>
            <w:tcW w:w="8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4,697</w:t>
            </w: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8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Borders>
              <w:right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(6,155)</w:t>
            </w: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(6,155)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8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Balance as of March 31, 2019</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68,181,819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71,000</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56,828,851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520" w:type="dxa"/>
            <w:vAlign w:val="bottom"/>
            <w:tcBorders>
              <w:top w:val="single" w:sz="8" w:color="auto"/>
              <w:bottom w:val="single" w:sz="8" w:color="auto"/>
              <w:right w:val="single" w:sz="8" w:color="auto"/>
            </w:tcBorders>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91,223</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1,379,509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739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(53,452)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(52,712)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380" w:type="dxa"/>
            <w:vAlign w:val="bottom"/>
          </w:tcPr>
          <w:p>
            <w:pPr>
              <w:ind w:left="120"/>
              <w:spacing w:after="0" w:line="91" w:lineRule="exact"/>
              <w:rPr>
                <w:sz w:val="20"/>
                <w:szCs w:val="20"/>
                <w:color w:val="auto"/>
              </w:rPr>
            </w:pPr>
            <w:r>
              <w:rPr>
                <w:rFonts w:ascii="Times New Roman" w:cs="Times New Roman" w:eastAsia="Times New Roman" w:hAnsi="Times New Roman"/>
                <w:sz w:val="9"/>
                <w:szCs w:val="9"/>
                <w:color w:val="auto"/>
              </w:rPr>
              <w:t>Initial public offering, net of issuance</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costs of $9.4M</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Borders>
              <w:right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5,750,000</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76,844</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76,850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38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Conversion of preferred stock to common</w:t>
            </w: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stock</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95"/>
              </w:rPr>
              <w:t>(68,181,819)</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w w:val="98"/>
              </w:rPr>
              <w:t>(71,000)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(56,828,851)</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tcBorders>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4"/>
              </w:rPr>
              <w:t>(91,223)</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15,560,569</w:t>
            </w: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162,208</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162,223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3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8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Borders>
              <w:right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412</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412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38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Issuance of common stock upon exercise</w:t>
            </w: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of vested options, $.001 par value</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tcBorders>
              <w:right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24,687</w:t>
            </w: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3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8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Borders>
              <w:right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(8,221)</w:t>
            </w: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(8,221)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38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Balance as of June 30, 2019</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right w:val="single" w:sz="8" w:color="auto"/>
            </w:tcBorders>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5"/>
              </w:rPr>
              <w:t>22,714,765</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23</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$ 240,245</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(61,673)</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178,595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5"/>
        </w:trPr>
        <w:tc>
          <w:tcPr>
            <w:tcW w:w="238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Six Months Ended June 30, 2018</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3"/>
            <w:vMerge w:val="restart"/>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gridSpan w:val="8"/>
            <w:vMerge w:val="restart"/>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w w:val="95"/>
              </w:rPr>
              <w:t>Stockholders’ Deficit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3"/>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8"/>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gridSpan w:val="3"/>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380" w:type="dxa"/>
            <w:vAlign w:val="bottom"/>
          </w:tcPr>
          <w:p>
            <w:pPr>
              <w:spacing w:after="0"/>
              <w:rPr>
                <w:sz w:val="13"/>
                <w:szCs w:val="13"/>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Series A</w:t>
            </w:r>
          </w:p>
        </w:tc>
        <w:tc>
          <w:tcPr>
            <w:tcW w:w="4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Series B</w:t>
            </w:r>
          </w:p>
        </w:tc>
        <w:tc>
          <w:tcPr>
            <w:tcW w:w="520" w:type="dxa"/>
            <w:vAlign w:val="bottom"/>
            <w:tcBorders>
              <w:bottom w:val="single" w:sz="8" w:color="auto"/>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3"/>
                <w:szCs w:val="13"/>
                <w:b w:val="1"/>
                <w:bCs w:val="1"/>
                <w:color w:val="auto"/>
                <w:w w:val="98"/>
              </w:rPr>
              <w:t>Common Stock</w:t>
            </w: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7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w w:val="93"/>
              </w:rPr>
              <w:t>Stockholders’</w:t>
            </w:r>
          </w:p>
        </w:tc>
        <w:tc>
          <w:tcPr>
            <w:tcW w:w="0" w:type="dxa"/>
            <w:vAlign w:val="bottom"/>
          </w:tcPr>
          <w:p>
            <w:pPr>
              <w:spacing w:after="0"/>
              <w:rPr>
                <w:sz w:val="1"/>
                <w:szCs w:val="1"/>
                <w:color w:val="auto"/>
              </w:rPr>
            </w:pPr>
          </w:p>
        </w:tc>
      </w:tr>
      <w:tr>
        <w:trPr>
          <w:trHeight w:val="129"/>
        </w:trPr>
        <w:tc>
          <w:tcPr>
            <w:tcW w:w="2380" w:type="dxa"/>
            <w:vAlign w:val="bottom"/>
          </w:tcPr>
          <w:p>
            <w:pPr>
              <w:spacing w:after="0"/>
              <w:rPr>
                <w:sz w:val="11"/>
                <w:szCs w:val="11"/>
                <w:color w:val="auto"/>
              </w:rPr>
            </w:pPr>
          </w:p>
        </w:tc>
        <w:tc>
          <w:tcPr>
            <w:tcW w:w="800" w:type="dxa"/>
            <w:vAlign w:val="bottom"/>
            <w:gridSpan w:val="2"/>
          </w:tcPr>
          <w:p>
            <w:pPr>
              <w:jc w:val="right"/>
              <w:ind w:right="28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56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1"/>
                <w:szCs w:val="11"/>
                <w:color w:val="auto"/>
              </w:rPr>
            </w:pPr>
          </w:p>
        </w:tc>
        <w:tc>
          <w:tcPr>
            <w:tcW w:w="66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1"/>
                <w:szCs w:val="11"/>
                <w:color w:val="auto"/>
              </w:rPr>
            </w:pPr>
          </w:p>
        </w:tc>
        <w:tc>
          <w:tcPr>
            <w:tcW w:w="640" w:type="dxa"/>
            <w:vAlign w:val="bottom"/>
            <w:tcBorders>
              <w:right w:val="single" w:sz="8" w:color="auto"/>
            </w:tcBorders>
            <w:gridSpan w:val="2"/>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60" w:type="dxa"/>
            <w:vAlign w:val="bottom"/>
          </w:tcPr>
          <w:p>
            <w:pPr>
              <w:spacing w:after="0"/>
              <w:rPr>
                <w:sz w:val="11"/>
                <w:szCs w:val="11"/>
                <w:color w:val="auto"/>
              </w:rPr>
            </w:pPr>
          </w:p>
        </w:tc>
        <w:tc>
          <w:tcPr>
            <w:tcW w:w="62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660" w:type="dxa"/>
            <w:vAlign w:val="bottom"/>
            <w:gridSpan w:val="3"/>
          </w:tcPr>
          <w:p>
            <w:pPr>
              <w:ind w:left="140"/>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1"/>
                <w:szCs w:val="11"/>
                <w:color w:val="auto"/>
              </w:rPr>
            </w:pPr>
          </w:p>
        </w:tc>
        <w:tc>
          <w:tcPr>
            <w:tcW w:w="720" w:type="dxa"/>
            <w:vAlign w:val="bottom"/>
            <w:gridSpan w:val="2"/>
          </w:tcPr>
          <w:p>
            <w:pPr>
              <w:jc w:val="right"/>
              <w:ind w:right="320"/>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1"/>
                <w:szCs w:val="11"/>
                <w:color w:val="auto"/>
              </w:rPr>
            </w:pPr>
          </w:p>
        </w:tc>
        <w:tc>
          <w:tcPr>
            <w:tcW w:w="640" w:type="dxa"/>
            <w:vAlign w:val="bottom"/>
            <w:gridSpan w:val="2"/>
          </w:tcPr>
          <w:p>
            <w:pPr>
              <w:jc w:val="center"/>
              <w:ind w:right="120"/>
              <w:spacing w:after="0" w:line="129"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129"/>
        </w:trPr>
        <w:tc>
          <w:tcPr>
            <w:tcW w:w="238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Balance as of December 31, 2017</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40,000,000</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40,000</w:t>
            </w:r>
          </w:p>
        </w:tc>
        <w:tc>
          <w:tcPr>
            <w:tcW w:w="1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right w:val="single" w:sz="8" w:color="auto"/>
            </w:tcBorders>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1,369,212</w:t>
            </w:r>
          </w:p>
        </w:tc>
        <w:tc>
          <w:tcPr>
            <w:tcW w:w="14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w:t>
            </w:r>
          </w:p>
        </w:tc>
        <w:tc>
          <w:tcPr>
            <w:tcW w:w="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84</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(24,498)</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(24,413)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8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Borders>
              <w:right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8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(4,996)</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(4,996)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38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color w:val="auto"/>
              </w:rPr>
              <w:t>Balance as of March 31, 2018</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40,000,000</w:t>
            </w: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40,000</w:t>
            </w:r>
          </w:p>
        </w:tc>
        <w:tc>
          <w:tcPr>
            <w:tcW w:w="120" w:type="dxa"/>
            <w:vAlign w:val="bottom"/>
            <w:tcBorders>
              <w:bottom w:val="single" w:sz="8" w:color="CCEEFF"/>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right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1,369,212</w:t>
            </w:r>
          </w:p>
        </w:tc>
        <w:tc>
          <w:tcPr>
            <w:tcW w:w="140" w:type="dxa"/>
            <w:vAlign w:val="bottom"/>
            <w:tcBorders>
              <w:bottom w:val="single" w:sz="8" w:color="CCEEFF"/>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w:t>
            </w:r>
          </w:p>
        </w:tc>
        <w:tc>
          <w:tcPr>
            <w:tcW w:w="20" w:type="dxa"/>
            <w:vAlign w:val="bottom"/>
            <w:tcBorders>
              <w:top w:val="single" w:sz="8" w:color="auto"/>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108</w:t>
            </w:r>
          </w:p>
        </w:tc>
        <w:tc>
          <w:tcPr>
            <w:tcW w:w="1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(29,494)</w:t>
            </w: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(29,385)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380" w:type="dxa"/>
            <w:vAlign w:val="bottom"/>
            <w:shd w:val="clear" w:color="auto" w:fill="CCEEFF"/>
          </w:tcPr>
          <w:p>
            <w:pPr>
              <w:ind w:left="120"/>
              <w:spacing w:after="0" w:line="104" w:lineRule="exact"/>
              <w:rPr>
                <w:sz w:val="20"/>
                <w:szCs w:val="20"/>
                <w:color w:val="auto"/>
              </w:rPr>
            </w:pPr>
            <w:r>
              <w:rPr>
                <w:rFonts w:ascii="Times New Roman" w:cs="Times New Roman" w:eastAsia="Times New Roman" w:hAnsi="Times New Roman"/>
                <w:sz w:val="11"/>
                <w:szCs w:val="11"/>
                <w:color w:val="auto"/>
              </w:rPr>
              <w:t>Issuance of Series A-3 preferred stock,</w:t>
            </w: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tcBorders>
              <w:right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net of issuance costs of $0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28,181,819</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31,000</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tcBorders>
              <w:right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3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8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Borders>
              <w:right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8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(5,231)</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(5,231)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38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Balance as of June 30, 2018</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68,181,819</w:t>
            </w:r>
          </w:p>
        </w:tc>
        <w:tc>
          <w:tcPr>
            <w:tcW w:w="14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71,000</w:t>
            </w:r>
          </w:p>
        </w:tc>
        <w:tc>
          <w:tcPr>
            <w:tcW w:w="12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right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1,369,212</w:t>
            </w:r>
          </w:p>
        </w:tc>
        <w:tc>
          <w:tcPr>
            <w:tcW w:w="140" w:type="dxa"/>
            <w:vAlign w:val="bottom"/>
          </w:tcPr>
          <w:p>
            <w:pPr>
              <w:spacing w:after="0"/>
              <w:rPr>
                <w:sz w:val="11"/>
                <w:szCs w:val="11"/>
                <w:color w:val="auto"/>
              </w:rPr>
            </w:pPr>
          </w:p>
        </w:tc>
        <w:tc>
          <w:tcPr>
            <w:tcW w:w="34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w:t>
            </w:r>
          </w:p>
        </w:tc>
        <w:tc>
          <w:tcPr>
            <w:tcW w:w="20" w:type="dxa"/>
            <w:vAlign w:val="bottom"/>
            <w:tcBorders>
              <w:top w:val="single" w:sz="8" w:color="auto"/>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132</w:t>
            </w:r>
          </w:p>
        </w:tc>
        <w:tc>
          <w:tcPr>
            <w:tcW w:w="14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(34,725)</w:t>
            </w:r>
          </w:p>
        </w:tc>
        <w:tc>
          <w:tcPr>
            <w:tcW w:w="1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(34,592)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1" w:right="139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NEXTCURE,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4"/>
          <w:szCs w:val="14"/>
          <w:b w:val="1"/>
          <w:bCs w:val="1"/>
          <w:color w:val="auto"/>
        </w:rPr>
        <w:t>Six Months Ended</w:t>
      </w:r>
    </w:p>
    <w:p>
      <w:pPr>
        <w:ind w:left="772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0" w:type="dxa"/>
        <w:tblCellMar>
          <w:top w:w="0" w:type="dxa"/>
          <w:left w:w="0" w:type="dxa"/>
          <w:bottom w:w="0" w:type="dxa"/>
          <w:right w:w="0" w:type="dxa"/>
        </w:tblCellMar>
      </w:tblPr>
      <w:tr>
        <w:trPr>
          <w:trHeight w:val="142"/>
        </w:trPr>
        <w:tc>
          <w:tcPr>
            <w:tcW w:w="66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r>
      <w:tr>
        <w:trPr>
          <w:trHeight w:val="21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(14,376)</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(10,227)</w:t>
            </w:r>
          </w:p>
        </w:tc>
      </w:tr>
      <w:tr>
        <w:trPr>
          <w:trHeight w:val="216"/>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r>
      <w:tr>
        <w:trPr>
          <w:trHeight w:val="216"/>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(2,815)</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6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(493)</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r>
      <w:tr>
        <w:trPr>
          <w:trHeight w:val="216"/>
        </w:trPr>
        <w:tc>
          <w:tcPr>
            <w:tcW w:w="6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Accrued liabilities and other current liabilities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(182)</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r>
      <w:tr>
        <w:trPr>
          <w:trHeight w:val="216"/>
        </w:trPr>
        <w:tc>
          <w:tcPr>
            <w:tcW w:w="6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(1,759)</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0"/>
        </w:trPr>
        <w:tc>
          <w:tcPr>
            <w:tcW w:w="664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(17,685)</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(9,760)</w:t>
            </w: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(2,067)</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r>
      <w:tr>
        <w:trPr>
          <w:trHeight w:val="210"/>
        </w:trPr>
        <w:tc>
          <w:tcPr>
            <w:tcW w:w="66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2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w:t>
            </w:r>
          </w:p>
        </w:tc>
      </w:tr>
      <w:tr>
        <w:trPr>
          <w:trHeight w:val="21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initial public offering, net of issuance costs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77,264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issuance of preferred stock, net of issuance costs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31,000</w:t>
            </w: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the term loan</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Payments of the term loan</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10"/>
        </w:trPr>
        <w:tc>
          <w:tcPr>
            <w:tcW w:w="664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81,847</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30,800</w:t>
            </w: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62,095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20,187</w:t>
            </w: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cash—beginning of year</w:t>
            </w: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135,633</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9,287</w:t>
            </w:r>
          </w:p>
        </w:tc>
      </w:tr>
      <w:tr>
        <w:trPr>
          <w:trHeight w:val="217"/>
        </w:trPr>
        <w:tc>
          <w:tcPr>
            <w:tcW w:w="6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cash—end of period</w:t>
            </w:r>
          </w:p>
        </w:tc>
        <w:tc>
          <w:tcPr>
            <w:tcW w:w="2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197,728</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29,474</w:t>
            </w:r>
          </w:p>
        </w:tc>
      </w:tr>
      <w:tr>
        <w:trPr>
          <w:trHeight w:val="216"/>
        </w:trPr>
        <w:tc>
          <w:tcPr>
            <w:tcW w:w="6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3"/>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paid for interest</w:t>
            </w:r>
          </w:p>
        </w:tc>
        <w:tc>
          <w:tcPr>
            <w:tcW w:w="48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6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disclosures of noncash investing and financing activities: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23"/>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of property and equipment included in accrued liabilities</w:t>
            </w:r>
          </w:p>
        </w:tc>
        <w:tc>
          <w:tcPr>
            <w:tcW w:w="48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Pr>
          <w:p>
            <w:pPr>
              <w:spacing w:after="0"/>
              <w:rPr>
                <w:sz w:val="19"/>
                <w:szCs w:val="19"/>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66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financing costs in accrued liabilities</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640" w:type="dxa"/>
            <w:vAlign w:val="bottom"/>
          </w:tcPr>
          <w:p>
            <w:pPr>
              <w:ind w:left="120"/>
              <w:spacing w:after="0" w:line="203" w:lineRule="exact"/>
              <w:rPr>
                <w:sz w:val="20"/>
                <w:szCs w:val="20"/>
                <w:color w:val="auto"/>
              </w:rPr>
            </w:pPr>
            <w:r>
              <w:rPr>
                <w:rFonts w:ascii="Times New Roman" w:cs="Times New Roman" w:eastAsia="Times New Roman" w:hAnsi="Times New Roman"/>
                <w:sz w:val="18"/>
                <w:szCs w:val="18"/>
                <w:color w:val="auto"/>
              </w:rPr>
              <w:t>Conversion of convertible preferred stock into common stock</w:t>
            </w:r>
          </w:p>
        </w:tc>
        <w:tc>
          <w:tcPr>
            <w:tcW w:w="280" w:type="dxa"/>
            <w:vAlign w:val="bottom"/>
          </w:tcPr>
          <w:p>
            <w:pPr>
              <w:spacing w:after="0"/>
              <w:rPr>
                <w:sz w:val="18"/>
                <w:szCs w:val="18"/>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162,223</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NEXTCURE,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29" w:lineRule="exact"/>
        <w:rPr>
          <w:sz w:val="20"/>
          <w:szCs w:val="20"/>
          <w:color w:val="auto"/>
        </w:rPr>
      </w:pPr>
    </w:p>
    <w:p>
      <w:pPr>
        <w:jc w:val="both"/>
        <w:ind w:firstLine="648"/>
        <w:spacing w:after="0" w:line="220" w:lineRule="exact"/>
        <w:rPr>
          <w:sz w:val="20"/>
          <w:szCs w:val="20"/>
          <w:color w:val="auto"/>
        </w:rPr>
      </w:pPr>
      <w:r>
        <w:rPr>
          <w:rFonts w:ascii="Times New Roman" w:cs="Times New Roman" w:eastAsia="Times New Roman" w:hAnsi="Times New Roman"/>
          <w:sz w:val="17"/>
          <w:szCs w:val="17"/>
          <w:color w:val="auto"/>
        </w:rPr>
        <w:t>NextCure, Inc. (“NextCure” or the “Company”) was incorporated in Delaware in September 2015 and is headquartered in Beltsville, Maryland. The Company is a clinical-stage biopharmaceutical company committed to discovering and developing novel, first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in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class immunomedicines to treat cancer and other immune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related diseases by restoring normal immune function. Through its proprietary Functional, Integrated, NextCure Discovery in Immuno</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Oncology (“FIND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IO”) platform, the Company studies various immune cells in order to discover and understand targets and structural components of immune cells and their functional impact in order to develop immunomedicines. Since inception, the Company has devoted substantially all of its efforts and financial resources to organizing and staffing the Company, identifying business development opportunities, raising capital, securing intellectual property rights related to the Company’s product candidates, building and optimizing the Company’s manufacturing capabilities and conducting discovery, research and development activities for the Company’s product candidates, discovery programs and its FIND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IO platform.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May 13, 2019, the Company closed its initial public offering (“IPO”), in which the Company issued and sold 5,750,000 shares of common stock at a public offering price of $15.00 per share, for net proceeds to the Company of approximately $77.0 million after deducting underwriting discounts and commissions of $6.0 million and offering expenses of approximately $3.4 million.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preparation for the IPO, on May 3, 2019, the Company effected a one-for-8.0338 reverse stock split of its issued and outstanding common stock. The par value and authorized shares of common stock were not adjusted as a result of the reverse stock split. All of the share and per share information presented in the accompanying financial statements has been adjusted to reflect the reverse common stock split on a retroactive basis for all periods and as of all dates presented.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the closing of the IPO, on May 13, 2019, all of the outstanding shares of the Company’s convertible preferred stock automatically converted into 15,560,569 shares of common stock at the applicable conversion ratio then in effect. Subsequent to the closing of the IPO, there were no shares of preferred stock outstanding.</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the closing of the IPO, on May 13, 2019, the Company’s certificate of incorporation was amended and restated to provide for 100,000,000 authorized shares of common stock with a par value of $0.001 per share and 10,000,000 authorized shares of preferred stock with a par value of $0.001 per share.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not generated any revenue to date from product sales and does not expect to generate any revenues from product sales in the foreseeable future. Through June 2019, the Company has funded its operations primarily with proceeds from the sale of preferred stock and proceeds from the Company’s agreement with Eli Lilly and Company (Note 5) and proceeds from the IPO. The Company expects to incur additional operating losses and negative operating cash flows for the foreseeable future.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financial statements as of June 30, 2019 and for the three and six months ended June 30, 2019 and 2018 have been prepared by the Company in conformity with accounting principles generally accepted in the United States of America (“GAAP”) and pursuant to the rules and regulations of the Securities 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NEXTCURE,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Exchange Commission (“SEC”) for interim financial statements. Certain information and footnote disclosures normally included in financial statements prepared in accordance with GAAP have been condensed or omitted pursuant to such rules and regulations. Accordingly, these condensed financial statements should be read in conjunction with the Company’s audited financial statements and the notes thereto as of and for the year ended December 31, 2018, which are included in the Company’s final prospectus that forms a part of the Company’s Registration Statement on Form S-1 (Reg. No. 333-230837) (the “Registration Statement”), as filed with the SEC pursuant to Rule 424(b)(4) under the Securities Act of 1933, as amended, on May 9, 2019.</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unaudited interim condensed financial statements have been prepared on the same basis as the audited financial statements. In the opinion of management, the accompanying unaudited interim condensed financial statements contain all adjustments necessary for a fair statement of the Company’s financial position as of June 30, 2019 and condensed results of operations and cash flows for the three and six months ended June 30, 2019 and 2018. Such adjustments are of a normal and recurring nature. The results of operations for the three and six months ended June 30, 2019 are not necessarily indicative of the results of operations that may be expected for the year ending December 31, 2019.</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648"/>
        <w:spacing w:after="0" w:line="220" w:lineRule="exact"/>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management to make estimates and assumptions that affect the amounts reported in the financial statements and accompanying notes. On an ongoing basis, management evaluates its estimates, including those related to accrued expenses, revenue recognition, the valuation of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including incentive stock options, common stock and restricted common stock, as well as income taxes. The Company bases its estimates on various assumptions that the Company believes to be reasonable under the circumstances. Actual results could differ from those estimates.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is required, as a condition of its Term Loan (Note 7), to maintain cash collateral on deposit in a segregated money market bank account equal to the principal portion of the Term Loan, as determined on a quarterly basis. The bank may restrict withdrawals or transfers by or on behalf of the Company that would violate this requirement. The required reserve totaled $5.0 million as of June 30, 2019. This amount is presented as restricted cash on the accompanying balance sheet.</w:t>
      </w:r>
    </w:p>
    <w:p>
      <w:pPr>
        <w:spacing w:after="0" w:line="1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reconciles cash and cash equivalents and restricted cash per the balance sheet to the statement of cash flows (in thousands):</w:t>
      </w:r>
    </w:p>
    <w:p>
      <w:pPr>
        <w:spacing w:after="0" w:line="15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42"/>
        </w:trPr>
        <w:tc>
          <w:tcPr>
            <w:tcW w:w="4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192,689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135,173</w:t>
            </w:r>
          </w:p>
        </w:tc>
      </w:tr>
      <w:tr>
        <w:trPr>
          <w:trHeight w:val="216"/>
        </w:trPr>
        <w:tc>
          <w:tcPr>
            <w:tcW w:w="4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Restricted cash (including $4,200 in other assets)</w:t>
            </w: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5,039</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17"/>
        </w:trPr>
        <w:tc>
          <w:tcPr>
            <w:tcW w:w="44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197,728</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135,633</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has adopted Accounting Standards Codification Topic 606, Revenue from Contracts with Customers (“ASC 606”). Under ASC 606, an entity recognizes revenue when its customer obtains control of promised goods or services in an amount that reflects the consideration that the entity expects to receive in exchange for those goods or services. To determine the appropriate amount of revenue to be recognized for arrangements determined to be within the scope of ASC 606, the Company performs the following five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NEXTCURE,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variable consideration; (iv) allocation of the transaction price to the performance obligations; and (v) recognition of revenue when (or as) the Company satisfies each performance obligation. The Company only applies the five-step model to contracts when it is probable that the Company will collect consideration to which it is entitled in exchange for the goods or services it transfers to the customer.</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evaluates customer options for material rights or options to acquire additional goods or services for free or at a discount. If the customer options are determined to represent a material right, the material right is recognized as a separate performance obligation at the outset of the arrangement.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Performance obligations are promised goods or services in a contract to transfer a distinct good or service to the customer and are considered distinct when (i) the customer can benefit from the good or service on its own or together with other readily available resources and (ii) the promised good or service is separately identifiable from other promises in the contract. In assessing whether promised goods or services are distinct, the Company considers factors such as the stage of development of the underlying intellectual property, the capabilities of the customer to develop the intellectual property on its own or whether the required expertise is readily available and whether the goods or services are integral to or dependent on other goods or services in the contract.</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estimates the transaction price based on the amount expected to be received for transferring the promised goods or services in the contract. Consideration generally may include fixed consideration or variable consideration. Should an arrangement include variable consideration, the Company will evaluate the amount of potential payments and the likelihood that the payments will be received. The Company will utilize either the most likely amount method or expected amount method to estimate the amount expected to be received based on which method best predicts the amount expected to be received. The amount of variable consideration that is included in the transaction price may be constrained and will be included in the transaction price only to the extent that it is probable that a significant reversal in the amount of the cumulative revenue recognized will not occur in a future period.</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Company’s contracts may include development and regulatory milestone payments which would be assessed under the most likely amount method and constrained if it is probable that a significant revenue reversal would occur. Milestone payments that are not within the Company’s control or the licensee’s control, such as regulatory approvals, will not be considered probable of being achieved until those approvals are received. At the end of each reporting period, the Company re-evaluates the probability of achievement of such development milestones and any related constraint, and if necessary, adjusts its estimate of the overall transaction price. Any such adjustments would be recorded on a cumulative catch-up basis, which would affect collaboration revenues in the period of adjustment.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arrangements that include sales-based royalties, including milestone payments based on the level of sales, and the license is deemed to be the predominant item to which the royalties relate, the Company will recognize revenue at the later of (i) when the related sales occur and (ii) when the performance obligation to which some or all of the royalty has been allocated has been satisfied (or partially satisfied).</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allocates the transaction price based on the estimated stand-alone selling price of each of the performance obligations. The Company must develop assumptions that require judgment to determine the stand-alone selling price for each performance obligation identified in the contract. The Company utilizes key assumptions to determine the stand-alone selling price for service obligations, which may include other comparable transactions, pricing considered in negotiating the transaction and the estimated costs. Additionally, in determining the standalone selling price for material rights, the Company may reference comparable transactions, clinical trial success probabilities and estimates of option exercise likelihood. Variable consideration will be allocated specifically to one or more performance obligations in a contract when the terms of the variable consideration relate to the satisfaction of the performance obligation and the resulting amounts allocated are consistent with the amounts the Company would expect to receive for the satisfaction of each performance obligation.</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consideration allocated to each performance obligation is recognized as revenue when control is transferred for the related goods or services. For performance obligations which consist of licenses and other promises, the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NEXTCURE,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utilizes judgment to assess the nature of the combined performance obligation to determine whether the combined performance obligation is satisfied over time or at a point in time and, if over time, the appropriate method of measuring progress. The Company evaluates the measure of progress each reporting period and, if necessary, adjusts the measure of performance and related revenue recognition.</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Upfront payments and fees are recorded as deferred revenue upon receipt or when due until the Company performs its obligations under these arrangements. Amounts expected to be recognized as revenue within the 12 months following the balance sheet date are classified as current portion of deferred revenue in the accompanying condensed balance sheets. Amounts not expected to be recognized as revenue within the 12 months following the balance sheet date are classified as deferred revenue, net of current portion. Amounts are recorded as accounts receivable when the Company’s right to consideration is unconditional.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qualifies as an emerging growth company (“EGC”) as defined under the Jumpstart Our Business Startups Act (the “JOBS Act”). Using exemptions provided under the JOBS Act provided to EGCs, the Company has elected to defer compliance with new or revised financial accounting standards until it is required to comply with such standards.</w:t>
      </w:r>
    </w:p>
    <w:p>
      <w:pPr>
        <w:spacing w:after="0" w:line="20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(“ASU 2016-02”). The new guidance requires lessees to record most leases on their balance sheets and recognize the related expenses on their income statements in a manner similar to current practice. ASU 2016-02 states that a lessee would recognize a lease liability for the obligation to make lease payments and a right-to-use asset for the right to use the underlying asset for the lease term. The standard is effective for the Company January 1, 2020. Early adoption is permitted. The Company is currently evaluating the effect of this standard on its financial statements.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November 2018, the FASB issued ASU No. 2018-18, </w:t>
      </w:r>
      <w:r>
        <w:rPr>
          <w:rFonts w:ascii="Times New Roman" w:cs="Times New Roman" w:eastAsia="Times New Roman" w:hAnsi="Times New Roman"/>
          <w:sz w:val="18"/>
          <w:szCs w:val="18"/>
          <w:i w:val="1"/>
          <w:iCs w:val="1"/>
          <w:color w:val="auto"/>
        </w:rPr>
        <w:t>Collaborative Arrangements (Topic 808): Clarifying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Interaction between Topic 808 and Topic 606</w:t>
      </w:r>
      <w:r>
        <w:rPr>
          <w:rFonts w:ascii="Times New Roman" w:cs="Times New Roman" w:eastAsia="Times New Roman" w:hAnsi="Times New Roman"/>
          <w:sz w:val="18"/>
          <w:szCs w:val="18"/>
          <w:color w:val="auto"/>
        </w:rPr>
        <w:t>. The amendment clarifies that certain transactions between collaborative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 participants should be accounted for as revenue under Topic 606 when the collaborative arrangement participant is a customer in the context of a unit of account. In those situations, all the guidance in Topic 606 should be applied, including recognition, measurement, presentation and disclosure requirements. The amendment also adds unit of account guidance in Topic 808 to align with the guidance in Topic 606 (that is, a distinct good or service) when an entity is assessing whether the collaborative arrangement or a part of the arrangement is within the scope of Topic 606. Lastly, the amendment requires that in a transaction with a collaborative arrangement participant that is not directly related to sales to third parties, presenting the transaction together with revenue recognized under Topic 606 is precluded if the collaborative arrangement participant is not a customer. For public business entities, the amendments are effective for fiscal years beginning after December 15, 2019, and interim periods within those fiscal years. The Company is currently evaluating these clarifications in the accounting and presentation for its collaborative arrangements within the scope of Topic 808 but does not expect it will have any impact.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of Financial Instruments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certain financial assets recorded at fair value, which have been classified as Level 1, 2 or 3 within the fair value hierarchy as described in the accounting standards for fair value measurements.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1—Quoted market prices in active markets for identical assets or liabilities.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Level 2—Inputs other than Level 1 inputs that are either directly or indirectly observable, such as quoted market prices, interest rates and yield curves.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NEXTCURE,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Level 3—Unobservable inputs developed using estimates of assumptions developed by the Company, which reflect those that a market participant would use.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the extent the valuation is based on models or inputs that are less observable or unobservable in the market, the determination of fair values requires more judgment. Accordingly, the degree of judgment exercised by the Company in determining fair value is greatest for instruments categorized as Level 3. A financial instrument’s level within the fair value hierarchy is based on the lowest level of any input that is significant to the fair value measurement.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fair value of the Company’s financial assets by level within the fair value hierarchy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 of June 30, 2019</w:t>
            </w:r>
          </w:p>
        </w:tc>
        <w:tc>
          <w:tcPr>
            <w:tcW w:w="9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center"/>
              <w:ind w:left="164"/>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420" w:type="dxa"/>
            <w:vAlign w:val="bottom"/>
            <w:tcBorders>
              <w:bottom w:val="single" w:sz="8" w:color="auto"/>
            </w:tcBorders>
            <w:gridSpan w:val="7"/>
          </w:tcPr>
          <w:p>
            <w:pPr>
              <w:jc w:val="center"/>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Fair Value Measurement Based on</w:t>
            </w:r>
          </w:p>
        </w:tc>
        <w:tc>
          <w:tcPr>
            <w:tcW w:w="0" w:type="dxa"/>
            <w:vAlign w:val="bottom"/>
          </w:tcPr>
          <w:p>
            <w:pPr>
              <w:spacing w:after="0"/>
              <w:rPr>
                <w:sz w:val="1"/>
                <w:szCs w:val="1"/>
                <w:color w:val="auto"/>
              </w:rPr>
            </w:pPr>
          </w:p>
        </w:tc>
      </w:tr>
      <w:tr>
        <w:trPr>
          <w:trHeight w:val="117"/>
        </w:trPr>
        <w:tc>
          <w:tcPr>
            <w:tcW w:w="3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80" w:type="dxa"/>
            <w:vAlign w:val="bottom"/>
          </w:tcPr>
          <w:p>
            <w:pPr>
              <w:spacing w:after="0"/>
              <w:rPr>
                <w:sz w:val="10"/>
                <w:szCs w:val="10"/>
                <w:color w:val="auto"/>
              </w:rPr>
            </w:pPr>
          </w:p>
        </w:tc>
        <w:tc>
          <w:tcPr>
            <w:tcW w:w="108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00" w:type="dxa"/>
            <w:vAlign w:val="bottom"/>
          </w:tcPr>
          <w:p>
            <w:pPr>
              <w:spacing w:after="0"/>
              <w:rPr>
                <w:sz w:val="10"/>
                <w:szCs w:val="10"/>
                <w:color w:val="auto"/>
              </w:rPr>
            </w:pPr>
          </w:p>
        </w:tc>
        <w:tc>
          <w:tcPr>
            <w:tcW w:w="980" w:type="dxa"/>
            <w:vAlign w:val="bottom"/>
            <w:vMerge w:val="restart"/>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8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2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4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8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00" w:type="dxa"/>
            <w:vAlign w:val="bottom"/>
          </w:tcPr>
          <w:p>
            <w:pPr>
              <w:spacing w:after="0"/>
              <w:rPr>
                <w:sz w:val="12"/>
                <w:szCs w:val="12"/>
                <w:color w:val="auto"/>
              </w:rPr>
            </w:pPr>
          </w:p>
        </w:tc>
        <w:tc>
          <w:tcPr>
            <w:tcW w:w="98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3"/>
        </w:trPr>
        <w:tc>
          <w:tcPr>
            <w:tcW w:w="35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8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5"/>
                <w:szCs w:val="15"/>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210"/>
        </w:trPr>
        <w:tc>
          <w:tcPr>
            <w:tcW w:w="3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 (cash equivalents)</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78"/>
        </w:trPr>
        <w:tc>
          <w:tcPr>
            <w:tcW w:w="3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As of December 31, 2018</w:t>
            </w: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420" w:type="dxa"/>
            <w:vAlign w:val="bottom"/>
            <w:tcBorders>
              <w:bottom w:val="single" w:sz="8" w:color="auto"/>
            </w:tcBorders>
            <w:gridSpan w:val="7"/>
          </w:tcPr>
          <w:p>
            <w:pPr>
              <w:jc w:val="center"/>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Fair Value Measurement Based on</w:t>
            </w:r>
          </w:p>
        </w:tc>
        <w:tc>
          <w:tcPr>
            <w:tcW w:w="0" w:type="dxa"/>
            <w:vAlign w:val="bottom"/>
          </w:tcPr>
          <w:p>
            <w:pPr>
              <w:spacing w:after="0"/>
              <w:rPr>
                <w:sz w:val="1"/>
                <w:szCs w:val="1"/>
                <w:color w:val="auto"/>
              </w:rPr>
            </w:pPr>
          </w:p>
        </w:tc>
      </w:tr>
      <w:tr>
        <w:trPr>
          <w:trHeight w:val="117"/>
        </w:trPr>
        <w:tc>
          <w:tcPr>
            <w:tcW w:w="3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80" w:type="dxa"/>
            <w:vAlign w:val="bottom"/>
          </w:tcPr>
          <w:p>
            <w:pPr>
              <w:spacing w:after="0"/>
              <w:rPr>
                <w:sz w:val="10"/>
                <w:szCs w:val="10"/>
                <w:color w:val="auto"/>
              </w:rPr>
            </w:pPr>
          </w:p>
        </w:tc>
        <w:tc>
          <w:tcPr>
            <w:tcW w:w="108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00" w:type="dxa"/>
            <w:vAlign w:val="bottom"/>
          </w:tcPr>
          <w:p>
            <w:pPr>
              <w:spacing w:after="0"/>
              <w:rPr>
                <w:sz w:val="10"/>
                <w:szCs w:val="10"/>
                <w:color w:val="auto"/>
              </w:rPr>
            </w:pPr>
          </w:p>
        </w:tc>
        <w:tc>
          <w:tcPr>
            <w:tcW w:w="980" w:type="dxa"/>
            <w:vAlign w:val="bottom"/>
            <w:vMerge w:val="restart"/>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8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2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4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8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00" w:type="dxa"/>
            <w:vAlign w:val="bottom"/>
          </w:tcPr>
          <w:p>
            <w:pPr>
              <w:spacing w:after="0"/>
              <w:rPr>
                <w:sz w:val="12"/>
                <w:szCs w:val="12"/>
                <w:color w:val="auto"/>
              </w:rPr>
            </w:pPr>
          </w:p>
        </w:tc>
        <w:tc>
          <w:tcPr>
            <w:tcW w:w="98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3"/>
        </w:trPr>
        <w:tc>
          <w:tcPr>
            <w:tcW w:w="35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8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5"/>
                <w:szCs w:val="15"/>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210"/>
        </w:trPr>
        <w:tc>
          <w:tcPr>
            <w:tcW w:w="3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 (cash equivalents)</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did not transfer any assets measured at fair value on a recurring basis between levels during the three and six months ended June 30,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and Equipment,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consist of the following (in thousands):</w:t>
      </w:r>
    </w:p>
    <w:p>
      <w:pPr>
        <w:spacing w:after="0" w:line="22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42"/>
        </w:trPr>
        <w:tc>
          <w:tcPr>
            <w:tcW w:w="4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equipment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9,348</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7,787</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4,825</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9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r>
      <w:tr>
        <w:trPr>
          <w:trHeight w:val="210"/>
        </w:trPr>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13,876</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9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w:t>
            </w:r>
          </w:p>
        </w:tc>
      </w:tr>
      <w:tr>
        <w:trPr>
          <w:trHeight w:val="217"/>
        </w:trPr>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12,329</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11,407</w:t>
            </w: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Construction in progress at June 30, 2019 consists of the costs incurred for research equipment and for the build-out of additional lab and office space and at December 31, 2018 consists of the costs incurred for the build-out of a manufacturing suite at the Company’s headquarters in Beltsville, Maryland.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was $582,000 and $1,145,000 for the three and six months ended June 30, 2019, respectively, and $387,000 and $763,000 for the three and six months ended June 30, 2018, respectively.</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NEXTCURE,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Agreement with Eli Lilly and Company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November 2, 2018, the Company entered into a multi-year research and development collaboration agreement (the “Lilly Agreement”) with Eli Lilly and Company (“Lilly”), pursuant to which the Company will use its proprietary FIND-IO platform to identify novel oncology targets for additional collaborative research and drug discovery by the Company and Lilly. Under the Lilly Agreement, Lilly and the Company have granted one another an equal number of exclusive options to research, develop, manufacture and commercialize compounds and products directed to oncology targets identified through the Lilly Agreement. Both Lilly and the Company have all options remaining eligible for exercise. The research collaboration with Lilly will be managed by a joint steering committee formed by an equal number of members from the Company and Lilly and will expire upon the earlier of the exercise of all options granted to Lilly or four years from the date of the agreement, subject to certain extensions. The Company considers Lilly to be a related party based on Lilly’s equity investment in the Company as discussed below.</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During the research term under the Lilly Agreement, as a part of target discovery, the Company will be responsible for providing Lilly with oncology targets identified using the Company’s FIND-IO platform. From the targets provided by the Company, Lilly may select targets to advance to target validation using criteria developed by both parties. Following completion of the agreed upon target validation plan with respect to a given target, either party may propose to advance that target to compound discovery. For each target that has been advanced to compound discovery, Lilly will have the option to obtain an exclusive license with respect to the compounds and products directed to the target. If Lilly does not exercise its option with respect to a given target or has previously exercised all of its options, the Company will have the option to obtain licenses with respect to compounds and products directed to that target. Following option exercise by a party, the development and commercialization of any products directed to the target will be conducted by the exercising party. The exercising party must use commercially reasonable efforts to develop, seek regulatory approval for and commercialize any such products under mutually agreed upon work plans.</w:t>
      </w:r>
    </w:p>
    <w:p>
      <w:pPr>
        <w:spacing w:after="0" w:line="1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November 2018, the Company received an upfront, non-refundable payment of $25.0 million under the Lilly Agreement and a concurrent $15.0 million equity investment. In addition, the Company will receive quarterly research and development support payments during a portion of the research term as well as option exercise fees upon option exercises by Lilly.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Lilly Agreement, Lilly may owe an aggregate of up to $1.4 billion in development and regulatory milestones and sales milestones. Additionally, Lilly will pay mid to high single-digit royalties on net sales for all products directed to each target optioned by Lilly. Upon the Company’s exercise of an option with respect to a given target, the Company will pay Lilly an option exercise payment and may become obligated to milestone and royalty payments. The company may owe an aggregate of up to $710.0 million in development and regulatory milestones and sales milestones.</w:t>
      </w:r>
    </w:p>
    <w:p>
      <w:pPr>
        <w:spacing w:after="0" w:line="130"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18"/>
          <w:szCs w:val="18"/>
          <w:color w:val="auto"/>
        </w:rPr>
        <w:t>Upon the adoption of ASC 606, the Company evaluated the Lilly Agreement under the provisions of ASC 606 and concluded that Lilly is a customer prior to the exercise of its option to obtain an exclusive license with respect to the compounds and products directed to a target that has been advanced to compound discovery. The Company identified the following material promises under the Lilly Agreement: (i) a limited research license to conduct activities under the research collaboration; (ii) research and development services together with the provision of a data package in connection with Lilly’s option; (iii) various governance obligations, most notably participation on the joint steering committee; and (iv) rights related to an optional term extension by Lilly. The Company evaluated Lilly’s option to obtain an exclusive license with respect to the compounds and products directed to a target that has been advanced to compound discovery and concluded that the option was not issued at a significant and incremental discount, and therefore does not provide material rights. As such, they are excluded as performance obligations at the outset of the arrangement. The Company determined that the research license was not capable of being distinct and the related research and development services and governance activities are not distinct in the context of the contract and, as such, the Company determined that these promises should be combined into a single performance obligation, resulting in a total of two performance obligations under the Lilly Agreement; one for research and development services and one for the right related to an optional term extension by Lilly.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NEXTCURE,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93"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18"/>
          <w:szCs w:val="18"/>
          <w:color w:val="auto"/>
        </w:rPr>
        <w:t xml:space="preserve">The transaction price at the outset of the arrangement was determined to be $32.7 million, comprised of the upfront fee received from Lilly, quarterly research and development support payments to be received from Lilly during a portion of the research term and an equity investment premium as determined by the Company with reference to a valuation of the Company’s preferred stock prepared by an unrelated third-party valuation firm in accordance with the guidance provided by the American Institute of Certified Public Accountants Practice Guide, </w:t>
      </w:r>
      <w:r>
        <w:rPr>
          <w:rFonts w:ascii="Times New Roman" w:cs="Times New Roman" w:eastAsia="Times New Roman" w:hAnsi="Times New Roman"/>
          <w:sz w:val="18"/>
          <w:szCs w:val="18"/>
          <w:i w:val="1"/>
          <w:iCs w:val="1"/>
          <w:color w:val="auto"/>
        </w:rPr>
        <w:t>Valuation of Privately-Held-Company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 Issued as Compensation.</w:t>
      </w:r>
    </w:p>
    <w:p>
      <w:pPr>
        <w:spacing w:after="0" w:line="122"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18"/>
          <w:szCs w:val="18"/>
          <w:color w:val="auto"/>
        </w:rPr>
        <w:t>The transaction price was allocated to the two performance obligations based on their relative standalone selling price determined with reference to the Company’s estimated costs attendant to the obligations. Revenue allocated to the research and development performance obligation is being recognized as the research and development services are provided using an input method according to research and development costs incurred to date compared to estimated total research and development costs. The transfer of control occurs over this time period and, in management’s judgment, is the best measure of progress towards satisfying the performance obligation. Revenue allocated to Lilly’s right related to an optional term extension is deferred until the right is exercised or lapses, and will subsequently be recognized accordingly.</w:t>
      </w:r>
    </w:p>
    <w:p>
      <w:pPr>
        <w:spacing w:after="0" w:line="14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While the Lilly Agreement was executed in November 2018, the Company’s performance initiated in January 2019. Under the Lilly Agreement, the Company recognized revenue of $1.4 million and $2.8 million for the three and six months ended June 30, 2019, respectively. As of June 30, 2019, deferred revenue included in the Company’s balance sheets comprised the following (in thousands):</w:t>
      </w:r>
    </w:p>
    <w:p>
      <w:pPr>
        <w:spacing w:after="0" w:line="1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3"/>
                <w:szCs w:val="13"/>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42"/>
        </w:trPr>
        <w:tc>
          <w:tcPr>
            <w:tcW w:w="5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beginning of period</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26,725</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Up-front payment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198"/>
        </w:trPr>
        <w:tc>
          <w:tcPr>
            <w:tcW w:w="5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Attributed premium on the proceeds from Lilly’s investment in the</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34"/>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support billing</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research and development arrangement recognized</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deferred revenue, end of period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26,725</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Deferred revenue, current portion</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(4,989)</w:t>
            </w:r>
          </w:p>
        </w:tc>
      </w:tr>
      <w:tr>
        <w:trPr>
          <w:trHeight w:val="217"/>
        </w:trPr>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revenue, non-current portion</w:t>
            </w: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18,442</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21,736</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01" w:lineRule="exact"/>
        <w:rPr>
          <w:sz w:val="20"/>
          <w:szCs w:val="20"/>
          <w:color w:val="auto"/>
        </w:rPr>
      </w:pPr>
    </w:p>
    <w:p>
      <w:pPr>
        <w:jc w:val="both"/>
        <w:ind w:firstLine="648"/>
        <w:spacing w:after="0" w:line="232" w:lineRule="exact"/>
        <w:rPr>
          <w:sz w:val="20"/>
          <w:szCs w:val="20"/>
          <w:color w:val="auto"/>
        </w:rPr>
      </w:pPr>
      <w:r>
        <w:rPr>
          <w:rFonts w:ascii="Times New Roman" w:cs="Times New Roman" w:eastAsia="Times New Roman" w:hAnsi="Times New Roman"/>
          <w:sz w:val="18"/>
          <w:szCs w:val="18"/>
          <w:color w:val="auto"/>
        </w:rPr>
        <w:t>The Company subleases its facilities under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cancelable operating sublease agreement. The sublease commenced on February 9, 2016 and, as amended, expires on August 31, 2025. The Company is also responsible for its prorated share of the sublandlord’s operating expense.</w:t>
      </w:r>
    </w:p>
    <w:p>
      <w:pPr>
        <w:spacing w:after="0" w:line="20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January 30, 2019, the Company entered into a new lease to be used for office and laboratory space, which the Company took possession of in June 2019. The new lease expires in March 2030 and will also cover the Company’s existing space after expiration of the Company’s current lease. Base rent for the first 10 months is abated, after which the base rent of the lease is $19,650 per month, with an increase in annual rent of 3.0% in each subsequent year of the lease term. In connection with this lease, the Company executed a letter of credit of $39,000, which has not been drawn down on.</w:t>
      </w:r>
    </w:p>
    <w:p>
      <w:pPr>
        <w:spacing w:after="0" w:line="1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March 15, 2019, the Company entered into an amended and restated sublease that covers the Company’s existing space plus additional square footage to be used as office space, which the Company took possession of upon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NEXTCURE,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entering into the amended and restated sublease. The total remaining commitment under the amended and restated sublease is approximately $2.7 million.</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future minimum payments for the operating leases are as follows (in thousands):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60" w:type="dxa"/>
            <w:vAlign w:val="bottom"/>
            <w:vMerge w:val="restart"/>
          </w:tcPr>
          <w:p>
            <w:pPr>
              <w:spacing w:after="0"/>
              <w:rPr>
                <w:sz w:val="19"/>
                <w:szCs w:val="19"/>
                <w:color w:val="auto"/>
              </w:rPr>
            </w:pPr>
          </w:p>
        </w:tc>
        <w:tc>
          <w:tcPr>
            <w:tcW w:w="6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the year</w:t>
            </w:r>
          </w:p>
        </w:tc>
        <w:tc>
          <w:tcPr>
            <w:tcW w:w="4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6,897</w:t>
            </w:r>
          </w:p>
        </w:tc>
        <w:tc>
          <w:tcPr>
            <w:tcW w:w="0" w:type="dxa"/>
            <w:vAlign w:val="bottom"/>
          </w:tcPr>
          <w:p>
            <w:pPr>
              <w:spacing w:after="0"/>
              <w:rPr>
                <w:sz w:val="1"/>
                <w:szCs w:val="1"/>
                <w:color w:val="auto"/>
              </w:rPr>
            </w:pPr>
          </w:p>
        </w:tc>
      </w:tr>
      <w:tr>
        <w:trPr>
          <w:trHeight w:val="217"/>
        </w:trPr>
        <w:tc>
          <w:tcPr>
            <w:tcW w:w="260" w:type="dxa"/>
            <w:vAlign w:val="bottom"/>
          </w:tcPr>
          <w:p>
            <w:pPr>
              <w:spacing w:after="0"/>
              <w:rPr>
                <w:sz w:val="18"/>
                <w:szCs w:val="18"/>
                <w:color w:val="auto"/>
              </w:rPr>
            </w:pPr>
          </w:p>
        </w:tc>
        <w:tc>
          <w:tcPr>
            <w:tcW w:w="61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future minimum payments</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10,312</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Rent expense incurred under operating leases was approximately $87,000 and $190,000 for the three and six months ended June 30, 2019, respectively, and $101,000 and $201,000 for the three and six months ended June 30, 2018,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from time to time, may be party to litigation arising in the ordinary course of business. The Company is not a party to any litigation or legal proceedings, nor is management aware of any pending or threatened litigation that, in the opinion of the Company’s management, are likely to have a material adverse effect on the Company’s business. At each reporting date, the Company evaluates whether a potential loss amount or a potential range of loss is probable and reasonably estimable under the provisions of the authoritative guidance that addresses accounting for contingencies. The Company expenses the costs related to its legal proceedings as incurred.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Term Loan</w:t>
      </w:r>
    </w:p>
    <w:p>
      <w:pPr>
        <w:spacing w:after="0" w:line="229" w:lineRule="exact"/>
        <w:rPr>
          <w:sz w:val="20"/>
          <w:szCs w:val="20"/>
          <w:color w:val="auto"/>
        </w:rPr>
      </w:pPr>
    </w:p>
    <w:p>
      <w:pPr>
        <w:jc w:val="both"/>
        <w:ind w:firstLine="648"/>
        <w:spacing w:after="0" w:line="219" w:lineRule="exact"/>
        <w:rPr>
          <w:sz w:val="20"/>
          <w:szCs w:val="20"/>
          <w:color w:val="auto"/>
        </w:rPr>
      </w:pPr>
      <w:r>
        <w:rPr>
          <w:rFonts w:ascii="Times New Roman" w:cs="Times New Roman" w:eastAsia="Times New Roman" w:hAnsi="Times New Roman"/>
          <w:sz w:val="18"/>
          <w:szCs w:val="18"/>
          <w:color w:val="auto"/>
        </w:rPr>
        <w:t>In April 2016, the Company entered into a $1.0 million term loan with a commercial bank (the “Term Loan”). On January 25, 2019, the Company amended the Term Loan to increase the Company’s borrowing capacity to $5.0 million, which amount remains secured by the Company’s certificates of deposit, money market account, investment property and deposit or investment accounts. As amended, the Term Loan bears interest at the greater of the prime rate less 1% and 4.25%. The effective interest rate was 4.5% for the three and six months ended June 30, 2019. The effective interest rate was 3.79% and 3.66% for the three and six months ended June 30, 2018, respectively. Under the Term Loan, the Company is required to make monthly interest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only payments through January 2020 and is required to make 36 equal monthly payments of principal plus accrued interest thereafter through January 2023.</w:t>
      </w:r>
    </w:p>
    <w:p>
      <w:pPr>
        <w:spacing w:after="0" w:line="199"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maturities of the Term Loan as of June 30, 2019 are as follows (in thousands):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60" w:type="dxa"/>
            <w:vAlign w:val="bottom"/>
            <w:vMerge w:val="restart"/>
          </w:tcPr>
          <w:p>
            <w:pPr>
              <w:spacing w:after="0"/>
              <w:rPr>
                <w:sz w:val="19"/>
                <w:szCs w:val="19"/>
                <w:color w:val="auto"/>
              </w:rPr>
            </w:pPr>
          </w:p>
        </w:tc>
        <w:tc>
          <w:tcPr>
            <w:tcW w:w="6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the year</w:t>
            </w:r>
          </w:p>
        </w:tc>
        <w:tc>
          <w:tcPr>
            <w:tcW w:w="2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6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term loan</w:t>
            </w: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0" w:type="dxa"/>
            <w:vAlign w:val="bottom"/>
          </w:tcPr>
          <w:p>
            <w:pPr>
              <w:spacing w:after="0"/>
              <w:rPr>
                <w:sz w:val="1"/>
                <w:szCs w:val="1"/>
                <w:color w:val="auto"/>
              </w:rPr>
            </w:pPr>
          </w:p>
        </w:tc>
      </w:tr>
      <w:tr>
        <w:trPr>
          <w:trHeight w:val="217"/>
        </w:trPr>
        <w:tc>
          <w:tcPr>
            <w:tcW w:w="260" w:type="dxa"/>
            <w:vAlign w:val="bottom"/>
          </w:tcPr>
          <w:p>
            <w:pPr>
              <w:spacing w:after="0"/>
              <w:rPr>
                <w:sz w:val="18"/>
                <w:szCs w:val="18"/>
                <w:color w:val="auto"/>
              </w:rPr>
            </w:pPr>
          </w:p>
        </w:tc>
        <w:tc>
          <w:tcPr>
            <w:tcW w:w="6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 loan, net of current portion</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Interest expense under the Term Loan was approximately $57,000 and $99,000 for the three and six months ended June 30, 2019, respectively, and $6,000 and $13,000 for the three and six months ended June 30, 2018, respectively.</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NEXTCURE,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7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8. Stock</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Based Compensation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Equity Plans</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NextCure, Inc. 2015 Omnibus Incentive Plan (the "2015 Plan") provides for the Company to grant incentive stock options or nonqualified stock options, restricted stock awards, unrestricted stock awards or restricted stock units to employees, consultants and directors of the Company. The 2015 Plan is administered by the board of directors, or at the discretion of the board of directors, by a committee of the board of directors. The exercise prices, vesting and other restrictions are determined at the discretion of the board of directors or its committee if so delegated, except that the exercise price per share of the stock options may not be less than 100% of the fair market value of a share of the Company's common stock on the date of grant and the term of the stock options may not be greater than 10 years.</w:t>
      </w:r>
    </w:p>
    <w:p>
      <w:pPr>
        <w:spacing w:after="0" w:line="1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May 3, 2019, the Company’s stockholders approved the NextCure, Inc. 2019 Omnibus Incentive Plan (the ‘‘2019 Plan’’), which became effective on May 8, 2019, the date on which the Registration Statement was declared effective (the “Effective Date”). The 2019 Plan replaces the 2015 Plan as the Company’s board of directors (the “Board”) determined not to make additional awards under the 2015 Plan following the effectiveness of the 2019 Plan. The 2019 Plan provides for the grant of awards of options, stock appreciation rights, restricted stock, restricted stock units, deferred stock units, unrestricted stock, dividend equivalent rights, other equity-based awards and cash bonus awards to the Company’s officers, employees, non-employee directors and other key persons (including consultants). The number of shares of common stock reserved for issuance under the 2019 Plan is 2,900,000 plus the number of shares of stock related to awards outstanding under the 2015 Plan that subsequently terminate by expiration or forfeiture, cancellation or otherwise without the issuance of such shares. The number of shares reserved for issuance under the 2019 Plan will automatically increase on January 1, 2020 and each January 1st thereafter during the term of the 2019 Plan by 4% of the number of shares of the Company’s common stock outstanding on December 31st of the preceding calendar year or such lesser number of shares determined by the Board.</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2019, 2,689,725 shares were available for future issuance under the 2019 Plan.</w:t>
      </w:r>
    </w:p>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Stock options granted under the 2015 Plan and 2019 Plan (together, the “Plans”) to employees generally vest over four years and expire after ten years.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stock option activity for awards under the Plans is presented below:</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60" w:type="dxa"/>
            <w:vAlign w:val="bottom"/>
          </w:tcPr>
          <w:p>
            <w:pPr>
              <w:spacing w:after="0"/>
              <w:rPr>
                <w:sz w:val="15"/>
                <w:szCs w:val="15"/>
                <w:color w:val="auto"/>
              </w:rPr>
            </w:pPr>
          </w:p>
        </w:tc>
        <w:tc>
          <w:tcPr>
            <w:tcW w:w="3600" w:type="dxa"/>
            <w:vAlign w:val="bottom"/>
            <w:tcBorders>
              <w:bottom w:val="single" w:sz="8" w:color="auto"/>
            </w:tcBorders>
            <w:gridSpan w:val="10"/>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Options Outstanding and Exercisable</w:t>
            </w:r>
          </w:p>
        </w:tc>
        <w:tc>
          <w:tcPr>
            <w:tcW w:w="0" w:type="dxa"/>
            <w:vAlign w:val="bottom"/>
          </w:tcPr>
          <w:p>
            <w:pPr>
              <w:spacing w:after="0"/>
              <w:rPr>
                <w:sz w:val="1"/>
                <w:szCs w:val="1"/>
                <w:color w:val="auto"/>
              </w:rPr>
            </w:pPr>
          </w:p>
        </w:tc>
      </w:tr>
      <w:tr>
        <w:trPr>
          <w:trHeight w:val="117"/>
        </w:trPr>
        <w:tc>
          <w:tcPr>
            <w:tcW w:w="54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7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restart"/>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76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w w:val="91"/>
              </w:rPr>
              <w:t>Value</w:t>
            </w:r>
            <w:r>
              <w:rPr>
                <w:rFonts w:ascii="Times New Roman" w:cs="Times New Roman" w:eastAsia="Times New Roman" w:hAnsi="Times New Roman"/>
                <w:sz w:val="14"/>
                <w:szCs w:val="14"/>
                <w:b w:val="1"/>
                <w:bCs w:val="1"/>
                <w:color w:val="auto"/>
                <w:w w:val="91"/>
                <w:vertAlign w:val="superscript"/>
              </w:rPr>
              <w:t>(1)</w:t>
            </w:r>
          </w:p>
        </w:tc>
        <w:tc>
          <w:tcPr>
            <w:tcW w:w="0" w:type="dxa"/>
            <w:vAlign w:val="bottom"/>
          </w:tcPr>
          <w:p>
            <w:pPr>
              <w:spacing w:after="0"/>
              <w:rPr>
                <w:sz w:val="1"/>
                <w:szCs w:val="1"/>
                <w:color w:val="auto"/>
              </w:rPr>
            </w:pPr>
          </w:p>
        </w:tc>
      </w:tr>
      <w:tr>
        <w:trPr>
          <w:trHeight w:val="173"/>
        </w:trPr>
        <w:tc>
          <w:tcPr>
            <w:tcW w:w="5460" w:type="dxa"/>
            <w:vAlign w:val="bottom"/>
          </w:tcPr>
          <w:p>
            <w:pPr>
              <w:spacing w:after="0"/>
              <w:rPr>
                <w:sz w:val="15"/>
                <w:szCs w:val="15"/>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40" w:type="dxa"/>
            <w:vAlign w:val="bottom"/>
          </w:tcPr>
          <w:p>
            <w:pPr>
              <w:spacing w:after="0"/>
              <w:rPr>
                <w:sz w:val="15"/>
                <w:szCs w:val="15"/>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5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2018</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2,056,891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5,946</w:t>
            </w:r>
          </w:p>
        </w:tc>
        <w:tc>
          <w:tcPr>
            <w:tcW w:w="0" w:type="dxa"/>
            <w:vAlign w:val="bottom"/>
          </w:tcPr>
          <w:p>
            <w:pPr>
              <w:spacing w:after="0"/>
              <w:rPr>
                <w:sz w:val="1"/>
                <w:szCs w:val="1"/>
                <w:color w:val="auto"/>
              </w:rPr>
            </w:pPr>
          </w:p>
        </w:tc>
      </w:tr>
      <w:tr>
        <w:trPr>
          <w:trHeight w:val="216"/>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210,269</w:t>
            </w:r>
          </w:p>
        </w:tc>
        <w:tc>
          <w:tcPr>
            <w:tcW w:w="8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(29,383)</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as of June 30, 2019</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2,237,777</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4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20,663</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expected to vest as of June 30, 2019</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2,237,777</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20,663</w:t>
            </w:r>
          </w:p>
        </w:tc>
        <w:tc>
          <w:tcPr>
            <w:tcW w:w="0" w:type="dxa"/>
            <w:vAlign w:val="bottom"/>
          </w:tcPr>
          <w:p>
            <w:pPr>
              <w:spacing w:after="0"/>
              <w:rPr>
                <w:sz w:val="1"/>
                <w:szCs w:val="1"/>
                <w:color w:val="auto"/>
              </w:rPr>
            </w:pPr>
          </w:p>
        </w:tc>
      </w:tr>
      <w:tr>
        <w:trPr>
          <w:trHeight w:val="23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as of June 30, 2019</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415,357</w:t>
            </w:r>
          </w:p>
        </w:tc>
        <w:tc>
          <w:tcPr>
            <w:tcW w:w="80" w:type="dxa"/>
            <w:vAlign w:val="bottom"/>
          </w:tcPr>
          <w:p>
            <w:pPr>
              <w:spacing w:after="0"/>
              <w:rPr>
                <w:sz w:val="20"/>
                <w:szCs w:val="20"/>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5,744</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320" w:hanging="317"/>
        <w:spacing w:after="0" w:line="266" w:lineRule="auto"/>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options and the estimated fair value of the common stock for the options that were in the money at June 30, 2019 and December 31, 2018.</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weighted-average grant date fair value of stock options granted to employees for the six months ended June 30, 2019 was $9.86. The aggregate intrinsic value of stock options exercised during the six months ended June 30, 2019 was $396,400.</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NEXTCURE,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7" w:lineRule="exact"/>
        <w:rPr>
          <w:sz w:val="20"/>
          <w:szCs w:val="20"/>
          <w:color w:val="auto"/>
        </w:rPr>
      </w:pPr>
    </w:p>
    <w:p>
      <w:pPr>
        <w:jc w:val="both"/>
        <w:ind w:firstLine="648"/>
        <w:spacing w:after="0" w:line="222" w:lineRule="exact"/>
        <w:rPr>
          <w:sz w:val="20"/>
          <w:szCs w:val="20"/>
          <w:color w:val="auto"/>
        </w:rPr>
      </w:pPr>
      <w:r>
        <w:rPr>
          <w:rFonts w:ascii="Times New Roman" w:cs="Times New Roman" w:eastAsia="Times New Roman" w:hAnsi="Times New Roman"/>
          <w:sz w:val="18"/>
          <w:szCs w:val="18"/>
          <w:color w:val="auto"/>
        </w:rPr>
        <w:t>The Company’s potential dilutive securities, which as of June 30, 2019 include common stock options, have been excluded from the computation of diluted net loss per share as the effect would be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dilutive. Therefore, the weighted average number of common shares outstanding used to calculate both basic and diluted net loss per share attributable to common stockholders is the same. The Company excluded 2,237,777 potential shares of common stock , presented based on amounts outstanding at period end, from the computation of diluted net loss per share attributable to common stockholders for the period indicated because including them would have had an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dilutive effect.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May 3, 2019, the Company’s stockholders approved the NextCure, Inc. 2019 Employee Stock Purchase Plan (the “ESPP”), which became effective on the Effective Date. The ESPP is intended to qualify as an “employee stock purchase plan” within the meaning of Section 423(b) of the Internal Revenue Code. A total of 240,000 shares of common stock were reserved for issuance under this plan. In addition, the number of shares of common stock that may be issued under the ESPP will automatically increase on January 1, 2020 and each January 1st thereafter until expiration of the ESPP, in an amount equal to the lesser of (i) 1% of the number of shares of the Company’s common stock outstanding on December 31st of the preceding calendar year, (ii) 480,000 shares of common stock and (iii) a number of shares of common stock determined by the administrator of the ESPP.</w:t>
      </w:r>
    </w:p>
    <w:p>
      <w:pPr>
        <w:spacing w:after="0" w:line="15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Stock</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-51435</wp:posOffset>
            </wp:positionV>
            <wp:extent cx="64135" cy="39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23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expense of $412,000 and $795,000 for the three and six months ended June 30, 2019, respectively, and $24,000 and $48,000 for the three and six months ended June 30, 2018, respectively.</w:t>
      </w:r>
    </w:p>
    <w:p>
      <w:pPr>
        <w:spacing w:after="0" w:line="133" w:lineRule="exact"/>
        <w:rPr>
          <w:sz w:val="20"/>
          <w:szCs w:val="20"/>
          <w:color w:val="auto"/>
        </w:rPr>
      </w:pPr>
    </w:p>
    <w:p>
      <w:pPr>
        <w:jc w:val="both"/>
        <w:ind w:firstLine="648"/>
        <w:spacing w:after="0" w:line="239" w:lineRule="exact"/>
        <w:rPr>
          <w:sz w:val="20"/>
          <w:szCs w:val="20"/>
          <w:color w:val="auto"/>
        </w:rPr>
      </w:pPr>
      <w:r>
        <w:rPr>
          <w:rFonts w:ascii="Times New Roman" w:cs="Times New Roman" w:eastAsia="Times New Roman" w:hAnsi="Times New Roman"/>
          <w:sz w:val="18"/>
          <w:szCs w:val="18"/>
          <w:color w:val="auto"/>
        </w:rPr>
        <w:t>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recorded as research and development and general and administrative expenses is as follows (in thousands):</w:t>
      </w:r>
    </w:p>
    <w:p>
      <w:pPr>
        <w:spacing w:after="0" w:line="194"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4420" w:type="dxa"/>
            <w:vAlign w:val="bottom"/>
          </w:tcPr>
          <w:p>
            <w:pPr>
              <w:spacing w:after="0"/>
              <w:rPr>
                <w:sz w:val="13"/>
                <w:szCs w:val="13"/>
                <w:color w:val="auto"/>
              </w:rPr>
            </w:pPr>
          </w:p>
        </w:tc>
        <w:tc>
          <w:tcPr>
            <w:tcW w:w="152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30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4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5"/>
                <w:szCs w:val="15"/>
                <w:color w:val="auto"/>
              </w:rPr>
            </w:pPr>
          </w:p>
        </w:tc>
        <w:tc>
          <w:tcPr>
            <w:tcW w:w="130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2"/>
        </w:trPr>
        <w:tc>
          <w:tcPr>
            <w:tcW w:w="44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gridSpan w:val="4"/>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60" w:type="dxa"/>
            <w:vAlign w:val="bottom"/>
          </w:tcPr>
          <w:p>
            <w:pPr>
              <w:spacing w:after="0"/>
              <w:rPr>
                <w:sz w:val="12"/>
                <w:szCs w:val="12"/>
                <w:color w:val="auto"/>
              </w:rPr>
            </w:pPr>
          </w:p>
        </w:tc>
      </w:tr>
      <w:tr>
        <w:trPr>
          <w:trHeight w:val="142"/>
        </w:trPr>
        <w:tc>
          <w:tcPr>
            <w:tcW w:w="44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r>
      <w:tr>
        <w:trPr>
          <w:trHeight w:val="210"/>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shd w:val="clear" w:color="auto" w:fill="CCEEFF"/>
          </w:tcPr>
          <w:p>
            <w:pPr>
              <w:spacing w:after="0"/>
              <w:rPr>
                <w:sz w:val="18"/>
                <w:szCs w:val="18"/>
                <w:color w:val="auto"/>
              </w:rPr>
            </w:pPr>
          </w:p>
        </w:tc>
      </w:tr>
      <w:tr>
        <w:trPr>
          <w:trHeight w:val="216"/>
        </w:trPr>
        <w:tc>
          <w:tcPr>
            <w:tcW w:w="4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tcBorders>
              <w:bottom w:val="single" w:sz="8" w:color="CCEEFF"/>
            </w:tcBorders>
          </w:tcPr>
          <w:p>
            <w:pPr>
              <w:spacing w:after="0"/>
              <w:rPr>
                <w:sz w:val="18"/>
                <w:szCs w:val="18"/>
                <w:color w:val="auto"/>
              </w:rPr>
            </w:pPr>
          </w:p>
        </w:tc>
      </w:tr>
      <w:tr>
        <w:trPr>
          <w:trHeight w:val="217"/>
        </w:trPr>
        <w:tc>
          <w:tcPr>
            <w:tcW w:w="44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tcBorders>
              <w:bottom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did not record a provision or benefit for income taxes during the six months ended June 30, 2019.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continues to maintain a full valuation allowance against its deferred tax assets.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evaluated the positive and negative evidence involving its ability to realize its deferred tax assets. Management has considered the Company’s history of cumulative net losses incurred since inception and its lack of any commercially ready products. It has concluded that it is more likely than not that the Company will not realize the benefits of the deferred tax assets including net operating loss carryforwards and research and development credits. Management reevaluates the positive and negative evidence at each reporting period.</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provisions of Sections 382 and 383 of the Internal Revenue Code, certain substantial changes in the Company’s ownership may have limited, or may limit in the future, the amount of net operating loss and research and development credit carryforwards that can be used to reduce future income taxes.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NEXTCURE,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Subsequent Events</w:t>
      </w:r>
    </w:p>
    <w:p>
      <w:pPr>
        <w:spacing w:after="0" w:line="229" w:lineRule="exact"/>
        <w:rPr>
          <w:sz w:val="20"/>
          <w:szCs w:val="20"/>
          <w:color w:val="auto"/>
        </w:rPr>
      </w:pPr>
    </w:p>
    <w:p>
      <w:pPr>
        <w:jc w:val="both"/>
        <w:ind w:right="259" w:firstLine="648"/>
        <w:spacing w:after="0" w:line="258" w:lineRule="auto"/>
        <w:rPr>
          <w:sz w:val="20"/>
          <w:szCs w:val="20"/>
          <w:color w:val="auto"/>
        </w:rPr>
      </w:pPr>
      <w:r>
        <w:rPr>
          <w:rFonts w:ascii="Times New Roman" w:cs="Times New Roman" w:eastAsia="Times New Roman" w:hAnsi="Times New Roman"/>
          <w:sz w:val="18"/>
          <w:szCs w:val="18"/>
          <w:color w:val="auto"/>
        </w:rPr>
        <w:t>On August 2, 2019, the Company entered into a lease amendment for additional square feet to be used for office, laboratory and warehouse space, which the Company expects the landlord to deliver in April 2020. The amended lease is expected to expire on March 31, 2030. Base rent for the first seven months is abated with respect to the additional space, after which the base rent of the lease is $18,178 per month for that space, with an increase in annual rent of 3.0% in each subsequent year of the lease term.</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unaudited condensed financial statements and the notes thereto included in this Quarterly Report. Some of the statements contained in this discussion and analysis or set forth elsewhere in this Quarterly Report are forward-looking statements within the meaning of the Private Securities Litigation Reform Act of 1995, including with respect to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“continue,” “could,” “due,” “estimate,” “expect,” “intend,” “may,” “objective,” “plan,” “predict,” “potential,” “positioned,” “seek,” “should,” “target,” “will,” “would” and other similar expressions that are predictions of or indicate future events and future trends, or the negative of these terms or similar language. Forward-looking statements include, but are not limited to, statements about:</w:t>
      </w:r>
    </w:p>
    <w:p>
      <w:pPr>
        <w:spacing w:after="0" w:line="193" w:lineRule="exact"/>
        <w:rPr>
          <w:sz w:val="20"/>
          <w:szCs w:val="20"/>
          <w:color w:val="auto"/>
        </w:rPr>
      </w:pPr>
    </w:p>
    <w:p>
      <w:pPr>
        <w:jc w:val="both"/>
        <w:ind w:left="660" w:hanging="333"/>
        <w:spacing w:after="0" w:line="25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expectations regarding the timing, progress and results of preclinical studies and clinical trials for NC318, NC410 and any other product candidates we develop, including statements regarding the timing of initiation and completion of studies or trials and related preparatory work, the period during which the results of the trials will become available and our research and development programs;</w:t>
      </w:r>
    </w:p>
    <w:p>
      <w:pPr>
        <w:spacing w:after="0" w:line="1" w:lineRule="exact"/>
        <w:rPr>
          <w:rFonts w:ascii="Times New Roman" w:cs="Times New Roman" w:eastAsia="Times New Roman" w:hAnsi="Times New Roman"/>
          <w:sz w:val="18"/>
          <w:szCs w:val="18"/>
          <w:color w:val="auto"/>
        </w:rPr>
      </w:pPr>
    </w:p>
    <w:p>
      <w:pPr>
        <w:ind w:left="660" w:hanging="333"/>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timing or likelihood of regulatory filings for NC318, NC410 and any other product candidates we develop and our ability to obtain and maintain regulatory approvals for such product candidates for any indication;</w:t>
      </w:r>
    </w:p>
    <w:p>
      <w:pPr>
        <w:ind w:left="660" w:hanging="333"/>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manufacturing capabilities and strategy, including the scalability of our manufacturing methods and processes;</w:t>
      </w:r>
    </w:p>
    <w:p>
      <w:pPr>
        <w:spacing w:after="0" w:line="9" w:lineRule="exact"/>
        <w:rPr>
          <w:rFonts w:ascii="Times New Roman" w:cs="Times New Roman" w:eastAsia="Times New Roman" w:hAnsi="Times New Roman"/>
          <w:sz w:val="18"/>
          <w:szCs w:val="18"/>
          <w:color w:val="auto"/>
        </w:rPr>
      </w:pPr>
    </w:p>
    <w:p>
      <w:pPr>
        <w:ind w:left="660" w:hanging="333"/>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expectations regarding the potential benefits, activity, effectiveness and safety of NC318, NC410 and any other product candidates we develop;</w:t>
      </w:r>
    </w:p>
    <w:p>
      <w:pPr>
        <w:ind w:left="660" w:hanging="333"/>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intentions and ability to successfully commercialize our product candidates;</w:t>
      </w:r>
    </w:p>
    <w:p>
      <w:pPr>
        <w:spacing w:after="0" w:line="9"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expectations regarding the nature of the biological pathways we are targeting;</w:t>
      </w:r>
    </w:p>
    <w:p>
      <w:pPr>
        <w:spacing w:after="0" w:line="9" w:lineRule="exact"/>
        <w:rPr>
          <w:rFonts w:ascii="Times New Roman" w:cs="Times New Roman" w:eastAsia="Times New Roman" w:hAnsi="Times New Roman"/>
          <w:sz w:val="18"/>
          <w:szCs w:val="18"/>
          <w:color w:val="auto"/>
        </w:rPr>
      </w:pPr>
    </w:p>
    <w:p>
      <w:pPr>
        <w:ind w:left="660" w:hanging="333"/>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expectations for our FIND-IO platform, including our ability to discover and advance product candidates using our FIND-IO platform;</w:t>
      </w:r>
    </w:p>
    <w:p>
      <w:pPr>
        <w:ind w:left="660" w:hanging="333"/>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potential benefits of and our ability to maintain our relationships and collaborations with Yale University, Dr. Lieping Chen and Eli Lilly and Company;</w:t>
      </w:r>
    </w:p>
    <w:p>
      <w:pPr>
        <w:jc w:val="both"/>
        <w:ind w:left="660" w:hanging="333"/>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estimates regarding our expenses, future revenues, capital requirements and our needs for or ability to obtain additional financing and the period over which we expect the proceeds of our initial public offering, together with our current cash and cash equivalents, to be sufficient to fund our operations;</w:t>
      </w:r>
    </w:p>
    <w:p>
      <w:pPr>
        <w:spacing w:after="0" w:line="1" w:lineRule="exact"/>
        <w:rPr>
          <w:rFonts w:ascii="Times New Roman" w:cs="Times New Roman" w:eastAsia="Times New Roman" w:hAnsi="Times New Roman"/>
          <w:sz w:val="18"/>
          <w:szCs w:val="18"/>
          <w:color w:val="auto"/>
        </w:rPr>
      </w:pPr>
    </w:p>
    <w:p>
      <w:pPr>
        <w:ind w:left="660" w:hanging="333"/>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intended reliance on and the performance of third parties, including collaborators, contract research organizations and third-party manufacturers;</w:t>
      </w:r>
    </w:p>
    <w:p>
      <w:pPr>
        <w:ind w:left="660" w:hanging="333"/>
        <w:spacing w:after="0"/>
        <w:tabs>
          <w:tab w:leader="none" w:pos="6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our ability to protect and enforce our intellectual property protection and the scope and duration of such protection;</w:t>
      </w:r>
    </w:p>
    <w:p>
      <w:pPr>
        <w:spacing w:after="0" w:line="20" w:lineRule="exact"/>
        <w:rPr>
          <w:rFonts w:ascii="Times New Roman" w:cs="Times New Roman" w:eastAsia="Times New Roman" w:hAnsi="Times New Roman"/>
          <w:sz w:val="17"/>
          <w:szCs w:val="17"/>
          <w:color w:val="auto"/>
        </w:rPr>
      </w:pPr>
    </w:p>
    <w:p>
      <w:pPr>
        <w:ind w:left="660" w:hanging="333"/>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developments and projections relating to our competitors and our industry, including competing therapies; and</w:t>
      </w:r>
    </w:p>
    <w:p>
      <w:pPr>
        <w:spacing w:after="0" w:line="9"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current and future laws and regulations.</w:t>
      </w:r>
    </w:p>
    <w:p>
      <w:pPr>
        <w:spacing w:after="0" w:line="20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These statements are based on management’s current expectations, estimates, forecasts and projections about our business and industry, are not guarantees of future performance and involve known and unknown risks, uncertainties and other factors that are in some cases beyond our control and that may cause our or our industry’s actual results, levels of activity, performance or achievements to be materially different from those anticipated by the forward-looking statements. We discuss many of these risks in greater detail in the section entitled “Risk Factors” included in Part II, Item 1A and elsewhere in this report. While we believe that our internal expectations, estimates, forecasts and projections are reasonable, no independent source has verified such expectations, estimates, forecasts and projections, as a result we cannot assure you that the forward-looking statements in this Quarterly Report will prove to be accurate. Furthermore, if our forward-looking statements prove to be inaccurate, the inaccuracy may be material. Accordingly, you should not rely upon forward-looking statements as predictions of future events. These forward-looking statements speak only as of the date of this Quarterly Report, and except as required by law, we are under no duty to update or revise any of the forward-looking statements, whether as a result of new information, future events or otherwise.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committed to discovering and developing novel, first-in-class immunomedicines to treat cancer and other immune-related diseases by restoring normal immune function. We view the immune system holistically and, rather than target one specific immune cell type, we focus on understanding biological pathways, the interactions of cells and the role each interaction plays in an immune response. Through our proprietary Functional, Integrated, NextCure Discovery in Immuno-Oncology, or FIND-IO, platform, we study various immune cells to discover and understand targets and structural components of immune cells and their functional impact in order to develop immunomedicines. We are focused on patients who do not respond to current therapies, patients whose cancer progresses despite treatment and patients with cancer types not adequately addressed by available therapies. We are committed to discovering and developing first-in-class immunomedicines, which are immunomedicines that use new or unique mechanisms of action to treat a medical condition, for these patients.</w:t>
      </w:r>
    </w:p>
    <w:p>
      <w:pPr>
        <w:spacing w:after="0" w:line="158" w:lineRule="exact"/>
        <w:rPr>
          <w:sz w:val="20"/>
          <w:szCs w:val="20"/>
          <w:color w:val="auto"/>
        </w:rPr>
      </w:pPr>
    </w:p>
    <w:p>
      <w:pPr>
        <w:jc w:val="both"/>
        <w:ind w:firstLine="648"/>
        <w:spacing w:after="0" w:line="223" w:lineRule="exact"/>
        <w:rPr>
          <w:sz w:val="20"/>
          <w:szCs w:val="20"/>
          <w:color w:val="auto"/>
        </w:rPr>
      </w:pPr>
      <w:r>
        <w:rPr>
          <w:rFonts w:ascii="Times New Roman" w:cs="Times New Roman" w:eastAsia="Times New Roman" w:hAnsi="Times New Roman"/>
          <w:sz w:val="18"/>
          <w:szCs w:val="18"/>
          <w:color w:val="auto"/>
        </w:rPr>
        <w:t>Our lead product candidate, NC318, is a first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 immunomedicine against a novel immunomodulatory receptor called Siglec</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 or S15. In October 2018, we initiated a Phase 1/2 clinical trial of NC318 in patients with advanced or metastatic solid tumors. We expect completion of the Phase 1 portion of this trial in the fourth quarter of 2019 and completion of the Phase 2 portion in the fourth quarter of 2020. Our second product candidate, NC410, is a novel immunomedicine designed to block immune suppression mediated by an immune modulator called Leukocyte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Associated Immunoglobulin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like Receptor 1, or LAIR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We expect to submit an investigational new drug application, or IND, to the U.S. Food and Drug Administration, or FDA, for NC410 in the first quarter of 2020.</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9" w:lineRule="exact"/>
        <w:rPr>
          <w:sz w:val="20"/>
          <w:szCs w:val="20"/>
          <w:color w:val="auto"/>
        </w:rPr>
      </w:pPr>
    </w:p>
    <w:p>
      <w:pPr>
        <w:jc w:val="both"/>
        <w:ind w:firstLine="648"/>
        <w:spacing w:after="0" w:line="226" w:lineRule="exact"/>
        <w:rPr>
          <w:sz w:val="20"/>
          <w:szCs w:val="20"/>
          <w:color w:val="auto"/>
        </w:rPr>
      </w:pPr>
      <w:r>
        <w:rPr>
          <w:rFonts w:ascii="Times New Roman" w:cs="Times New Roman" w:eastAsia="Times New Roman" w:hAnsi="Times New Roman"/>
          <w:sz w:val="18"/>
          <w:szCs w:val="18"/>
          <w:color w:val="auto"/>
        </w:rPr>
        <w:t>Since commencing operations in 2015, we have devoted substantially all of our efforts and financial resources to organizing and staffing our company, identifying business development opportunities, raising capital, securing intellectual property rights related to our product candidates, building and optimizing our manufacturing capabilities and conducting discovery, research and development activities for our product candidates, discovery programs and FIND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IO platform.</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not generated any revenue from product sales and only limited revenue from other sources and, as a result, we have never been profitable and have incurred net losses since the commencement of our operations. Our net losses for the three months ended June 30, 2019 and 2018 were $8.2 million and $5.2 million, respectively, and our net losses for the six months ended June 30, 2019 and 2018 were $14.4 million and $10.2 million, respectively. As of June 30, 2019, we had an accumulated deficit of $61.7 million, primarily as a result of research and development and general and administrative expenses. We do not expect to generate product revenue unless and until we obtain marketing approval for and commercialize a product candidate, and we cannot assure you that we will ever generate significant revenue or profits.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funded our operations to date primarily with proceeds from the sale of preferred stock, proceeds from our multi-year research collaboration and development agreement with Eli Lilly and Company, or Lilly, and proceeds from our initial public offering, or our IPO. Since our inception through June 30, 2019, we received gross proceeds of $164.4 million through private placements of preferred stock and an upfront payment of $25.0 million in connection with our agreement with Lilly, or the Lilly Agreement. In April 2018, we received gross proceeds of $31.0 million from the sale and issuance of shares of our Series A-3 Preferred Stock, and in November 2018, we received gross proceeds of $93.4 million from the sale and issuance of shares of our Series B Preferred Stock, including $15.0 million from Lilly as described below.</w:t>
      </w:r>
    </w:p>
    <w:p>
      <w:pPr>
        <w:spacing w:after="0" w:line="161" w:lineRule="exact"/>
        <w:rPr>
          <w:sz w:val="20"/>
          <w:szCs w:val="20"/>
          <w:color w:val="auto"/>
        </w:rPr>
      </w:pPr>
    </w:p>
    <w:p>
      <w:pPr>
        <w:jc w:val="both"/>
        <w:ind w:firstLine="648"/>
        <w:spacing w:after="0" w:line="222" w:lineRule="exact"/>
        <w:rPr>
          <w:sz w:val="20"/>
          <w:szCs w:val="20"/>
          <w:color w:val="auto"/>
        </w:rPr>
      </w:pPr>
      <w:r>
        <w:rPr>
          <w:rFonts w:ascii="Times New Roman" w:cs="Times New Roman" w:eastAsia="Times New Roman" w:hAnsi="Times New Roman"/>
          <w:sz w:val="18"/>
          <w:szCs w:val="18"/>
          <w:color w:val="auto"/>
        </w:rPr>
        <w:t>In November 2018, we entered into a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research and development collaboration agreement with Lilly, or the Lilly Agreement, pursuant to which we will use our FIND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IO platform to identify novel oncology targets for additional collaborative research and drug discovery by us and Lilly. We received an upfront payment of $25.0 million in cash and an equity investment of $15.0 million from Lilly upon entering into the Lilly Agreement, and we are eligible for quarterly research and development support payments during a portion of the term of the Lilly Agreement, option exercise payments and milestone payments in an aggregate of up to $1.4 billion, as well as mid to high single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digit royalty payments on net sales for all products directed to each target optioned by Lilly. We expect to recognize revenue from the Lilly Agreement on a proportional performance basis over the term of the Lilly Agreement.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On May 13, 2019, we closed our IPO, in which we sold 5,750,000 shares of common stock, at a public offering price of $15.00 per share, for aggregate gross proceeds of $86.3 million. The net offering proceeds to us were approximately $77.0 million after deducting underwriting discounts and commissions of $6.0 million and offering expenses of $3.4 million.</w:t>
      </w:r>
    </w:p>
    <w:p>
      <w:pPr>
        <w:spacing w:after="0" w:line="2" w:lineRule="exact"/>
        <w:rPr>
          <w:sz w:val="20"/>
          <w:szCs w:val="20"/>
          <w:color w:val="auto"/>
        </w:rPr>
      </w:pPr>
    </w:p>
    <w:p>
      <w:pPr>
        <w:jc w:val="both"/>
        <w:ind w:firstLine="95"/>
        <w:spacing w:after="0" w:line="261" w:lineRule="auto"/>
        <w:rPr>
          <w:sz w:val="20"/>
          <w:szCs w:val="20"/>
          <w:color w:val="auto"/>
        </w:rPr>
      </w:pPr>
      <w:r>
        <w:rPr>
          <w:rFonts w:ascii="Times New Roman" w:cs="Times New Roman" w:eastAsia="Times New Roman" w:hAnsi="Times New Roman"/>
          <w:sz w:val="18"/>
          <w:szCs w:val="18"/>
          <w:color w:val="auto"/>
        </w:rPr>
        <w:t>See Note 1 to our unaudited condensed financial statements included elsewhere in this Quarterly Report for more information.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June 30, 2019, we had cash and cash equivalents, excluding restricted cash, of $192.7 million. We believe that our existing cash and cash equivalents, together with the net proceeds from our IPO, will be sufficient to fund our planned operations into the second half of 2022. We have based this estimate on assumptions that may prove to be incorrect, and we could use our available capital resources sooner than we currently expect.</w:t>
      </w:r>
    </w:p>
    <w:p>
      <w:pPr>
        <w:spacing w:after="0" w:line="180" w:lineRule="exact"/>
        <w:rPr>
          <w:sz w:val="20"/>
          <w:szCs w:val="20"/>
          <w:color w:val="auto"/>
        </w:rPr>
      </w:pPr>
    </w:p>
    <w:p>
      <w:pPr>
        <w:jc w:val="both"/>
        <w:ind w:firstLine="648"/>
        <w:spacing w:after="0" w:line="219" w:lineRule="exact"/>
        <w:rPr>
          <w:sz w:val="20"/>
          <w:szCs w:val="20"/>
          <w:color w:val="auto"/>
        </w:rPr>
      </w:pPr>
      <w:r>
        <w:rPr>
          <w:rFonts w:ascii="Times New Roman" w:cs="Times New Roman" w:eastAsia="Times New Roman" w:hAnsi="Times New Roman"/>
          <w:sz w:val="18"/>
          <w:szCs w:val="18"/>
          <w:color w:val="auto"/>
        </w:rPr>
        <w:t>We expect to incur substantial expenditures in the foreseeable future as we advance our product candidates through clinical development, the regulatory approval process and, if approved, commercialization, and as we expand our pipeline through research and development activities related to our FIND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IO platform and discovery programs. Specifically, in the near term, we expect to incur substantial expenses relating to our ongoing Phase 1/2 clinical trial of NC318, preclinical studies and our planned Phase 1/2 clinical trial of NC410 and other research and development activities. We expect to incur significantly increased costs as a result of operating as a public company, including significant legal, accounting, investor relations and other expenses that we did not incur as a private company.</w:t>
      </w:r>
    </w:p>
    <w:p>
      <w:pPr>
        <w:spacing w:after="0" w:line="20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will need substantial additional funding to support our continuing operations and to pursue our development strategy. Until such time as we can generate significant revenue from sales of our product candidates, if ever, we expect to finance our operations through a combination of public or private equity offerings, debt financings, marketing and distribution arrangements, other collaborations, strategic alliances and licensing arrangements. Adequate funding may not be available to us on acceptable terms, or at all. If we fail to raise capital or enter into such agreements as and when needed, we may be required to delay, limit, reduce or terminate preclinical studies, clinical trials, or other research and development activities or one or more of our development programs.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2019, we recognized $1.4 million and $2.8 million, respectively, in revenue under the Lilly Agreement. Through June 30, 2019, we have not generated any revenue from product sales.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additional information about our revenue recognition policy, see Note 2 to our unaudited condensed financial statements included elsewhere in this Quarterly Report. For the foreseeable future, we expect all of our revenue will be generated from the Lilly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discovery efforts, research activities, development and testing of our product candidates as well as for clinical trials, including:</w:t>
      </w:r>
    </w:p>
    <w:p>
      <w:pPr>
        <w:spacing w:after="0" w:line="133" w:lineRule="exact"/>
        <w:rPr>
          <w:sz w:val="20"/>
          <w:szCs w:val="20"/>
          <w:color w:val="auto"/>
        </w:rPr>
      </w:pPr>
    </w:p>
    <w:p>
      <w:pPr>
        <w:ind w:left="980" w:hanging="329"/>
        <w:spacing w:after="0" w:line="239" w:lineRule="exact"/>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benefits and other related costs, including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for personnel engaged in research and development functions;</w:t>
      </w:r>
    </w:p>
    <w:p>
      <w:pPr>
        <w:spacing w:after="0" w:line="199" w:lineRule="exact"/>
        <w:rPr>
          <w:rFonts w:ascii="Times New Roman" w:cs="Times New Roman" w:eastAsia="Times New Roman" w:hAnsi="Times New Roman"/>
          <w:sz w:val="18"/>
          <w:szCs w:val="18"/>
          <w:color w:val="auto"/>
        </w:rPr>
      </w:pPr>
    </w:p>
    <w:p>
      <w:pPr>
        <w:jc w:val="both"/>
        <w:ind w:left="980" w:hanging="329"/>
        <w:spacing w:after="0" w:line="266"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including agreements with third parties that conduct research, preclinical activities or clinical trials on our behalf, such as our corporate sponsored research agreement, or the SRA. and our license agreement with Yale University;</w:t>
      </w:r>
    </w:p>
    <w:p>
      <w:pPr>
        <w:spacing w:after="0" w:line="147" w:lineRule="exact"/>
        <w:rPr>
          <w:rFonts w:ascii="Times New Roman" w:cs="Times New Roman" w:eastAsia="Times New Roman" w:hAnsi="Times New Roman"/>
          <w:sz w:val="18"/>
          <w:szCs w:val="18"/>
          <w:color w:val="auto"/>
        </w:rPr>
      </w:pPr>
    </w:p>
    <w:p>
      <w:pPr>
        <w:ind w:left="980" w:hanging="329"/>
        <w:spacing w:after="0" w:line="207" w:lineRule="exact"/>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outside consultants, including their fees,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and related travel expenses;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5" w:lineRule="exact"/>
        <w:rPr>
          <w:sz w:val="20"/>
          <w:szCs w:val="20"/>
          <w:color w:val="auto"/>
        </w:rPr>
      </w:pPr>
    </w:p>
    <w:p>
      <w:pPr>
        <w:ind w:left="980" w:hanging="329"/>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laboratory supplies and acquiring, developing and manufacturing preclinical study and clinical trial materials; and</w:t>
      </w:r>
    </w:p>
    <w:p>
      <w:pPr>
        <w:spacing w:after="0" w:line="133" w:lineRule="exact"/>
        <w:rPr>
          <w:rFonts w:ascii="Times New Roman" w:cs="Times New Roman" w:eastAsia="Times New Roman" w:hAnsi="Times New Roman"/>
          <w:sz w:val="18"/>
          <w:szCs w:val="18"/>
          <w:color w:val="auto"/>
        </w:rPr>
      </w:pPr>
    </w:p>
    <w:p>
      <w:pPr>
        <w:ind w:left="980" w:hanging="329"/>
        <w:spacing w:after="0" w:line="239" w:lineRule="exact"/>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expenses, which include direct depreciation costs and allocated expenses for rent and maintenance of facilities and other operating costs.</w:t>
      </w:r>
    </w:p>
    <w:p>
      <w:pPr>
        <w:spacing w:after="0" w:line="199" w:lineRule="exact"/>
        <w:rPr>
          <w:sz w:val="20"/>
          <w:szCs w:val="20"/>
          <w:color w:val="auto"/>
        </w:rPr>
      </w:pPr>
    </w:p>
    <w:p>
      <w:pPr>
        <w:jc w:val="both"/>
        <w:ind w:firstLine="648"/>
        <w:spacing w:after="0" w:line="219" w:lineRule="exact"/>
        <w:rPr>
          <w:sz w:val="20"/>
          <w:szCs w:val="20"/>
          <w:color w:val="auto"/>
        </w:rPr>
      </w:pPr>
      <w:r>
        <w:rPr>
          <w:rFonts w:ascii="Times New Roman" w:cs="Times New Roman" w:eastAsia="Times New Roman" w:hAnsi="Times New Roman"/>
          <w:sz w:val="18"/>
          <w:szCs w:val="18"/>
          <w:color w:val="auto"/>
        </w:rPr>
        <w:t>We expense research and development costs as incurred. Our expenses related to clinical trials are based on actual costs incurred and estimates of other incurred costs. These estimated costs are based on several factors, including patient enrollment and related expenses at clinical investigator sites, contract services received, consulting agreement costs and efforts expended under contracts with research institutions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contract research organizations that conduct and manage clinical trials on our behalf. We generally accrue estimated costs related to clinical trials based on contracted amounts applied to the level of patient enrollment and other activity according to the protocol. If future timelines or contracts are modified based on changes in the clinical trial protocol or scope of work to be performed, we would modify our estimates of accrued expenses accordingly on a prospective basis. Historically, any such modifications have not been material.</w:t>
      </w:r>
    </w:p>
    <w:p>
      <w:pPr>
        <w:spacing w:after="0" w:line="171" w:lineRule="exact"/>
        <w:rPr>
          <w:sz w:val="20"/>
          <w:szCs w:val="20"/>
          <w:color w:val="auto"/>
        </w:rPr>
      </w:pPr>
    </w:p>
    <w:p>
      <w:pPr>
        <w:jc w:val="both"/>
        <w:ind w:firstLine="648"/>
        <w:spacing w:after="0" w:line="228" w:lineRule="exact"/>
        <w:rPr>
          <w:sz w:val="20"/>
          <w:szCs w:val="20"/>
          <w:color w:val="auto"/>
        </w:rPr>
      </w:pPr>
      <w:r>
        <w:rPr>
          <w:rFonts w:ascii="Times New Roman" w:cs="Times New Roman" w:eastAsia="Times New Roman" w:hAnsi="Times New Roman"/>
          <w:sz w:val="18"/>
          <w:szCs w:val="18"/>
          <w:color w:val="auto"/>
        </w:rPr>
        <w:t>Due to the early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nature of our programs and the discovery-related nature of our efforts, we do not track costs on a program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program basis other than costs incurred for the Lilly Agreement. However, as our current and future product candidates proceed along a development path further in clinical trials, we intend to track the costs of each program. We will measure costs incurred under the Lilly Agreement as an input to recording revenue from the Lilly Agreement.</w:t>
      </w:r>
    </w:p>
    <w:p>
      <w:pPr>
        <w:spacing w:after="0" w:line="198" w:lineRule="exact"/>
        <w:rPr>
          <w:sz w:val="20"/>
          <w:szCs w:val="20"/>
          <w:color w:val="auto"/>
        </w:rPr>
      </w:pPr>
    </w:p>
    <w:p>
      <w:pPr>
        <w:jc w:val="both"/>
        <w:ind w:firstLine="648"/>
        <w:spacing w:after="0" w:line="224" w:lineRule="exact"/>
        <w:rPr>
          <w:sz w:val="20"/>
          <w:szCs w:val="20"/>
          <w:color w:val="auto"/>
        </w:rPr>
      </w:pPr>
      <w:r>
        <w:rPr>
          <w:rFonts w:ascii="Times New Roman" w:cs="Times New Roman" w:eastAsia="Times New Roman" w:hAnsi="Times New Roman"/>
          <w:sz w:val="18"/>
          <w:szCs w:val="18"/>
          <w:color w:val="auto"/>
        </w:rPr>
        <w:t>Research and development activities are central to our business model. We expect that our research and development expenses will continue to increase substantially for the foreseeable future as we advance our product candidates through development, including conducting our Phase 1/2 clinical trial of NC318 and conducting preclinical studies and a Phase 1/2 clinical trial of NC410, and as we expand our pipeline through research and development activities related to our FIND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IO platform and discovery programs.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cannot determine with certainty the duration and costs of future clinical trials of NC318, NC410 or any other product candidate we may develop or if, when or to what extent we will generate revenue from the commercialization and sale of any product candidate for which we may obtain marketing approval. We may never succeed in obtaining marketing approval for any product candidate. The duration, costs and timing of clinical trials and development of NC318, NC410 and any other product candidate we may develop will depend on a variety of factors, including:</w:t>
      </w:r>
    </w:p>
    <w:p>
      <w:pPr>
        <w:spacing w:after="0" w:line="184" w:lineRule="exact"/>
        <w:rPr>
          <w:sz w:val="20"/>
          <w:szCs w:val="20"/>
          <w:color w:val="auto"/>
        </w:rPr>
      </w:pPr>
    </w:p>
    <w:p>
      <w:pPr>
        <w:ind w:left="980" w:hanging="329"/>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clinical trials of NC318 and NC410, as well as of any future clinical trials of other product candidates and other research and development activities that we may conduct;</w:t>
      </w:r>
    </w:p>
    <w:p>
      <w:pPr>
        <w:spacing w:after="0" w:line="161"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selection of indications, clinical trial design and patient enrollment rates;</w:t>
      </w:r>
    </w:p>
    <w:p>
      <w:pPr>
        <w:spacing w:after="0" w:line="225"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probability of success for our product candidates, including safety and efficacy, early clinical data, competition, ease and ability of manufacturing and commercial viability;</w:t>
      </w:r>
    </w:p>
    <w:p>
      <w:pPr>
        <w:spacing w:after="0" w:line="161"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 and regulatory guidance;</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receipt of any development or marketing approvals, including the IND for NC410; and</w:t>
      </w:r>
    </w:p>
    <w:p>
      <w:pPr>
        <w:spacing w:after="0" w:line="225"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 of filing, prosecuting, defending and enforcing any patent claims and other intellectual property rights.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 product candidate could lead to a significant change in the costs and timing associated with the development of that product candidate. For example, if the FDA, or another regulatory authority were to require us to conduct clinical trials beyond those that we anticipate will be required for the completion of clinical development of a product candidate, or if we experience significant delays in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clinical trials due to patient enrollment or other reasons, we would be required to expend significant additional financial resources and time to complete clinical development for any such product candidate.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99" w:lineRule="exact"/>
        <w:rPr>
          <w:sz w:val="20"/>
          <w:szCs w:val="20"/>
          <w:color w:val="auto"/>
        </w:rPr>
      </w:pPr>
    </w:p>
    <w:p>
      <w:pPr>
        <w:jc w:val="both"/>
        <w:ind w:firstLine="648"/>
        <w:spacing w:after="0" w:line="224" w:lineRule="exact"/>
        <w:rPr>
          <w:sz w:val="20"/>
          <w:szCs w:val="20"/>
          <w:color w:val="auto"/>
        </w:rPr>
      </w:pPr>
      <w:r>
        <w:rPr>
          <w:rFonts w:ascii="Times New Roman" w:cs="Times New Roman" w:eastAsia="Times New Roman" w:hAnsi="Times New Roman"/>
          <w:sz w:val="18"/>
          <w:szCs w:val="18"/>
          <w:color w:val="auto"/>
        </w:rPr>
        <w:t>General and administrative expenses consist primarily of personnel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including payroll and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for personnel in executive, finance, human resources, business and corporate development and other administrative functions, professional fees for legal, intellectual property, consulting and accounting services, rent and other facility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depreciation and other general operating expenses not otherwise classified as research and development expenses. General and administrative expenses also include all patent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incurred in connection with filing and prosecuting patent applications, which are expensed as incurred.</w:t>
      </w:r>
    </w:p>
    <w:p>
      <w:pPr>
        <w:spacing w:after="0" w:line="20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substantially during the next few years as a result of staff expansion and additional occupancy costs, as well as costs associated with being a public company, including higher legal and accounting fees, investor relations costs, higher insurance premiums and other compliance costs associated with being a public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01" w:lineRule="exact"/>
        <w:rPr>
          <w:sz w:val="20"/>
          <w:szCs w:val="20"/>
          <w:color w:val="auto"/>
        </w:rPr>
      </w:pPr>
    </w:p>
    <w:p>
      <w:pPr>
        <w:jc w:val="both"/>
        <w:ind w:firstLine="648"/>
        <w:spacing w:after="0" w:line="239" w:lineRule="exact"/>
        <w:rPr>
          <w:sz w:val="20"/>
          <w:szCs w:val="20"/>
          <w:color w:val="auto"/>
        </w:rPr>
      </w:pPr>
      <w:r>
        <w:rPr>
          <w:rFonts w:ascii="Times New Roman" w:cs="Times New Roman" w:eastAsia="Times New Roman" w:hAnsi="Times New Roman"/>
          <w:sz w:val="18"/>
          <w:szCs w:val="18"/>
          <w:color w:val="auto"/>
        </w:rPr>
        <w:t>Other income, net consists primarily of interest income earned on our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investments in U.S. Treasury obligations and payment of interest on our term loan with a commercial bank, or the Term Loan.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Six Months Ended June 30, 2019 and 2018</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indicated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6"/>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Borders>
              <w:top w:val="single" w:sz="8" w:color="auto"/>
            </w:tcBorders>
          </w:tcPr>
          <w:p>
            <w:pPr>
              <w:jc w:val="right"/>
              <w:ind w:right="10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1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Revenue from research and development arrangement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$ 1,402</w:t>
            </w:r>
          </w:p>
        </w:tc>
        <w:tc>
          <w:tcPr>
            <w:tcW w:w="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$ 1,402</w:t>
            </w:r>
          </w:p>
        </w:tc>
        <w:tc>
          <w:tcPr>
            <w:tcW w:w="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$ 2,759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$ 7,643</w:t>
            </w:r>
          </w:p>
        </w:tc>
        <w:tc>
          <w:tcPr>
            <w:tcW w:w="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$ 3,209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8,644</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(8,955)</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(5,300)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(15,770)</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(10,309)</w:t>
            </w: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(8,221)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(5,231)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(2,990)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(14,376)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(10,227)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(4,149)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Research and Development Arrangement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Revenue was $1.4 million and $0 million for the three months ended June 30, 2019 and 2018, respectively and $2.8 million and $0 million for the six months ended June 30, 2019 and 2018, respectively. The increase in revenue is related to the recognition of a portion of the upfront consideration under the Lilly Agreement and the premium on the proceeds from Lilly’s investment in shares of our Series B-3 Preferred Stock.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June 30, 2019 increased by $3.2 million to $7.6 million compared to $4.4 million for the three months ended June 30, 2018. The increase was driven primarily by $0.9 million in personnel-related costs due to an increase in headcount. Other significant components of the increase in research</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development expenses included the following: $0.8 million in lab supplies and services for NC318, NC410, other early-stage programs and discovery activities; $0.7 million in clinical research costs related to advancing NC318; a $0.5 million payment to Yale University in connection with the closing of our IPO; and $0.1 million in depreciation expense.</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for the six months ended June 30, 2019 increased by $5.5 million to $14.2 million compared to $8.6 million for the six months ended June 30, 2018. The increase was driven primarily by $1.6 million in personnel-related costs due to an increase in headcount. Other significant components of the increase in research and development expenses included the following: $1.5 million in clinical research costs related to advancing NC318; $1.3 million in lab supplies and services for NC318, NC410, other early-stage programs and discovery activities; a $0.5 million payment to Yale University in connection with the closing of our IPO and $0.3 million in payments pursuant to SRA and other sponsored research agreements.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June 30, 2019 increased by $1.8 million to $2.7 million as compared to $0.9 million for the three months ended June 30, 2018. The increase was driven primarily by increases, in connection with our IPO, of $0.7 million for professional fees related to legal, finance and audit services, public relations, compensation and investor relations support, $0.3 million in insurance expenses and $0.2 million in personnel-related costs due to an increase in headcount as well as, $0.5 million for an unrestricted gift to an academic lab.</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for the six months ended June 30, 2019 increased by $2.7 million to $4.4 million as compared to $1.7 million for the six months ended June 30, 2018. The increase was driven primarily by increases, in connection with our IPO, of $1.3 million for professional fees related to legal, finance and audit services, public relations, compensation and investor relations support, $0.4 million in personnel-related costs due to an increase in headcount and $0.3 million in insurance expenses, in connection with our IPO, as well as, $0.5 million for an unrestricted gift to an academic lab.</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income, net for the three months ended June 30, 2019 increased by $0.6 million to $0.7 million from $69,000 for the three months ended June 30, 2018. The increase was driven primarily by interest income earned on higher cash balances, partially offset by interest expense related to the Term Loan.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income, net for the six months ended June 30, 2019 increased by $1.3 million to $1.4 million from $82,000 for the six months ended June 30, 2018. The increase was driven primarily by interest income earned on higher cash balances, partially offset by interest expense related to the Term Loan.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financed our operations primarily through private placements of preferred stock and proceeds pursuant to the Lilly Agreement and our IPO. On May 13, 2019, we closed our IPO in which we sold 5,750,000 shares of common stock, at a public offering price of $15.00 per share, for aggregate gross proceeds of $86.3 million. The net offering proceeds to us were approximately $77.0 million after deducting underwriting discounts and commissions of $6.0 million and offering expenses of $3.4 million. Since inception, we have received aggregate gross proceeds of $164.4 million from the sale and issuance of shares of our preferred stock. In addition, in November 2018, we received an upfront payment of $25.0 million in cash from Lilly pursuant to the Lilly Agreement. Our cash and cash equivalents are held in money market funds and U.S. Treasury obligations.</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June 30, 2019, our principal source of liquidity was cash and cash equivalents of $192.7 million. We believe that the net proceeds from our IPO, together with our existing cash and cash equivalents, will be sufficient to fund our planned operations into the second half of 2022.</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in April 2016, we entered into the Term Loan to finance laboratory equipment purchases. In January 2019, we amended the Term Loan to increase our borrowing capacity from $1.0 million to $5.0 million. As amended, the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5"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Term Loan matures in January 2023. Our obligations under the Term Loan are secured by a security interest in our certificates of deposit, money market accounts, cash, securities, investment property and deposit or investment accounts. The Term Loan bears interest at a rate equal to the greater of (i) the prime rate less 1.0% and (ii) 4.25% and is subject to mandatory prepayment upon the occurrence of specified events, including failure to pay the Term Loan when due, uncured breach, bankruptcy or dissolution. Under the Term Loan, we will make interest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only payments through January 2020 and 36 equal monthly payments of principal plus accrued interest thereafter through January 2023. As of June 30, 2019, our outstanding borrowings under the Term Loan were $5.0 million.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primary sources and uses of cash and cash equivalents for each of the periods presented below (in thousands):</w:t>
      </w:r>
    </w:p>
    <w:p>
      <w:pPr>
        <w:spacing w:after="0" w:line="16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4"/>
          <w:szCs w:val="14"/>
          <w:b w:val="1"/>
          <w:bCs w:val="1"/>
          <w:color w:val="auto"/>
        </w:rPr>
        <w:t>Six Months Ended</w:t>
      </w:r>
    </w:p>
    <w:p>
      <w:pPr>
        <w:ind w:left="774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0" w:type="dxa"/>
        <w:tblCellMar>
          <w:top w:w="0" w:type="dxa"/>
          <w:left w:w="0" w:type="dxa"/>
          <w:bottom w:w="0" w:type="dxa"/>
          <w:right w:w="0" w:type="dxa"/>
        </w:tblCellMar>
      </w:tblPr>
      <w:tr>
        <w:trPr>
          <w:trHeight w:val="142"/>
        </w:trPr>
        <w:tc>
          <w:tcPr>
            <w:tcW w:w="70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Borders>
              <w:bottom w:val="single" w:sz="8" w:color="CCEEFF"/>
            </w:tcBorders>
          </w:tcPr>
          <w:p>
            <w:pPr>
              <w:spacing w:after="0"/>
              <w:rPr>
                <w:sz w:val="12"/>
                <w:szCs w:val="12"/>
                <w:color w:val="auto"/>
              </w:rPr>
            </w:pPr>
          </w:p>
        </w:tc>
      </w:tr>
      <w:tr>
        <w:trPr>
          <w:trHeight w:val="21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activities</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(17,685)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(9,760)</w:t>
            </w:r>
          </w:p>
        </w:tc>
      </w:tr>
      <w:tr>
        <w:trPr>
          <w:trHeight w:val="216"/>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Investing activities</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(2,067)</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(853)</w:t>
            </w:r>
          </w:p>
        </w:tc>
      </w:tr>
      <w:tr>
        <w:trPr>
          <w:trHeight w:val="216"/>
        </w:trPr>
        <w:tc>
          <w:tcPr>
            <w:tcW w:w="7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Financing activities</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81,847</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30,800</w:t>
            </w:r>
          </w:p>
        </w:tc>
        <w:tc>
          <w:tcPr>
            <w:tcW w:w="40" w:type="dxa"/>
            <w:vAlign w:val="bottom"/>
            <w:tcBorders>
              <w:bottom w:val="single" w:sz="8" w:color="CCEEFF"/>
            </w:tcBorders>
          </w:tcPr>
          <w:p>
            <w:pPr>
              <w:spacing w:after="0"/>
              <w:rPr>
                <w:sz w:val="18"/>
                <w:szCs w:val="18"/>
                <w:color w:val="auto"/>
              </w:rPr>
            </w:pPr>
          </w:p>
        </w:tc>
      </w:tr>
      <w:tr>
        <w:trPr>
          <w:trHeight w:val="217"/>
        </w:trPr>
        <w:tc>
          <w:tcPr>
            <w:tcW w:w="7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62,095</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20,187</w:t>
            </w:r>
          </w:p>
        </w:tc>
        <w:tc>
          <w:tcPr>
            <w:tcW w:w="40" w:type="dxa"/>
            <w:vAlign w:val="bottom"/>
            <w:tcBorders>
              <w:bottom w:val="single" w:sz="8" w:color="CCEEFF"/>
            </w:tcBorders>
            <w:shd w:val="clear" w:color="auto" w:fill="CCEEFF"/>
          </w:tcPr>
          <w:p>
            <w:pPr>
              <w:spacing w:after="0"/>
              <w:rPr>
                <w:sz w:val="18"/>
                <w:szCs w:val="18"/>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Operating Activities</w:t>
      </w:r>
    </w:p>
    <w:p>
      <w:pPr>
        <w:spacing w:after="0" w:line="227" w:lineRule="exact"/>
        <w:rPr>
          <w:sz w:val="20"/>
          <w:szCs w:val="20"/>
          <w:color w:val="auto"/>
        </w:rPr>
      </w:pPr>
    </w:p>
    <w:p>
      <w:pPr>
        <w:jc w:val="both"/>
        <w:ind w:firstLine="648"/>
        <w:spacing w:after="0" w:line="224" w:lineRule="exact"/>
        <w:rPr>
          <w:sz w:val="20"/>
          <w:szCs w:val="20"/>
          <w:color w:val="auto"/>
        </w:rPr>
      </w:pPr>
      <w:r>
        <w:rPr>
          <w:rFonts w:ascii="Times New Roman" w:cs="Times New Roman" w:eastAsia="Times New Roman" w:hAnsi="Times New Roman"/>
          <w:sz w:val="18"/>
          <w:szCs w:val="18"/>
          <w:color w:val="auto"/>
        </w:rPr>
        <w:t>Net cash used in operating activities was $17.7 million for the six months ended June 30, 2019, which was primarily due to our net loss of $14.4 million. Net cash used in operating activities was $9.8 million for the six months ended June 30, 2018, which was primarily due to our net loss of $10.2 million in connection with our research and development activities, partially offset by timing of cash payments. The amount of cash used in operating activities in any period is influenced by the timing of cash payments for research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Investing Activities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for the six months ended June 30, 2019 and 2018 was $2.1 million and $0.9 million, respectively, which consisted in each case primarily of purchases of property and equipment.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Financing Activities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Cash provided by financing activities was $81.8 million for the six months ended June 30, 2019, which consisted primarily of net proceeds from the Company’s public offering. Cash provided by financing activities was $30.8 million for the six months ended June 30, 2018, which consisted of gross proceeds from the sale and issuance of shares of our Series A-3 preferred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There have been no material changes outside the ordinary course of business to our contractual obligations during the six month period ended June 30, 2019, as compared to those disclosed in the final prospectus that forms a part of our Registration Statement on Form S-1 (Reg. No. 333-230837), as filed with the SEC pursuant to Rule 424(b)(4) under the Securities Act of 1933, as amended, on May 9, 2019, or the Prospectus. See Notes 6 and 7 to our unaudited condensed financial statements included elsewhere in this Quarterly Report for a discussion of our leases and the Term Loan, respectively.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Significant Judgments and Use of Estimates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financial statements have been prepared in accordance with U.S. generally accepted accounting principles, or GAAP. The preparation of our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The most significant assumptions used in the financial statements are the underlying assumptions used in revenue recognition, product warranties, inventory valuation and valuing share-based compensation, including the fair value of our common stock in periods before our IPO.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We evaluate our estimates and assumptions on an ongoing basis. Actual results may differ from these estimates under different assumptions or conditions.</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2019, there were no material changes to our critical accounting policies as reported in the Prospectus.</w:t>
      </w:r>
    </w:p>
    <w:p>
      <w:pPr>
        <w:spacing w:after="0" w:line="13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Off</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Balance Sheet Arrangements</w:t>
      </w:r>
    </w:p>
    <w:p>
      <w:pPr>
        <w:spacing w:after="0" w:line="225" w:lineRule="exact"/>
        <w:rPr>
          <w:sz w:val="20"/>
          <w:szCs w:val="20"/>
          <w:color w:val="auto"/>
        </w:rPr>
      </w:pPr>
    </w:p>
    <w:p>
      <w:pPr>
        <w:jc w:val="both"/>
        <w:ind w:firstLine="648"/>
        <w:spacing w:after="0" w:line="239" w:lineRule="exact"/>
        <w:rPr>
          <w:sz w:val="20"/>
          <w:szCs w:val="20"/>
          <w:color w:val="auto"/>
        </w:rPr>
      </w:pPr>
      <w:r>
        <w:rPr>
          <w:rFonts w:ascii="Times New Roman" w:cs="Times New Roman" w:eastAsia="Times New Roman" w:hAnsi="Times New Roman"/>
          <w:sz w:val="18"/>
          <w:szCs w:val="18"/>
          <w:color w:val="auto"/>
        </w:rPr>
        <w:t>Since our inception, we have not engaged in any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balance sheet arrangements, as defined in the rules and regulations of the Securities and Exchange Commission.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Note 2 to our unaudited condensed financial statements included elsewhere in this Quarterly Report for a discussion of recent accounting pronouncements that may impact our financial position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an emerging growth company under the Jumpstart Our Business Startups Act of 2012, or the JOBS Act, we are eligible to take advantage of certain exemptions from various reporting requirements that are applicable to other public companies that are not emerging growth companies. We have elected to take advantage of the extended transition period for adopting new or revised accounting standards that have different effective dates for public and private companies until such time as those standards apply to private companies.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the information requested by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or the Exchange Act, as of June 30, 2019.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2019, our Chief Executive Officer and Chief Financial Officer concluded that, as of such date, our disclosure controls and procedures were effective at the reasonable assurance level.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13a-15(f) and 15d-15(f) under the Exchange Act, that occurred during the quarter ended June 30, 2019 that has materially affected, or is reasonably likely to materially affect, our internal control over financial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as part of our ordinary course of business. We are not currently a party to any litigation or legal proceedings that, in the opinion of our management, are likely to have a material adverse effect on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described below together with all of the other information in this Quarterly Report, including our financial statements and the related notes and the information described in the section entitled “Management’s Discussion and Analysis of Financial Condition and Results of Operations,” before deciding whether to invest in our common stock. If any of the events described below actually occurs, our business, results of operations, financial conditions, cash flows or prospects could be harmed. If that were to happen, the trading price of our common stock could decline, and you could lose all or part of your investment. Additional risks and uncertainties not presently known to us or that we currently deem immaterial may also impair our business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225"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have a limited operating history and no products approved for commercial sale. We have a history of significant losses, expect to continue to incur significant losses for the foreseeable future and may never achieve or maintain profitability.</w:t>
      </w:r>
    </w:p>
    <w:p>
      <w:pPr>
        <w:spacing w:after="0" w:line="13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with a limited operating history. Since our inception in 2015, we have incurred significant net losses. Our net losses were $22.8 million and $14.4 million for the year ended December 31, 2018 and the six months ended June 30, 2019, respectively. As of June 30, 2019, we had an accumulated deficit of $61.7 million. We have funded our operations to date primarily with proceeds from the sale of preferred stock and upfront fees received in connection with the Lilly agreement and proceeds from the IPO. Since commencing operations in 2015, we have devoted substantially all of our efforts and financial resources to organizing and staffing our company, identifying business development opportunities, raising capital, securing intellectual property rights related to our product candidates, building and optimizing our manufacturing capabilities and conducting discovery, research and development activities for our product candidates, our discovery programs and our FIND-IO platform.</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expect that it will be several years, if ever, before we have a commercialized product. We expect to continue to incur significant expenses and operating losses for the foreseeable future. The net losses we incur may fluctuate significantly from quarter to quarter. We anticipate that our expenses will increase substantially if, and as, we:</w:t>
      </w:r>
    </w:p>
    <w:p>
      <w:pPr>
        <w:spacing w:after="0" w:line="176" w:lineRule="exact"/>
        <w:rPr>
          <w:sz w:val="20"/>
          <w:szCs w:val="20"/>
          <w:color w:val="auto"/>
        </w:rPr>
      </w:pPr>
    </w:p>
    <w:p>
      <w:pPr>
        <w:ind w:left="980" w:hanging="329"/>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the preclinical and clinical development of our existing product candidates and our research programs;</w:t>
      </w:r>
    </w:p>
    <w:p>
      <w:pPr>
        <w:spacing w:after="0" w:line="161"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our FIND-IO platform to advance additional product candidates into preclinical and clinical development;</w:t>
      </w:r>
    </w:p>
    <w:p>
      <w:pPr>
        <w:spacing w:after="0" w:line="161"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control, regulatory, scientific and administrative personnel;</w:t>
      </w:r>
    </w:p>
    <w:p>
      <w:pPr>
        <w:spacing w:after="0" w:line="225"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and management systems and increase personnel, including to support our clinical development, manufacturing and commercialization efforts and our operations as a public company;</w:t>
      </w:r>
    </w:p>
    <w:p>
      <w:pPr>
        <w:spacing w:after="0" w:line="161"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5" w:lineRule="exact"/>
        <w:rPr>
          <w:sz w:val="20"/>
          <w:szCs w:val="20"/>
          <w:color w:val="auto"/>
        </w:rPr>
      </w:pPr>
    </w:p>
    <w:p>
      <w:pPr>
        <w:ind w:left="980" w:hanging="329"/>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marketing, sales, distribution and medical affairs infrastructure to commercialize any products for which we may obtain marketing approval and commercialize, whether on our own or jointly with a partner;</w:t>
      </w:r>
    </w:p>
    <w:p>
      <w:pPr>
        <w:spacing w:after="0" w:line="161"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technologies or engage in strategic partnerships; and</w:t>
      </w:r>
    </w:p>
    <w:p>
      <w:pPr>
        <w:spacing w:after="0" w:line="225"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or other expenses in operating our business, including the additional costs associated with operating as a public company.</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 become and remain profitable, we, whether on our own or jointly with Lilly or any potential future collaborator, must develop and eventually commercialize products with significant market potential. This will require us to be successful in a range of challenging activities, including completing preclinical studies and clinical trials, obtaining marketing approval for product candidates, manufacturing, marketing and selling products and satisfying any post-marketing requirements. We may never succeed in any or all of these activities and, even if we do, we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could also cause you to lose all or part of your investment.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generated revenue from product sales and may never be profitable.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ability to generate revenue from product sales and achieve profitability depends on our ability, alone or with our collaboration partners, to successfully complete the development of, and obtain the regulatory approvals necessary to commercialize, our product candidates. We do not anticipate generating revenue from product sales for the next several years, if ever. Our ability to generate future revenue from product sales depends heavily on our, or our existing or future collaborators’, success in:</w:t>
      </w:r>
    </w:p>
    <w:p>
      <w:pPr>
        <w:spacing w:after="0" w:line="184" w:lineRule="exact"/>
        <w:rPr>
          <w:sz w:val="20"/>
          <w:szCs w:val="20"/>
          <w:color w:val="auto"/>
        </w:rPr>
      </w:pPr>
    </w:p>
    <w:p>
      <w:pPr>
        <w:ind w:left="980" w:hanging="329"/>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preclinical studies and clinical trials of our product candidates, including our ongoing Phase 1/2 clinical trial for NC318 and other planned clinical trials for NC318 and NC410;</w:t>
      </w:r>
    </w:p>
    <w:p>
      <w:pPr>
        <w:spacing w:after="0" w:line="161"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and obtaining marketing approvals for any product candidates that we or our collaborators develop;</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acceptance of the INDs for NC410 and future product candidates;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developing new product candidates;</w:t>
      </w:r>
    </w:p>
    <w:p>
      <w:pPr>
        <w:spacing w:after="0" w:line="225" w:lineRule="exact"/>
        <w:rPr>
          <w:rFonts w:ascii="Times New Roman" w:cs="Times New Roman" w:eastAsia="Times New Roman" w:hAnsi="Times New Roman"/>
          <w:sz w:val="18"/>
          <w:szCs w:val="18"/>
          <w:color w:val="auto"/>
        </w:rPr>
      </w:pPr>
    </w:p>
    <w:p>
      <w:pPr>
        <w:jc w:val="both"/>
        <w:ind w:left="980" w:hanging="329"/>
        <w:spacing w:after="0" w:line="266"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and commercializing product candidates for which we obtain marketing approval by establishing a marketing, sales, distribution and medical affairs infrastructure or, alternatively, collaborating with a commercialization partner;</w:t>
      </w:r>
    </w:p>
    <w:p>
      <w:pPr>
        <w:spacing w:after="0" w:line="176" w:lineRule="exact"/>
        <w:rPr>
          <w:rFonts w:ascii="Times New Roman" w:cs="Times New Roman" w:eastAsia="Times New Roman" w:hAnsi="Times New Roman"/>
          <w:sz w:val="18"/>
          <w:szCs w:val="18"/>
          <w:color w:val="auto"/>
        </w:rPr>
      </w:pPr>
    </w:p>
    <w:p>
      <w:pPr>
        <w:jc w:val="both"/>
        <w:ind w:left="980" w:hanging="329"/>
        <w:spacing w:after="0" w:line="266"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coverage and adequate reimbursement by hospitals and third-party payors, including governmental authorities, such as Medicare and Medicaid, private insurers and managed care organizations, for product candidates, if approved. that we or our collaborators develop;</w:t>
      </w:r>
    </w:p>
    <w:p>
      <w:pPr>
        <w:spacing w:after="0" w:line="176"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current good manufacturing practice, or cGMP, supply of our product candidates for clinical trials and, if approved, commercial sales;</w:t>
      </w:r>
    </w:p>
    <w:p>
      <w:pPr>
        <w:spacing w:after="0" w:line="161"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 acceptance of product candidates, if approved, that we develop as viable treatment options;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technological and market developments;</w:t>
      </w:r>
    </w:p>
    <w:p>
      <w:pPr>
        <w:spacing w:after="0" w:line="225"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favorable terms in any collaboration, licensing or other arrangements into which we may enter and performing our obligations under such arrangements;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5" w:lineRule="exact"/>
        <w:rPr>
          <w:sz w:val="20"/>
          <w:szCs w:val="20"/>
          <w:color w:val="auto"/>
        </w:rPr>
      </w:pPr>
    </w:p>
    <w:p>
      <w:pPr>
        <w:ind w:left="980" w:hanging="329"/>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protecting and expanding our portfolio of intellectual property rights, including patents, trade secrets and know-how;</w:t>
      </w:r>
    </w:p>
    <w:p>
      <w:pPr>
        <w:spacing w:after="0" w:line="161"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defending against third-party interference or infringement claims, if any; and</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anticipate incurring significant costs associated with commercializing any product candidate that is approved for commercial sale. Our expenses could increase beyond expectations if we are required by the FDA or other regulatory agencies to perform clinical trials or studies in addition to those that we currently anticipate. Even if we are able to generate revenue from the sale of any approved products, we may not become profitable and may need to obtain additional funding to continue operations.</w:t>
      </w:r>
    </w:p>
    <w:p>
      <w:pPr>
        <w:spacing w:after="0" w:line="1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financing to pursue our business objectives, which may not be available on acceptable terms, or at all. A failure to obtain this necessary capital when needed could force us to delay, limit, reduce or terminate our product development, commercialization efforts or other operations.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operations have consumed substantial amounts of cash since inception. We expect to continue to spend substantial amounts to continue the preclinical and clinical development of our current and future programs. If we receive marketing approval for any product candidates, including NC318 and NC410, we will require significant additional amounts of cash in order to launch and commercialize such product candidates. In addition, other unanticipated costs may arise. Because the designs and outcomes of our planned and anticipated clinical trials are highly uncertain, we cannot reasonably estimate the actual amounts necessary to successfully complete the development of and commercialize any product candidate we develop.</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future capital requirements depend on many factors, including:</w:t>
      </w:r>
    </w:p>
    <w:p>
      <w:pPr>
        <w:spacing w:after="0" w:line="225" w:lineRule="exact"/>
        <w:rPr>
          <w:sz w:val="20"/>
          <w:szCs w:val="20"/>
          <w:color w:val="auto"/>
        </w:rPr>
      </w:pPr>
    </w:p>
    <w:p>
      <w:pPr>
        <w:jc w:val="both"/>
        <w:ind w:left="980" w:hanging="329"/>
        <w:spacing w:after="0" w:line="266"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results and costs of researching and developing NC318, NC410 and our other product candidates, including targets identified through our FIND-IO platform, and of conducting preclinical studies and clinical trials;</w:t>
      </w:r>
    </w:p>
    <w:p>
      <w:pPr>
        <w:spacing w:after="0" w:line="176"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marketing approval for NC318, NC410 and any future product candidates we develop, if clinical trials are successful;</w:t>
      </w:r>
    </w:p>
    <w:p>
      <w:pPr>
        <w:spacing w:after="0" w:line="161"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 with Lilly, including whether Lilly exercises its licensing options under its collaboration agreement with us, each of which would trigger additional payments to us;</w:t>
      </w:r>
    </w:p>
    <w:p>
      <w:pPr>
        <w:spacing w:after="0" w:line="161"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NC318, NC410 and any future product candidates for preclinical studies and clinical trials and in preparation for marketing approval and commercialization;</w:t>
      </w:r>
    </w:p>
    <w:p>
      <w:pPr>
        <w:spacing w:after="0" w:line="161" w:lineRule="exact"/>
        <w:rPr>
          <w:rFonts w:ascii="Times New Roman" w:cs="Times New Roman" w:eastAsia="Times New Roman" w:hAnsi="Times New Roman"/>
          <w:sz w:val="18"/>
          <w:szCs w:val="18"/>
          <w:color w:val="auto"/>
        </w:rPr>
      </w:pPr>
    </w:p>
    <w:p>
      <w:pPr>
        <w:jc w:val="both"/>
        <w:ind w:left="980" w:hanging="329"/>
        <w:spacing w:after="0" w:line="266"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commercialization activities, including marketing, sales and distribution costs, for NC318, NC410 and any future product candidates we develop, whether alone or with a collaborator, if any of these product candidates are approved for sale;</w:t>
      </w:r>
    </w:p>
    <w:p>
      <w:pPr>
        <w:spacing w:after="0" w:line="176"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SRA with Yale University;</w:t>
      </w:r>
    </w:p>
    <w:p>
      <w:pPr>
        <w:spacing w:after="0" w:line="225"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strategic collaborations, licensing or other arrangements on favorable terms, if at all;</w:t>
      </w:r>
    </w:p>
    <w:p>
      <w:pPr>
        <w:spacing w:after="0" w:line="161"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expanding, defending and enforcing patent claims, including litigation costs and the outcome of any such litigation;</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5" w:lineRule="exact"/>
        <w:rPr>
          <w:sz w:val="20"/>
          <w:szCs w:val="20"/>
          <w:color w:val="auto"/>
        </w:rPr>
      </w:pPr>
    </w:p>
    <w:p>
      <w:pPr>
        <w:jc w:val="both"/>
        <w:ind w:left="980" w:hanging="329"/>
        <w:spacing w:after="0" w:line="266"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collaboration and license agreements remaining in effect and our achievement of milestones and the timing and amount of milestone payments we are required to make, or that we may be eligible to receive, under those agreements;</w:t>
      </w:r>
    </w:p>
    <w:p>
      <w:pPr>
        <w:spacing w:after="0" w:line="176"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of, or royalties on, our future products, if any; and</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therapies and other adverse developments in the oncology market.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Until we can generate sufficient product and royalty revenue to finance our cash requirements, which we may never do, we expect to finance our future cash needs through a combination of public or private equity offerings, debt financings, marketing and distribution arrangements, other collaborations, strategic alliances and licensing arrangements. As of June 30, 2019, we had $192.7 million in cash and cash equivalents. Based on our research and development plans, we expect that our existing cash and cash equivalents will enable us to fund our operating expenses and capital expenditure requirements into the second half of 2022. This estimate is based on assumptions that may prove to be wrong, and we could use our available capital resources sooner than we expect. Changes may occur beyond our control that would cause us to consume our available capital before that time, including changes in and progress of our development activities, acquisitions of additional product candidates and changes in regulation.</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we raise additional capital through marketing, sales and distribution arrangements or other collaborations, strategic alliances or licensing arrangements with third parties, we may have to relinquish certain valuable rights to our product candidates, future revenue streams or research programs, technologies or grant licenses on terms that may not be favorable to us. If we raise additional capital through public or private equity offerings, the terms of these securities may include liquidation or other preferences that adversely affect our stockholders’ rights. Further, to the extent that we raise additional capital through the sale of common stock or securities convertible or exchangeable into common stock, your ownership interest will be diluted. If we raise additional capital through debt financing, we would be subject to fixed payment obligations and may be subject to covenants limiting or restricting our ability to take specific actions, such as incurring additional debt, making capital expenditures or declaring dividends.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Adequate additional financing may not be available to us on acceptable terms, or at all. If we are unable to obtain additional financing on favorable terms when needed, we may be required to delay, limit, reduce or terminate preclinical studies, clinical trials, or other research and development activities or one or more of our development programs.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and Development of Our Product Candidates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dependent on our ability to advance our current and future product candidates through clinical trials, obtain marketing approval and ultimately commercialize them.</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early in our development efforts. We have only recently initiated our first clinical trial for NC318, our lead product candidate, and our second product candidate, NC410, is in preclinical development. Our ability to generate product revenues, which we do not expect will occur for several years, if ever, will depend heavily on the successful development and eventual commercialization of NC318, NC410 and any future product candidates we develop, which may never occur. Our current product candidates, including NC318 and NC410, and any future product candidates we develop will require additional preclinical or clinical development, management of clinical, preclinical and manufacturing activities, marketing approval in the United States and other jurisdictions, demonstration of effectiveness to pricing and reimbursement authorities, sufficient cGMP manufacturing supply for both preclinical and clinical development and commercial production, building of a commercial organization and substantial investment and significant marketing efforts before we generate any revenues from product sales.</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clinical and commercial success of our current and future product candidates will depend on several factors, including the following:</w:t>
      </w:r>
    </w:p>
    <w:p>
      <w:pPr>
        <w:spacing w:after="0" w:line="162" w:lineRule="exact"/>
        <w:rPr>
          <w:sz w:val="20"/>
          <w:szCs w:val="20"/>
          <w:color w:val="auto"/>
        </w:rPr>
      </w:pPr>
    </w:p>
    <w:p>
      <w:pPr>
        <w:ind w:left="980" w:hanging="329"/>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successful completion of preclinical studies and our clinical trials;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4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5" w:lineRule="exact"/>
        <w:rPr>
          <w:sz w:val="20"/>
          <w:szCs w:val="20"/>
          <w:color w:val="auto"/>
        </w:rPr>
      </w:pPr>
    </w:p>
    <w:p>
      <w:pPr>
        <w:ind w:left="980" w:hanging="329"/>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 to complete the necessary preclinical studies and clinical trials;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INDs for NC410 and future product candidates;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clinical trials;</w:t>
      </w:r>
    </w:p>
    <w:p>
      <w:pPr>
        <w:spacing w:after="0" w:line="225"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data from our clinical program that supports an acceptable risk-benefit profile of our product candidates in the intended patient populations;</w:t>
      </w:r>
    </w:p>
    <w:p>
      <w:pPr>
        <w:spacing w:after="0" w:line="161"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consistently manufacture our product candidates on a timely basis or to establish agreements with third-party manufacturers, if needed;</w:t>
      </w:r>
    </w:p>
    <w:p>
      <w:pPr>
        <w:spacing w:after="0" w:line="161"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required by the FDA or comparable foreign regulatory authorities to conduct additional clinical trials or other studies beyond those planned or anticipated to support approval of our product candidates;</w:t>
      </w:r>
    </w:p>
    <w:p>
      <w:pPr>
        <w:spacing w:after="0" w:line="161"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proposed indications and the primary endpoint assessments evaluated in the clinical trials of our product candidates by the FDA and comparable foreign regulatory authorities;</w:t>
      </w:r>
    </w:p>
    <w:p>
      <w:pPr>
        <w:spacing w:after="0" w:line="161"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and maintenance of timely marketing approvals from applicable regulatory authorities;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launching commercial sales of our product candidates, if approved;</w:t>
      </w:r>
    </w:p>
    <w:p>
      <w:pPr>
        <w:spacing w:after="0" w:line="225"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duration and severity of potential side effects or other safety issues experienced with our product candidates, if approved;</w:t>
      </w:r>
    </w:p>
    <w:p>
      <w:pPr>
        <w:spacing w:after="0" w:line="161"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into collaborations to further the development of our product candidates;</w:t>
      </w:r>
    </w:p>
    <w:p>
      <w:pPr>
        <w:spacing w:after="0" w:line="225"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or regulatory exclusivity for our product candidates;</w:t>
      </w:r>
    </w:p>
    <w:p>
      <w:pPr>
        <w:spacing w:after="0" w:line="161"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benefits and uses of our product candidates, if approved, by patients, the medical community and third-party payors;</w:t>
      </w:r>
    </w:p>
    <w:p>
      <w:pPr>
        <w:spacing w:after="0" w:line="161"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tolerability and efficacy profile of the product candidates following approval;</w:t>
      </w:r>
    </w:p>
    <w:p>
      <w:pPr>
        <w:spacing w:after="0" w:line="161"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effectively with other therapies;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healthcare coverage and adequate reimbursement from third-party payors;</w:t>
      </w:r>
    </w:p>
    <w:p>
      <w:pPr>
        <w:spacing w:after="0" w:line="225"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targets and immunomedicines, whether through our FIND-IO platform, through our relationships with Yale or otherwise; and</w:t>
      </w:r>
    </w:p>
    <w:p>
      <w:pPr>
        <w:spacing w:after="0" w:line="161"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and defending intellectual property rights and claims.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These factors, many of which are beyond our control, could cause us to experience significant delays or an inability to obtain regulatory approvals or commercialize our current or future product candidates, and could otherwise materially harm our business. Successful completion of clinical trials does not mean that NC318, NC410 or any future product candidates we develop will receive regulatory approval. Even if regulatory approvals are obtained, we could experience significant delays or an inability to successfully commercialize our current and any future product candidates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develop, which would materially harm our business. If we are not able to generate sufficient revenue through the sale of any current or future product candidate, we may not be able to continue our business operations or achieve profitability.</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authorities are lengthy, time-consuming and inherently unpredictable, and if we are ultimately unable to obtain regulatory approval for our product candidates, our business will be materially harmed.</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Neither we nor any future collaborator is permitted to market any product candidates in the United States until we receive regulatory approval of a biologics license application, or BLA, from the FDA. It is possible that none of our current or future product candidates will ever obtain regulatory approval in the United States or elsewhere.</w:t>
      </w:r>
    </w:p>
    <w:p>
      <w:pPr>
        <w:spacing w:after="0" w:line="18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current and future product candidates could fail to receive regulatory approval for many reasons, including the following:</w:t>
      </w:r>
    </w:p>
    <w:p>
      <w:pPr>
        <w:spacing w:after="0" w:line="162" w:lineRule="exact"/>
        <w:rPr>
          <w:sz w:val="20"/>
          <w:szCs w:val="20"/>
          <w:color w:val="auto"/>
        </w:rPr>
      </w:pPr>
    </w:p>
    <w:p>
      <w:pPr>
        <w:ind w:left="980" w:hanging="329"/>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61"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pure and potent for its proposed indication;</w:t>
      </w:r>
    </w:p>
    <w:p>
      <w:pPr>
        <w:spacing w:after="0" w:line="161"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161"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225"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clinical trials or preclinical studies;</w:t>
      </w:r>
    </w:p>
    <w:p>
      <w:pPr>
        <w:spacing w:after="0" w:line="161" w:lineRule="exact"/>
        <w:rPr>
          <w:rFonts w:ascii="Times New Roman" w:cs="Times New Roman" w:eastAsia="Times New Roman" w:hAnsi="Times New Roman"/>
          <w:sz w:val="18"/>
          <w:szCs w:val="18"/>
          <w:color w:val="auto"/>
        </w:rPr>
      </w:pPr>
    </w:p>
    <w:p>
      <w:pPr>
        <w:jc w:val="both"/>
        <w:ind w:left="980" w:hanging="329"/>
        <w:spacing w:after="0" w:line="266"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 BLA to the FDA or regulatory submissions to comparable regulatory authorities to obtain regulatory approval in such jurisdiction;</w:t>
      </w:r>
    </w:p>
    <w:p>
      <w:pPr>
        <w:spacing w:after="0" w:line="176" w:lineRule="exact"/>
        <w:rPr>
          <w:rFonts w:ascii="Times New Roman" w:cs="Times New Roman" w:eastAsia="Times New Roman" w:hAnsi="Times New Roman"/>
          <w:sz w:val="18"/>
          <w:szCs w:val="18"/>
          <w:color w:val="auto"/>
        </w:rPr>
      </w:pPr>
    </w:p>
    <w:p>
      <w:pPr>
        <w:jc w:val="both"/>
        <w:ind w:left="980" w:hanging="329"/>
        <w:spacing w:after="0" w:line="266"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find deficiencies with or fail to approve our manufacturing processes or facility or the manufacturing processes or facilities of third-party manufacturers with which we contract for clinical and commercial supplies; and</w:t>
      </w:r>
    </w:p>
    <w:p>
      <w:pPr>
        <w:spacing w:after="0" w:line="176"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clinical trial results may result in our failing to obtain regulatory approval to market any product candidate we develop, which would significantly harm our business, results of operations and prospects. The FDA and other comparable foreign authorities have substantial discretion in the approval process and in determining when or whether regulatory approval will be granted for any product candidate that we develop. Even if we believe the data collected from future clinical trials of our product candidates are promising, such data may not be sufficient to support approval by the FDA or any other regulatory authority.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even if we were to obtain approval, the FDA may approve any of our product candidates for fewer or more limited indications, or a more limited patient population, than we request, may grant approval contingent on the performance of costly post-marketing clinical trials, or may approve a product candidate with a label that does not include the labeling claims we believe are necessary or desirable for the successful commercialization of such product candidates. Any of the foregoing scenarios could materially harm the commercial prospects for our product candidates.</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the FDA or comparable foreign regulatory authorities may change their policies, issue additional regulations, revise existing regulations or take other actions that may prevent or delay approval of our future products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development involves a lengthy and expensive process with uncertain outcomes. We may incur additional costs and experience delays or an inability in developing and commercializing our current and future product candidates.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To obtain the requisite regulatory approvals to commercialize any of our product candidates, we must demonstrate through extensive preclinical studies and clinical trials that our product candidates are safe, pure and potent in humans. Clinical testing is expensive and can take many years to complete, and its outcome is highly uncertain. Failure can occur at any time during the clinical trial process and our future clinical trial results may not be successful. We may experience delays in completing our clinical trials or preclinical studies and initiating or completing additional clinical trials. Although we initiated a Phase 1/2 clinical trial of NC318 in October 2018, we may experience delays in initiating or completing our planned clinical trials and development efforts. Additionally, we cannot be certain the ongoing and planned preclinical studies or clinical trials for NC318, NC410 or any future product candidates will begin on time, not require redesign, enroll an adequate number of subjects on time or be completed on schedule, if at all. We may also experience numerous unforeseen events during our clinical trials that could delay or prevent our ability to receive marketing approval or commercialize the product candidates we develop, including:</w:t>
      </w:r>
    </w:p>
    <w:p>
      <w:pPr>
        <w:spacing w:after="0" w:line="193" w:lineRule="exact"/>
        <w:rPr>
          <w:sz w:val="20"/>
          <w:szCs w:val="20"/>
          <w:color w:val="auto"/>
        </w:rPr>
      </w:pPr>
    </w:p>
    <w:p>
      <w:pPr>
        <w:jc w:val="both"/>
        <w:ind w:left="980" w:hanging="329"/>
        <w:spacing w:after="0" w:line="266"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Institutional Review Boards, or IRBs, or independent ethics committees may not authorize us or our investigators to commence a clinical trial or conduct a clinical trial at a prospective trial site;</w:t>
      </w:r>
    </w:p>
    <w:p>
      <w:pPr>
        <w:spacing w:after="0" w:line="176"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require us to submit additional data such as long-term toxicology studies, or impose other requirements on us, before permitting us to initiate a clinical trial;</w:t>
      </w:r>
    </w:p>
    <w:p>
      <w:pPr>
        <w:spacing w:after="0" w:line="161" w:lineRule="exact"/>
        <w:rPr>
          <w:rFonts w:ascii="Times New Roman" w:cs="Times New Roman" w:eastAsia="Times New Roman" w:hAnsi="Times New Roman"/>
          <w:sz w:val="18"/>
          <w:szCs w:val="18"/>
          <w:color w:val="auto"/>
        </w:rPr>
      </w:pPr>
    </w:p>
    <w:p>
      <w:pPr>
        <w:jc w:val="both"/>
        <w:ind w:left="980" w:hanging="329"/>
        <w:spacing w:after="0" w:line="266"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terms with prospective trial sites and prospective contract research organizations, or CROs, as the terms of these agreements can be subject to extensive negotiation and vary significantly among different CROs and trial sites;</w:t>
      </w:r>
    </w:p>
    <w:p>
      <w:pPr>
        <w:spacing w:after="0" w:line="176" w:lineRule="exact"/>
        <w:rPr>
          <w:rFonts w:ascii="Times New Roman" w:cs="Times New Roman" w:eastAsia="Times New Roman" w:hAnsi="Times New Roman"/>
          <w:sz w:val="18"/>
          <w:szCs w:val="18"/>
          <w:color w:val="auto"/>
        </w:rPr>
      </w:pPr>
    </w:p>
    <w:p>
      <w:pPr>
        <w:jc w:val="both"/>
        <w:ind w:left="980" w:hanging="329"/>
        <w:spacing w:after="0" w:line="266"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any product candidates may fail to show safety, purity or potency, or may produce negative or inconclusive results, which may cause us to decide, or regulators to require us, to conduct additional nonclinical studies or clinical trials or which may cause us to decide to abandon product candidate development programs;</w:t>
      </w:r>
    </w:p>
    <w:p>
      <w:pPr>
        <w:spacing w:after="0" w:line="176"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may be larger than we anticipate, or we may have difficulty adding a sufficient number of clinical trial sites;</w:t>
      </w:r>
    </w:p>
    <w:p>
      <w:pPr>
        <w:spacing w:after="0" w:line="161" w:lineRule="exact"/>
        <w:rPr>
          <w:rFonts w:ascii="Times New Roman" w:cs="Times New Roman" w:eastAsia="Times New Roman" w:hAnsi="Times New Roman"/>
          <w:sz w:val="18"/>
          <w:szCs w:val="18"/>
          <w:color w:val="auto"/>
        </w:rPr>
      </w:pPr>
    </w:p>
    <w:p>
      <w:pPr>
        <w:jc w:val="both"/>
        <w:ind w:left="980" w:hanging="329"/>
        <w:spacing w:after="0" w:line="266"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be difficult to enroll a sufficient number of patients, enrollment in these clinical trials may be slower than we anticipate or participants may drop out of these clinical trials or may fail to return for post-treatment follow-up at a higher rate than we anticipate;</w:t>
      </w:r>
    </w:p>
    <w:p>
      <w:pPr>
        <w:spacing w:after="0" w:line="176" w:lineRule="exact"/>
        <w:rPr>
          <w:rFonts w:ascii="Times New Roman" w:cs="Times New Roman" w:eastAsia="Times New Roman" w:hAnsi="Times New Roman"/>
          <w:sz w:val="18"/>
          <w:szCs w:val="18"/>
          <w:color w:val="auto"/>
        </w:rPr>
      </w:pPr>
    </w:p>
    <w:p>
      <w:pPr>
        <w:jc w:val="both"/>
        <w:ind w:left="980" w:hanging="329"/>
        <w:spacing w:after="0" w:line="266"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CROs and other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5" w:lineRule="exact"/>
        <w:rPr>
          <w:sz w:val="20"/>
          <w:szCs w:val="20"/>
          <w:color w:val="auto"/>
        </w:rPr>
      </w:pPr>
    </w:p>
    <w:p>
      <w:pPr>
        <w:jc w:val="both"/>
        <w:ind w:left="980" w:hanging="329"/>
        <w:spacing w:after="0" w:line="266"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or regulators, IRBs or ethics committees may require that we or our investigators, suspend or terminate clinical research or trials for various reasons, including noncompliance with regulatory requirements or a finding that participants are being exposed to unacceptable health risks;</w:t>
      </w:r>
    </w:p>
    <w:p>
      <w:pPr>
        <w:spacing w:after="0" w:line="176"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preclinical or nonclinical testing and studies and clinical trials of any product candidates may be greater than we anticipate;</w:t>
      </w:r>
    </w:p>
    <w:p>
      <w:pPr>
        <w:spacing w:after="0" w:line="161" w:lineRule="exact"/>
        <w:rPr>
          <w:rFonts w:ascii="Times New Roman" w:cs="Times New Roman" w:eastAsia="Times New Roman" w:hAnsi="Times New Roman"/>
          <w:sz w:val="18"/>
          <w:szCs w:val="18"/>
          <w:color w:val="auto"/>
        </w:rPr>
      </w:pPr>
    </w:p>
    <w:p>
      <w:pPr>
        <w:jc w:val="both"/>
        <w:ind w:left="980" w:hanging="329"/>
        <w:spacing w:after="0" w:line="261"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hurdles in addressing subject safety concerns that arise during the course of a trial, causing us or our investigators, regulators, IRBs or ethics committees to suspend or terminate trials, or reports may arise from nonclinical or clinical testing of other cancer therapies that raise safety or efficacy concerns about our product candidates; and</w:t>
      </w:r>
    </w:p>
    <w:p>
      <w:pPr>
        <w:spacing w:after="0" w:line="180"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materials for product candidates we develop or other materials necessary to conduct clinical trials may be insufficient or inadequate.</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could encounter delays if a clinical trial is suspended or terminated by us, or by the IRBs of the institutions in which such trials are being conducted, ethics committees or the Data Safety Monitoring Board, or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Many of the factors that cause, or lead to, a delay in the commencement or completion of clinical trials may also ultimately lead to the denial of marketing approval of our product candidates. Further, the FDA or other regulatory authorities may disagree with our clinical trial design and our interpretation of data from clinical trials, or may change the requirements for approval even after they have reviewed and commented on the design for our clinical trials.</w:t>
      </w:r>
    </w:p>
    <w:p>
      <w:pPr>
        <w:spacing w:after="0" w:line="19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Principal investigators for our clinical trials may serve as scientific advisors or consultants to us from time to time and may receive cash or equity compensation in connection with such services. If these relationships and any related compensation result in perceived or actual conflicts of interest, or a regulatory authority concludes that the financial relationship may have affected the interpretation of the trial, the integrity of the data generated at the applicable clinical trial site may be questioned and the utility of the clinical trial itself may be jeopardized, which could result in the delay or rejection of the marketing application we submit. Any such delay or rejection could prevent or delay us from commercializing our current or future product candidates.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we experience delays in the completion,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the development and approval process for our product candidates and jeopardize our ability to commence product sales and generate revenues. Significant clinical trial delays could also allow our competitors to bring products to market before we do or shorten any periods during which we have the exclusive right to commercialize our product candidates. Any such events would impair our ability to successfully commercialize our product candidates and may harm our business and results of operations.</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candidates or result in the development of our product candidates stopping early.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Preclinical development is uncertain. Our preclinical programs may experience delays or may never advance to clinical trials, which would adversely affect our ability to obtain regulatory approvals or commercialize these programs on a timely basis or at all.</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With the exception of NC318, all of our product candidates are still in the preclinical discovery stage, and the risk of failure for such product candidates is high. In order to obtain FDA approval to market a new biologic we must demonstrate proof of safety, purity and potency, including efficacy, in humans. To meet these requirements we will have to conduct adequate and well-controlled clinical trials. Before we can commence clinical trials for a product candidate, we must complete extensive preclinical testing and studies that support our planned INDs in the United States. We cannot be certain of the timely completion or outcome of our preclinical testing and studies and cannot predict if the FDA will accept our proposed clinical programs or if the outcome of our preclinical testing and studies will ultimately support the further development of our current or future product candidates.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w:t>
      </w:r>
    </w:p>
    <w:p>
      <w:pPr>
        <w:spacing w:after="0" w:line="19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Conducting preclinical testing is a lengthy, time-consuming and expensive process. The length of time of such testing may vary substantially according to the type, complexity and novelty of the program, and often can be several years or more per program. Delays associated with programs for which we are conducting preclinical testing and studies may cause us to incur additional operating expenses. Moreover, we may be affected by delays associated with the preclinical testing and studies of certain programs that are the responsibility of Lilly or our potential future collaborators over which we have no control. The commencement and rate of completion of preclinical studies and clinical trials for a product candidate may be delayed by many factors, including but not limited to:</w:t>
      </w:r>
    </w:p>
    <w:p>
      <w:pPr>
        <w:spacing w:after="0" w:line="187" w:lineRule="exact"/>
        <w:rPr>
          <w:sz w:val="20"/>
          <w:szCs w:val="20"/>
          <w:color w:val="auto"/>
        </w:rPr>
      </w:pPr>
    </w:p>
    <w:p>
      <w:pPr>
        <w:ind w:left="980" w:hanging="329"/>
        <w:spacing w:after="0" w:line="284"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inability to generate sufficient preclinical or other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to support the initiation of clinical studies;</w:t>
      </w:r>
    </w:p>
    <w:p>
      <w:pPr>
        <w:spacing w:after="0" w:line="160"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regulatory agencies on study design; and</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not permitting the reliance on preclinical or other data from published scientific literature.</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results of preclinical studies and early-stage clinical trials may not be predictive of future results. We have only recently initiated our first-in-human clinical trial of NC318 and do not expect to complete the Phase 1 portion of that trial until the fourth quarter of 2019. Initial success in our ongoing clinical trial may not be indicative of results obtained when these trials are completed or in later stage trials.</w:t>
      </w:r>
    </w:p>
    <w:p>
      <w:pPr>
        <w:spacing w:after="0" w:line="1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results of preclinical studies may not be predictive of the results of clinical trials. Preclinical studies and early-stage clinical trials are primarily designed to test safety, to study pharmacokinetics and pharmacodynamics and to understand the side effects of product candidates at various doses and schedules, and the results of any early-stage clinical trials may not be predictive of the results of later-stage, large-scale efficacy clinical trials. In addition, initial success in clinical trials may not be indicative of results obtained when such trials are completed. There can be no assurance that any of our current or future clinical trials will ultimately be successful or support further clinical development of any of our product candidates. There is a high failure rate for drugs and biologics proceeding through clinical trials. A number of companies in the pharmaceutical and biotechnology industries have suffered significant setbacks in clinical development even after achieving promising results in earlier studies, and any such setbacks in our clinical development could have a material adverse effect on our business and operating results.</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Even if our clinical trials are completed, the results may not be sufficient to obtain regulatory approval for our product candidates. Data obtained from preclinical and clinical activities are subject to varying interpretations, which may delay, limit or prevent regulatory approval. In addition, the results of our preclinical studies may not be predictive of the results of outcomes in human clinical trials. For example, our current or future product candidates may demonstrate different chemical, biological and pharmacological properties in patients than they do in laboratory studies or may interact with human biological systems in unforeseen or harmful ways. Product candidates in later stages of clinical trials may fail to show desired pharmacological properties or produce the necessary safety and efficacy results despite having progressed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through preclinical studies and initial clinical trials. Even if we are able to initiate and complete clinical trials, the results may not be sufficient to obtain regulatory approval for our product candidates. In addition, we may experience regulatory delays or rejections as a result of many factors, including changes in regulatory policy during the period of our product candidate development. Any such delays could negatively impact our business, financial condition, results of operations and prospects.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Interim and preliminary results from our clinical trials that we announce or publish from time to time may change as more patient data become available and are subject to audit, validation and verification procedures that could result in material changes in the final data.</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From time to time, we may publish interim data, including interim top-line results or preliminary results from our clinical trials. Interim data and results from our clinical trials are subject to the risk that one or more of the clinical outcomes may materially change as patient enrollment continues and more patient data become available. Preliminary or top-line results also remain subject to audit, validation and verification procedures that may result in the final data being materially different from the interim and preliminary data we previously published. As a result, interim and preliminary data may not be predictive of final results and should be viewed with caution until the final data are available. Differences between preliminary or interim data and final data could significantly harm our business prospects and may cause the trading price of our common stock to fluctuate significantly.</w:t>
      </w:r>
    </w:p>
    <w:p>
      <w:pPr>
        <w:spacing w:after="0" w:line="1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approach to the discovery and development of product candidates using our FIND-IO platform is unproven and may not result in marketable products.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success of our business depends in part upon our ability to identify targets based on our proprietary FIND-IO platform and to develop and commercialize immunomedicines. Our approach to the discovery of targets using the FIND-IO platform is novel. We have not yet initiated or completed a clinical trial of any product candidate developed for a target identified from the FIND-IO platform. The platform may fail to accurately identify targets that modulate the immune system and are appropriate for immunomedicines. Even if we are able to identify targets from the FIND-IO platform and to develop corresponding product candidates, we cannot assure that such product candidates will achieve marketing approval to safely and effectively treat cancer or other disease states.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uncover any previously unknown risks related to our FIND-IO platform, or if we experience unanticipated problems or delays in developing our FIND-IO product candidates, we may be unable to achieve our strategy of building an oncology pipeline of novel targets for new immunomedicines focused on non-responders, or meet our obligations under the Lilly Agreement.</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or future product candidates may cause undesirable side effects or have other properties when used alone or in combination with other approved products or investigational new drugs that could halt their clinical development, prevent their marketing approval, limit their commercial potential or result in significant negative consequences.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our product candidates, we must demonstrate through lengthy, complex and expensive preclinical testing and clinical trials that our product candidates are safe, pure and potent for use in each target indication, and failures can occur at any stage of testing. As with most biologics, use of our current or future product candidates could be associated with side effects or adverse events which can vary in severity from minor reactions to death and in frequency from infrequent to prevalent. There have been serious adverse side effects reported in response to immunotherapies in oncology. Immune-related adverse events that represent immune effects on normal tissue that can result from misdirected stimulation of the immune system are the most likely class of toxicity, and additional adverse side effects could develop.</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only recently initiated a Phase 1/2 clinical trial of NC318, and it is likely that there will be side effects associated with its use. NC318 is an immunomedicine, and although no specific toxicities were identified during preclinical testing, it is possible that immune-related adverse events associated with other immunotherapies may occur in patients treated with NC318. Possible adverse side effects that could occur with treatment with immunotherapeutic products include an immunologic reaction early after administration which, while not necessarily adverse to the patient’s health, could substantially limit the effectiveness of the treatment. In addition to any potential side effects caused by the product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or product candidate, the administration process or related procedures also can cause adverse side effects. If any such adverse events occur, our clinical trials or any future marketing authorization could be suspended or terminated.</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unacceptable side effects arise in the development of our product candidates, we, the FDA, the IRBs at the institutions in which our studies are conducted or the DSMB could suspend or terminate our clinical trials or the FDA or comparable foreign regulatory authorities could order us to cease clinical trials or deny approval of our product candidates for any or all targeted indications. Treatment-related side effects could also affect patient recruitment or the ability of enrolled patients to complete any of our clinical trials or result in potential product liability claims. In addition, these side effects may not be appropriately recognized or managed by the treating medical staff. We expect to have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patient injury or death. Any of these occurrences may harm our business, financial condition and prospects significantly.</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Although our current and future product candidates have undergone and will undergo safety testing to the extent possible and, where applicable, under such conditions discussed with regulatory authorities, not all adverse effects of drugs can be predicted or anticipated. Immunomedicines and their method of action of harnessing the body’s immune system are powerful and could lead to serious side effects that we only discover in clinical trials or during commercial marketing. Unforeseen side effects could arise either during clinical development or after our product candidates have been approved by regulatory authorities and the approved product has been marketed, resulting in the exposure of additional patients. So far, we have not demonstrated that NC318, NC410 or any other product candidate is safe in humans, and we cannot predict if ongoing or future clinical trials will do so. If any of our current or future product candidates fail to demonstrate safety and efficacy in clinical trials or do not gain marketing approval, we will not be able to generate revenue and our business will be harmed.</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even if we successfully advance one of our product candidates into and through clinical trials, such trials will likely only include a limited number of subjects and limited duration of exposure to our product candidates. As a result, we cannot be assured that adverse effects of our product candidates will not be uncovered when a significantly larger number of patients are exposed to the product candidate. Further, any clinical trial may not be sufficient to determine the effect and safety consequences of taking our product candidates over a multi-year period.</w:t>
      </w:r>
    </w:p>
    <w:p>
      <w:pPr>
        <w:spacing w:after="0" w:line="1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any of our product candidates receives marketing approval, and we or others later identify undesirable side effects caused by such products, a number of potentially significant negative consequences could result, including:</w:t>
      </w:r>
    </w:p>
    <w:p>
      <w:pPr>
        <w:spacing w:after="0" w:line="162" w:lineRule="exact"/>
        <w:rPr>
          <w:sz w:val="20"/>
          <w:szCs w:val="20"/>
          <w:color w:val="auto"/>
        </w:rPr>
      </w:pPr>
    </w:p>
    <w:p>
      <w:pPr>
        <w:ind w:left="980" w:hanging="329"/>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the product;</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a product or change the way such product is administered to patients;</w:t>
      </w:r>
    </w:p>
    <w:p>
      <w:pPr>
        <w:spacing w:after="0" w:line="225"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the particular product or the manufacturing processes for the product or any component thereof;</w:t>
      </w:r>
    </w:p>
    <w:p>
      <w:pPr>
        <w:spacing w:after="0" w:line="161"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“black box” warning or a contraindication;</w:t>
      </w:r>
    </w:p>
    <w:p>
      <w:pPr>
        <w:spacing w:after="0" w:line="161"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implement a Risk Evaluation and Mitigation Strategy, or REMS, or create a Medication Guide outlining the risks of such side effects for distribution to patients;</w:t>
      </w:r>
    </w:p>
    <w:p>
      <w:pPr>
        <w:spacing w:after="0" w:line="161"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of the foregoing events could prevent us from achieving or maintaining market acceptance of the particular product candidate, if approved, and result in the loss of significant revenues, which would materially harm our business. In addition, if one or more of our product candidates or our immunotherapeutic development approach generally prove to be unsafe, our entire technology platform and pipeline could be affected, which would also materially harm our business.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As an organization, we have limited experience designing and implementing clinical trials and we have never conducted pivotal clinical trials. Failure to adequately design a trial, or incorrect assumptions about the design of the trial, could adversely affect the ability to initiate the trial, enroll patients, complete the trial, or obtain regulatory approval on the basis of the trial results, as well as lead to increased or unexpected costs and in delayed timelines.</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design and implementation of clinical trials is a complex process. We have limited experience designing and implementing clinical trials, and we may not successfully or cost-effectively design and implement clinical trials that achieve our desired clinical endpoints efficiently, or at all. A clinical trial that is not well designed may delay or even prevent initiation of the trial, can lead to increased difficulty in enrolling patients, may make it more difficult to obtain regulatory approval for the product candidate on the basis of the study results, or, even if a product candidate is approved, could make it more difficult to commercialize the product successfully or obtain reimbursement from third-party payors. Additionally, a trial that is not well-designed could be inefficient or more expensive than it otherwise would have been, or we may incorrectly estimate the costs to implement the clinical trial, which could lead to a shortfall in funding. We also expect to continue to rely on third parties to conduct our pivotal clinical trials. See “—Risks Related to Reliance on Third Parties—We rely or will rely on third parties to help conduct our ongoing and planned preclinical studies and clinical trials for NC318, NC410 and any future product candidates we develop. If these third parties do not successfully carry out their contractual duties, comply with regulatory requirements or meet expected deadlines, we may not be able to obtain marketing approval for or commercialize NC318, NC410 and any future product candidates we develop, and our business could be materially harmed.” Consequently, we may be unable to successfully and efficiently execute and complete necessary clinical trials in a way that leads to BLA submission and approval of NC318, NC410 or future product candidates. We may require more time and incur greater costs than our competitors and may not succeed in obtaining regulatory approvals of product candidates that we develop.</w:t>
      </w:r>
    </w:p>
    <w:p>
      <w:pPr>
        <w:spacing w:after="0" w:line="1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collaborators encounter difficulties enrolling patients in our clinical trials, our clinical development activities could be delayed or otherwise be adversely affected.</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successful and timely completion of clinical trials in accordance with their protocols depends on, among other things, our ability to enroll a sufficient number of patients who remain in the trial until the trial’s conclusion, including any follow-up period. We may experience difficulties in patient enrollment in our clinical trials for a variety of reasons. The enrollment of patients depends on many factors, including:</w:t>
      </w:r>
    </w:p>
    <w:p>
      <w:pPr>
        <w:spacing w:after="0" w:line="180" w:lineRule="exact"/>
        <w:rPr>
          <w:sz w:val="20"/>
          <w:szCs w:val="20"/>
          <w:color w:val="auto"/>
        </w:rPr>
      </w:pPr>
    </w:p>
    <w:p>
      <w:pPr>
        <w:ind w:left="660" w:hanging="333"/>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defined in the protocol;</w:t>
      </w:r>
    </w:p>
    <w:p>
      <w:pPr>
        <w:spacing w:after="0" w:line="225" w:lineRule="exact"/>
        <w:rPr>
          <w:rFonts w:ascii="Times New Roman" w:cs="Times New Roman" w:eastAsia="Times New Roman" w:hAnsi="Times New Roman"/>
          <w:sz w:val="18"/>
          <w:szCs w:val="18"/>
          <w:color w:val="auto"/>
        </w:rPr>
      </w:pPr>
    </w:p>
    <w:p>
      <w:pPr>
        <w:ind w:left="660" w:hanging="333"/>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and size of the patient population required for analysis of the trial’s primary endpoints and the process for identifying patients;</w:t>
      </w:r>
    </w:p>
    <w:p>
      <w:pPr>
        <w:spacing w:after="0" w:line="161"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location of participating clinical sites or patients;</w:t>
      </w:r>
    </w:p>
    <w:p>
      <w:pPr>
        <w:spacing w:after="0" w:line="225"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225"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225" w:lineRule="exact"/>
        <w:rPr>
          <w:rFonts w:ascii="Times New Roman" w:cs="Times New Roman" w:eastAsia="Times New Roman" w:hAnsi="Times New Roman"/>
          <w:sz w:val="18"/>
          <w:szCs w:val="18"/>
          <w:color w:val="auto"/>
        </w:rPr>
      </w:pPr>
    </w:p>
    <w:p>
      <w:pPr>
        <w:jc w:val="both"/>
        <w:ind w:left="660" w:hanging="333"/>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and risks of the product candidate being studied in relation to other available therapies, including any new products that may be approved for the indications we are investigating;</w:t>
      </w:r>
    </w:p>
    <w:p>
      <w:pPr>
        <w:spacing w:after="0" w:line="176"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competing commercially available therapies and other competing drug candidates’ clinical trials;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5" w:lineRule="exact"/>
        <w:rPr>
          <w:sz w:val="20"/>
          <w:szCs w:val="20"/>
          <w:color w:val="auto"/>
        </w:rPr>
      </w:pPr>
    </w:p>
    <w:p>
      <w:pPr>
        <w:ind w:left="660" w:hanging="333"/>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informed consents for participation in our clinical trials; and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risk that patients enrolled in clinical trials will drop out of the trials before completion or, because they may be late-stage cancer patients, will not survive the full terms of the clinical trials.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our clinical trials will compete with other clinical trials for product candidates that are in the same therapeutic areas as our current and potential future product candidates. This competition will reduce the number and types of patients available to us, because some patients who might have opted to enroll in our trials may instead opt to enroll in a trial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sites. Moreover, because our current and potential future product candidates may represent a departure from more commonly used methods for cancer treatment, potential patients and their doctors may be inclined to use conventional therapies, such as chemotherapy, rather than enroll patients in our ongoing or any future clinical trial.</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Delays of difficulties in patient enrollment may result in increased costs or may affect the timing, outcome or completion of clinical trials, which would adversely affect our ability to advance the development of the product candidates we develop.</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the number of subjects in our Phase 1/2 clinical trial of NC318 is small, the results from this trial, once completed, may be less reliable than results achieved in larger clinical trials.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study design that is considered appropriate includes a sufficiently large sample size with appropriate statistical power, as well as proper control of bias, to allow a meaningful interpretation of the results. The preliminary results of studies with smaller sample sizes, such as our ongoing Phase 1/2 clinical trial of NC318, can be disproportionately influenced by the impact the treatment had on a few individuals, which limits the ability to generalize the results across a broader community, thus making the study results less reliable than studies with a larger number of subjects. As a result, there may be less certainty that NC318 would achieve a statistically significant effect in any future clinical trials. If we conduct any future clinical trials of NC318, we may not achieve a statistically significant result or the same level of statistical significance seen, if any, in our Phase 1/2 clinical trial. Similarly, if we conduct a clinical trial of any other product candidate we develop, including NC410, with a smaller sample size, the results of any such trial may be less reliable than results achieved in larger clinical trials and may provide less certainty of achieving statistically significant effects in any future clinical trials.</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suspend, repeat or terminate our clinical trials if they are not conducted in accordance with regulatory requirements, the results are negative or inconclusive or the trials are not well designed.</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Clinical trials must be conducted in accordance with the FDA’s current good clinical practices requirements, or cGCP, or analogous requirements of applicable foreign regulatory authorities. Clinical trials are subject to oversight by the FDA, other foreign governmental agencies and IRBs or ethical committees at the study sites where the clinical trials are conducted. In addition, clinical trials must be conducted with product candidates produced in accordance with applicable cGMP. Clinical trials may be suspended by the FDA, other foreign regulatory authorities, us, or by an IRB or ethics committee with respect to a particular clinical trial site, for various reasons, including:</w:t>
      </w:r>
    </w:p>
    <w:p>
      <w:pPr>
        <w:spacing w:after="0" w:line="188" w:lineRule="exact"/>
        <w:rPr>
          <w:sz w:val="20"/>
          <w:szCs w:val="20"/>
          <w:color w:val="auto"/>
        </w:rPr>
      </w:pPr>
    </w:p>
    <w:p>
      <w:pPr>
        <w:ind w:left="980" w:hanging="329"/>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deficiencies in the conduct of the clinical trials, including failure to conduct the clinical trial in accordance with regulatory requirements or study protocols;</w:t>
      </w:r>
    </w:p>
    <w:p>
      <w:pPr>
        <w:spacing w:after="0" w:line="161"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deficiencies in the clinical trial operations or trial sites;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adverse side effects or the emergence of undue risks to study subjects;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deficiencies in the trial design necessary to demonstrate efficacy;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5" w:lineRule="exact"/>
        <w:rPr>
          <w:sz w:val="20"/>
          <w:szCs w:val="20"/>
          <w:color w:val="auto"/>
        </w:rPr>
      </w:pPr>
    </w:p>
    <w:p>
      <w:pPr>
        <w:ind w:left="980" w:hanging="329"/>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candidate may not appear to offer benefits over current therapies; or</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or stability of the product candidate may fall below acceptable standards.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chosen to prioritize development of NC318 and NC410. We may expend our limited resources on product candidates or indications that do not yield a successful product and fail to capitalize on other candidates or indications for which there may be a greater likelihood of success or may be more profitable.</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Because we have limited resources, we have strategically determined to prioritize development of NC318 and NC410 rather than other product candidates based, in part, on the significant resources required for developing and manufacturing immunomedicines. To date, no regulatory authority has granted approval for an immunomedicine targeting S15 or the LAIR pathway. As a result, we may be foregoing other potentially more profitable immunomedicines or therapies or those with a greater likelihood of success. 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Similarly, our potential decisions to delay, terminate or collaborate with third parties with respect to, certain programs may subsequently also prove to be suboptimal and could cause us to miss valuable opportunities. If we make incorrect determinations regarding the viability or market potential of any of our current or future product candidates or misread trends in the oncology or biopharmaceutical industry, our business, financial condition and results of operations could be materially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development and commercialization rights.</w:t>
      </w:r>
    </w:p>
    <w:p>
      <w:pPr>
        <w:spacing w:after="0" w:line="19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need to develop, or enter into a collaboration or partnership to develop, complementary or companion diagnostics for our current or future product candidates. If we, or our future collaborators, are unable to successfully develop such complementary or companion diagnostics, or experience significant delays in doing so, we may not realize the full commercial potential of our current or future product candidates.</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One of the key elements of our product development strategy is to identify cancer patient populations that may derive meaningful benefit from our current or future product candidates. Because predictive biomarkers may be used to identify the right patients for current or future product candidates, we believe that our success may depend, in part, on our ability to develop complementary or companion diagnostics in collaboration with partners.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limited experience in the development of diagnostics and, as such, we expect to rely on future collaborators in developing appropriate diagnostics to pair with our current or future product candidates. We have not yet begun substantial discussions with any potential partners with respect to the development of complementary or companion diagnostics and may be unsuccessful in entering into collaborations for the development of any such diagnostics for our current or future product candidates.</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Complementary or companion diagnostics are subject to regulation by the FDA and similar comparable foreign regulatory authorities as medical devices and require separate regulatory approval or clearance prior to commercialization. If we, our collaborators, or any third parties that we engage to assist us, are unable to successfully develop complementary or companion diagnostics for our current or future product candidates or experience delays in doing so:</w:t>
      </w:r>
    </w:p>
    <w:p>
      <w:pPr>
        <w:spacing w:after="0" w:line="180" w:lineRule="exact"/>
        <w:rPr>
          <w:sz w:val="20"/>
          <w:szCs w:val="20"/>
          <w:color w:val="auto"/>
        </w:rPr>
      </w:pPr>
    </w:p>
    <w:p>
      <w:pPr>
        <w:ind w:left="980" w:hanging="329"/>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our current or future product candidates may be adversely affected if we are unable to appropriately select patients for enrollment in our clinical trials; and</w:t>
      </w:r>
    </w:p>
    <w:p>
      <w:pPr>
        <w:spacing w:after="0" w:line="161" w:lineRule="exact"/>
        <w:rPr>
          <w:rFonts w:ascii="Times New Roman" w:cs="Times New Roman" w:eastAsia="Times New Roman" w:hAnsi="Times New Roman"/>
          <w:sz w:val="18"/>
          <w:szCs w:val="18"/>
          <w:color w:val="auto"/>
        </w:rPr>
      </w:pPr>
    </w:p>
    <w:p>
      <w:pPr>
        <w:jc w:val="both"/>
        <w:ind w:left="980" w:hanging="329"/>
        <w:spacing w:after="0" w:line="266"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commercial potential of our current or future product candidates if, among other reasons, we are unable to appropriately identify, or it takes us longer to identify, patients who are likely to benefit from therapy with our products, if approved.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any of these events were to occur, our business could be materially harmed.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Risks Related to the Regulatory Approval and Commercialization of Product Candidates and Other Legal Compliance Matters</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FDA approval of our product candidates under applicable regulatory requirements. The denial or delay of any such approval would prevent or delay commercialization of our product candidates and adversely impact our potential to generate revenue, our business and our results of operations.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 gain approval to market our product candidates in the United States, we must provide the FDA with clinical data that adequately demonstrate the safety, purity and potency, including efficacy, of the product candidate for the intended indication applied for in the applicable regulatory filing. Product development is a long, expensive and uncertain process, and delay or failure can occur at any stage of any of our clinical development programs. A number of companies in the biotechnology and pharmaceutical industries have suffered significant setbacks in clinical trials, even after promising results in earlier preclinical studies or clinical trials. These setbacks have been caused by, among other things, preclinical findings made while clinical trials were underway and safety or efficacy observations made in clinical trials, including previously unreported adverse events. Success in preclinical testing and early clinical trials does not ensure that later clinical trials will be successful, and the results of clinical trials by other parties may not be indicative of the results in trials we may conduct.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not previously submitted a BLA or any other marketing application to the FDA or similar filings to comparable foreign regulatory authorities. A BLA or other similar regulatory filing requesting approval to market a product candidate must include extensive preclinical and clinical data and supporting information to establish that the product candidate is safe, pure and potent for each desired indication. The BLA or other similar regulatory filing must also include significant information regarding the chemistry, manufacturing and controls for the product.</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research, testing, manufacturing, labeling, approval, marketing, sale and distribution of biological products are subject to extensive regulation by the FDA and other regulatory authorities in the United States and other countries, and such regulations differ from country to country. We are not permitted to market our product candidates in the United States or in any foreign countries until they receive the requisite approval from the applicable regulatory authorities of such jurisdictions.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FDA or comparable foreign regulatory authorities can delay, limit or deny approval of our product candidates for many reasons, including:</w:t>
      </w:r>
    </w:p>
    <w:p>
      <w:pPr>
        <w:spacing w:after="0" w:line="162" w:lineRule="exact"/>
        <w:rPr>
          <w:sz w:val="20"/>
          <w:szCs w:val="20"/>
          <w:color w:val="auto"/>
        </w:rPr>
      </w:pPr>
    </w:p>
    <w:p>
      <w:pPr>
        <w:ind w:left="980" w:hanging="329"/>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to the satisfaction of the FDA or a comparable foreign regulatory authority that our product candidates are safe and effective for the requested indication;</w:t>
      </w:r>
    </w:p>
    <w:p>
      <w:pPr>
        <w:spacing w:after="0" w:line="161"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 comparable foreign regulatory authority’s disagreement with our trial protocol or the interpretation of data from preclinical studies or clinical trials;</w:t>
      </w:r>
    </w:p>
    <w:p>
      <w:pPr>
        <w:spacing w:after="0" w:line="161"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that the clinical and other benefits of our product candidates outweigh any safety or other perceived risks;</w:t>
      </w:r>
    </w:p>
    <w:p>
      <w:pPr>
        <w:spacing w:after="0" w:line="161"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 comparable foreign regulatory authority’s requirement for additional preclinical studies or clinical trials;</w:t>
      </w:r>
    </w:p>
    <w:p>
      <w:pPr>
        <w:spacing w:after="0" w:line="161"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 comparable foreign regulatory authority’s non-approval of the formulation, labeling, or specifications of our product candidates;</w:t>
      </w:r>
    </w:p>
    <w:p>
      <w:pPr>
        <w:spacing w:after="0" w:line="161"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 comparable regulatory authority’s failure to approve our manufacturing processes and facilities or the manufacturing processes and facilities of third-party manufacturers upon which we rely; or</w:t>
      </w:r>
    </w:p>
    <w:p>
      <w:pPr>
        <w:spacing w:after="0" w:line="161"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for approval policies or regulations of the FDA or a comparable foreign regulatory authority to significantly change in a manner rendering our clinical data insufficient for approval.</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Even if we eventually complete clinical testing and receive approval from the FDA or comparable foreign regulatory authorities for any of our product candidates, the FDA or comparable foreign regulatory authorities may grant approval contingent on the performance of costly additional clinical trials which may be required after approval. The FDA or comparable foreign regulatory authorities also may approve any of our product candidates for a more limited indication or a narrower patient population than we originally requested, and the FDA or comparable foreign regulatory authorities may not approve any of our product candidates with the labeling that we believe is necessary or desirable for the successful commercialization of any such product candidates.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Of the large number of biopharmaceutical products in development, only a small percentage successfully complete the FDA or other regulatory bodies’ approval processes and are commercialized. Any delay in obtaining, or inability to obtain, applicable regulatory approval would delay or prevent commercialization of our product candidates and would materially harm our business.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a current or future product candidate receives marketing approval, it may fail to achieve the degree of market acceptance by physicians, patients, third-party payors and others in the medical community necessary for commercial success.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any current or future product candidate we develop receives marketing approval, whether as a single agent or in combination with other therapies, it may nonetheless fail to gain sufficient market acceptance by physicians, patients, third-party payors, and others in the medical community. For example, current approved immunotherapies, and other cancer treatments like chemotherapy and radiation therapy, are well established in the medical community, and doctors may continue to rely on these therapies. Our approach to targeting different components of the tumor microenvironment is novel and unproven. In addition, adverse events in clinical trials testing our product candidates or in clinical trials of others developing similar product candidates and the resulting publicity, as well as any other adverse events in the field of immuno-oncology that may occur in the future, could result in a decrease in demand for our current or future product candidates. If public perception is influenced by claims that the use of cancer immunotherapies is unsafe, whether related to our immunomedicines or our competitors’ products, our products may not be accepted by the general public or the medical community. Future adverse events in immuno-oncology or the biopharmaceutical industry could also result in greater governmental regulation, stricter labeling requirements and potential regulatory delays in the testing or approvals of our products.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our current and any future product candidates we develop do not achieve an adequate level of acceptance, we may not generate significant product revenues and we may not become profitable. The degree of market acceptance of our current and any future product candidates, if approved for commercial sale, will depend on a number of factors, including:</w:t>
      </w:r>
    </w:p>
    <w:p>
      <w:pPr>
        <w:spacing w:after="0" w:line="176" w:lineRule="exact"/>
        <w:rPr>
          <w:sz w:val="20"/>
          <w:szCs w:val="20"/>
          <w:color w:val="auto"/>
        </w:rPr>
      </w:pPr>
    </w:p>
    <w:p>
      <w:pPr>
        <w:ind w:left="980" w:hanging="329"/>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efficacy and potential advantages compared to alternative treatments, including those that are not yet approved;</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offer our products, if approved, for sale at competitive prices;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compared to alternative treatments;</w:t>
      </w:r>
    </w:p>
    <w:p>
      <w:pPr>
        <w:spacing w:after="0" w:line="225"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61"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sales and distribution support;</w:t>
      </w:r>
    </w:p>
    <w:p>
      <w:pPr>
        <w:spacing w:after="0" w:line="225"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sufficient third-party coverage and adequate reimbursement, including with respect to the use of the approved product as a combination therapy;</w:t>
      </w:r>
    </w:p>
    <w:p>
      <w:pPr>
        <w:spacing w:after="0" w:line="161"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and adoption of a companion or complementary diagnostic, if needed; and</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opportunities for any current or future product candidate we develop, if approved, may be limited to those patients who are ineligible for established therapies or for whom prior therapies have failed, and may be small.</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revenue we are able to generate in the future from product sales will be dependent, in part, upon the size of the market in the United States and any other jurisdiction for which we gain regulatory approval and have commercial rights. If the markets or patient subsets that we are targeting are not as significant as we estimate, we may not generate significant revenues from sales of such products, even if approved.</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Cancer therapies are sometimes characterized as first-line, second-line or third-line, and the FDA often approves new therapies initially only for third-line use. When cancer is detected early enough, first-line therapy, usually chemotherapy, hormone therapy, surgery, radiation therapy or a combination of these, is sometimes adequate to cure the cancer or prolong life without a cure. Second- and third-line therapies are administered to patients when prior therapy is not effective. We may initially seek approval for NC318, NC410 and any other product candidates we develop as a therapy for patients who have received one or more prior treatments. If we do so, for those products that prove to be sufficiently beneficial, if any, we would expect to seek approval potentially as a first-line therapy, but there is no guarantee that any product candidate we develop, even if approved, would be approved for first-line therapy, and, prior to any such approvals, we may have to conduct additional clinical trials.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number of patients who have the types of cancer we are targeting may turn out to be lower than expected. Additionally, the potentially addressable patient population for our current or future product candidates may be limited, if and when approved. Even if we obtain significant market share for any product candidate, if and when approved, if the potential target populations are small, we may never achieve profitability without obtaining marketing approval for additional indications, including to be used as first- or second-line therapy.</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develop NC318, NC410 and future product candidates in combination with other therapies, which exposes us to additional regulatory risks.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develop NC318, NC410 and future product candidates in combination with one or more currently approved cancer therapies. Even if any product candidate we develop were to receive marketing approval or be commercialized for use in combination with other existing therapies, we would continue to be subject to the risk that the FDA or comparable foreign regulatory authorities could revoke approval of the therapy used in combination with our product candidate or that safety, efficacy, manufacturing or supply issues could arise with these existing therapies. This could result in our own products being removed from the market or being less successful commercially. Combination therapies are commonly used for the treatment of cancer, and we would be subject to similar risks if we develop any of our product candidates for use in combination with other drugs or for indications other than cancer.</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also evaluate NC318, NC410, or any future product candidate in combination with one or more other cancer therapies that have not yet been approved for marketing by the FDA or comparable foreign regulatory authorities. We will not be able to market and sell NC318, NC410 or any product candidate we develop in combination with any such unapproved cancer therapies that do not ultimately obtain marketing approval.</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FDA or comparable foreign regulatory authorities do not approve these other biological products or revoke their approval of, or if safety, efficacy, manufacturing or supply issues arise with, the biologics we choose to evaluate in combination with NC318, NC410 or any product candidate we develop, we may be unable to obtain approval of or market any such product candidate.</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of a product candidate, we will be subject to ongoing regulatory obligations and continued regulatory review, which may result in significant additional expense. We may be subject to penalties if we fail to comply with regulatory requirements or experience unanticipated problems with our products, if approved.</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marketing approvals that we receive for any current or future product candidate may be subject to limitations on the approved indicated uses for which the product may be marketed or the conditions of approval, or contain requirements for potentially costly post-market testing and surveillance to monitor the safety and efficacy of the product candidate. The FDA may also require implementation of a REMS as a condition of approval of any product candidate,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which could include requirements for a medication guide, physician communication plans or additional elements to ensure safe use, such as restricted distribution methods, patient registries and other risk minimization tools. In addition, if the FDA or a comparable foreign regulatory authority approves a product candidate, the manufacturing processes, labeling, packaging, distribution, adverse event and deviation reporting, storage, advertising, promotion, import and export and record keeping for the product candidate will be subject to extensive and ongoing regulatory requirements. These requirements include submissions of safety and other post-marketing information and reports, registration, as well as continued compliance with cGMP and cGCP, for any clinical trials that we may conduct post-approval. Later discovery of previously unknown problems with any approved candidate, including adverse events of unanticipated severity or frequency, or with our or our third-party manufacturers’ manufacturing processes or facilities, or failure to comply with regulatory requirements, may result in, among other things:</w:t>
      </w:r>
    </w:p>
    <w:p>
      <w:pPr>
        <w:spacing w:after="0" w:line="186" w:lineRule="exact"/>
        <w:rPr>
          <w:sz w:val="20"/>
          <w:szCs w:val="20"/>
          <w:color w:val="auto"/>
        </w:rPr>
      </w:pPr>
    </w:p>
    <w:p>
      <w:pPr>
        <w:ind w:left="980" w:hanging="329"/>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product recalls;</w:t>
      </w:r>
    </w:p>
    <w:p>
      <w:pPr>
        <w:spacing w:after="0" w:line="161"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 or holds on clinical trials;</w:t>
      </w:r>
    </w:p>
    <w:p>
      <w:pPr>
        <w:spacing w:after="0" w:line="225"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we file, or suspension or revocation of approved biologics licenses;</w:t>
      </w:r>
    </w:p>
    <w:p>
      <w:pPr>
        <w:spacing w:after="0" w:line="161"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monetary penalties, refusal to permit the import or export of the product, or placement on Import Alert; and</w:t>
      </w:r>
    </w:p>
    <w:p>
      <w:pPr>
        <w:spacing w:after="0" w:line="161"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permanent injunctions and consent decrees including the imposition of civil or criminal penalties.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Moreover, the FDA strictly regulates the promotional claims that may be made about drug and biological products. In particular, an approved product may not be promoted for uses that are not approved by the FDA as reflected in the product’s approved labeling, or off-label uses. The FDA and other agencies actively enforce the laws and regulations prohibiting the promotion of off-label uses. The FDA has issued guidance on the factors that it will consider in determining whether a firm’s product communication is consistent with the FDA-required labeling for that product, and those factors contain complexity and potential for overlap and misinterpretation. A company that is found to have improperly promoted off-label uses of their products may be subject to significant civil, criminal and administrative penalties.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FDA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spacing w:after="0" w:line="1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Certain policies of the Trump Administration may impact our business and industry. President Trump has taken several executive actions, including the issuance of a number of Executive Orders, that could impose significant burdens on, or otherwise materially delay, the FDA’s ability to engage in routine oversight activities such as implementing statutes through rulemaking, issuance of guidance, and review and approval of marketing applications. It is difficult to predict how these orders will be implemented, and the extent to which they will impact the FDA’s ability to exercise its regulatory authority. If these executive actions impose restrictions on the FDA’s ability to engage in oversight and implementation activities in the normal course, our business may be negatively impacted.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marketing approval of our current and future product candidates in one jurisdiction does not mean that we will be successful in obtaining and maintaining marketing approval of our current and future product candidates in other jurisdictions.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Obtaining and maintaining marketing approval of our current and future product candidates in one jurisdiction does not guarantee that we will be able to obtain or maintain marketing approval in any other jurisdiction, while a failure or delay in obtaining marketing approval in one jurisdiction may have a negative effect on the marketing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marketing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or fail to receive applicable marketing approvals, our target market will be reduced and our ability to realize the full market potential of our product candidates will be harmed.</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depend on our information technology systems, and any failure of these systems could harm our business. Security breaches, loss of data, and other disruptions could compromise sensitive information related to our business or prevent us from accessing critical information and expose us to liability, which could adversely affect our business, results of operations and financial condition.</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collect and maintain information in digital form that is necessary to conduct our business, and we are dependent on our information technology systems and those of third parties to operate our business. In the ordinary course of our business, we collect, store and transmit large amounts of confidential information, including intellectual property, proprietary business information and personal information, and data to comply with cGMP and data integrity requirements. It is critical that we do so in a secure manner to maintain data security and data integrity of such information. We have established physical, electronic and organizational measures to safeguard and secure our systems to prevent a data compromise. We have also outsourced elements of our information technology infrastructure, and as a result a number of third-party vendors may or could have access to our confidential information. Our internal information technology systems and infrastructure, and those of our current and any future collaborators, contractors and consultants and other third parties on which we rely, are vulnerable to damage from computer viruses, malware, natural disasters, terrorism, war, telecommunication and electrical failures, cyber-attacks or cyber-intrusions, phishing, persons inside our organization or persons with access to systems inside our organization.</w:t>
      </w:r>
    </w:p>
    <w:p>
      <w:pPr>
        <w:spacing w:after="0" w:line="19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risk of a security breach or disruption or data loss, including by computer hackers, foreign governments and cyber terrorists, has generally increased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The costs to us to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If such an event were to occur and cause interruptions in our operations, it could result in a material disruption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of our product development programs. For example, the loss of clinical trial data from completed or ongoing or planned clinical trials could result in delays in our regulatory approval efforts and significantly increase our costs to recover or reproduce the data. Likewise, we rely on third parties to conduct clinical trials, and similar events relating to their computer systems could also have a material adverse effect on our business. Moreover, if a computer security breach affects our systems or results in the unauthorized release of personally identifiable information, our reputation could be materially damaged. In addition, such a breach may require notification to governmental agencies, the media or individuals pursuant to various federal and state privacy and security laws, if applicable, including the Health Insurance Portability and Accountability Act of 1996, or HIPAA, as amended, and its implementing rules and regulations, as well as regulations promulgated by the Federal Trade Commission and state breach notification laws. We would also be exposed to a risk of loss or litigation and potential liability, which could materially adversely affect our business, results of operations and financial condition.</w:t>
      </w:r>
    </w:p>
    <w:p>
      <w:pPr>
        <w:spacing w:after="0" w:line="18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successful commercialization of our product candidates will depend in part on the extent to which third-party payors, including governmental authorities and private health insurers, provide coverage and adequate reimbursement levels, as well as implement pricing policies favorable for our product candidates. Failure to obtain or maintain coverage and adequate reimbursement for our product candidates, if approved, could limit our ability to market those products and decrease our ability to generate revenue.</w:t>
      </w:r>
    </w:p>
    <w:p>
      <w:pPr>
        <w:spacing w:after="0" w:line="18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availability of coverage and adequacy of reimbursement by third-party payors, including managed care plans, governmental healthcare programs, such as Medicare and Medicaid and private health insurers is essential for most patients to be able to afford medical services and pharmaceutical products such as our product candidates that receive FDA approval. Our ability to achieve acceptable levels of coverage and reimbursement for our products or procedures using our products by third-party payors will have an effect on our ability to successfully commercialize our product candidates. Obtaining coverage and adequate reimbursement for our products may be particularly difficult because of the higher prices often associated with drugs administered under the supervision of a physician. Separate reimbursement for the product itself or the treatment or procedure in which our product is used may not be available. A decision by a third-party payor not to cover or not to separately reimburse for our products or procedures using our products could reduce physician utilization of our products once approved. Assuming there is coverage for our product candidates, or procedures using our product candidates by a third-party payor, the resulting reimbursement payment rates may not be adequate or may require co-payments that patients find unacceptably high. We cannot be sure that coverage and reimbursement in the United States, the European Union or elsewhere will be available for our current or future product candidates, or for any procedures using such product candidates, and any reimbursement that may become available may not be adequate or may be decreased or eliminated in the future.</w:t>
      </w:r>
    </w:p>
    <w:p>
      <w:pPr>
        <w:spacing w:after="0" w:line="19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ability to successfully commercialize any product candidate, whether as a single agent or combination therapy, will also depend in part on the extent to which coverage and reimbursement for these product candidates and related treatments will be available from third-party payors. Third-party payors decide which medications they will pay for and establish reimbursement levels. It is difficult to predict at this time what government authorities and third-party payors will decide with respect to coverage and reimbursement for our current and future product candidates.</w:t>
      </w:r>
    </w:p>
    <w:p>
      <w:pPr>
        <w:spacing w:after="0" w:line="18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third-party payors are increasingly challenging prices charged for pharmaceutical and biological products and services, and many third-party payors may refuse to provide coverage and reimbursement for particular drugs or biologics when an equivalent generic drug, biosimilar or a less expensive therapy is available. It is possible that a third-party payor may consider our product candidates as substitutable and only offer to reimburse patients for the less expensive product. Even if we show improved efficacy or improved convenience of administration with our product candidates, pricing of existing third-party therapeutics may limit the amount we will be able to charge for our product candidates. These third-party payors may deny or revoke the reimbursement status of our product candidates, if approved, or establish prices for our product candidates at levels that are too low to enable us to realize an appropriate return on our investment. If reimbursement is not available or is available only at limited levels, we may not be able to successfully commercialize our product candidates, and may not be able to obtain a satisfactory financial return on our product candidates.</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newly-approved products, especially novel products like our immunomedicines. To date, no regulatory authority has granted approval for an immunomedicine targeting S15 or the LAIR pathway. The Medicare and Medicaid programs are increasingly used as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models in the United States for how private third-party payors and other governmental payors develop their coverage and reimbursement policies for drugs and biologics. Some third-party payors may require pre-approval of coverage for new or innovative devices or drug therapies before they will reimburse healthcare providers who use such therapies. We cannot predict at this time what third-party payors will decide with respect to the coverage and reimbursement for our product candidates.</w:t>
      </w:r>
    </w:p>
    <w:p>
      <w:pPr>
        <w:spacing w:after="0" w:line="1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 uniform policy for coverage and reimbursement for products exist among third-party payors in the United States. Therefore, coverage and reimbursement for products can differ significantly from payor to payor. As a result, the coverage determination process is often a time-consuming and costly process that may require us to provide scientific and clinical support for the use of our product candidates to each payor separately, with no assurance that coverage and adequate reimbursement will be applied consistently or obtained in the first instance. Furthermore, rules and regulations regarding reimbursement change frequently, in some cases on short notice, and we believe that changes in these rules and regulations are likely.</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Additionally, if we or our collaborators develop companion diagnostic tests for use with our product candidates, we, or our collaborators, will be required to obtain coverage and reimbursement for these tests separate and apart from the coverage and reimbursement we seek for our product candidates, once approved. While we and our collaborators have not yet developed any companion diagnostic test for our product candidates, if we or our collaborators do, there is significant uncertainty regarding the ability to obtain coverage and adequate reimbursement for the same reasons applicable to our product candidates.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Moreover, increasing efforts by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our product candidates due to the trend toward managed health care, the increasing influence of health maintenance organizations and additional legislative changes. The downward pressure on healthcare costs in general, particularly prescription drugs and biologics and surgical procedures and other treatments, has become intense. As a result, increasingly high barriers are being erected to the entry of new products.</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Enacted healthcare legislation, changes in healthcare law and implementation of regulations, as well as changes in healthcare policy, may increase the difficulty and cost for us to commercialize our product candidates, may impact our business in ways that we cannot currently predict, could affect the prices we may set, and could have a material adverse effect on our business and financial condition.</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United States, there have been and continue to be a number of legislative initiatives to contain healthcare costs.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of 2010, or collectively, the ACA, was passed, which substantially changes the way healthcare is financed by both governmental and private insurers, and significantly impacts the U.S. pharmaceutical industry. The ACA, among other things, subjects biological products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creates a new Medicare Part D coverage gap discount program in which, as a condition of coverage of its products under Medicare Part D, manufacturers must now agree to offer 70% point-of-sale discounts off negotiated prices of applicable brand drugs to eligible beneficiaries during their coverage gap period.</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Some of the provisions of the ACA have yet to be fully implemented, while certain provisions have been subject to judicial and Congressional challenges, as well as efforts by President Trump’s administration to repeal or replace certain aspects of the ACA, and to alter the implementation of the ACA and related laws. For example, Congress has considered legislation that would repeal or repeal and replace all or part of the ACA. While Congress has not passed comprehensive repeal legislation, bills affecting the implementation of certain taxes under the ACA have been signed into law. The Tax</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Cuts and Jobs Act of 2017, or the Tax Act, includes a provision repealing, effective January 1, 2019, the tax-based shared responsibility payment imposed by the ACA on certain individuals who fail to maintain qualifying health coverage for all or part of a year that is commonly referred to as the “individual mandate.” On January 22, 2018, the President signed a continuing resolution on appropriations for fiscal year 2018 that delayed the implementation of certain ACA-mandated fees, including the so-called “Cadillac” tax on certain high cost employer-sponsored insurance plans, the annual fee imposed on certain high cost employer-sponsored insurance plans, the annual fee imposed on certain health insurance providers based on market share and the medical device excise tax on non-exempt medical devices. The Bipartisan Budget Act of 2018, among other things, amends the ACA, effective January 1, 2019, to reduce the coverage gap in most Medicare drug plans, commonly referred to as the “donut hole.” Also, in July 2018, the Centers for Medicare and Medicaid Services, or CMS, issued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In December 2018, a United States District Court Judge for the Northern District of Texas ruled that the entire ACA is unconstitutional because the tax penalty associated with the “individual mandate” was repealed by Congress as part of the Tax Act. This ruling is under appeal and stayed pending appeal. While the United States District Court Judge for the Northern District of Texas, as well as the Trump Administration and CMS, have stated that the ruling will have no effect while this appeal is pending, it is unclear how this decision, subsequent appeals and other efforts to invalidate the ACA, regulations promulgated under the ACA and related laws, or portions thereof will impact the ACA, its implementation and our business.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These reductions went into effect on April 1, 2013 and, due to subsequent legislative amendments to the statute, will remain in effect through 2027 unless additional congressional action is taken. On January 2, 2013, the American Taxpayer Relief Act of 2012 was signed into law, which, among other things, further reduced Medicare payments to several types of providers.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Moreover, payment methodologies may be subject to changes in healthcare legislation and regulatory initiatives. For example, effective January 1, 2014, CMS began bundling into the hospital outpatient prospective payment rate the Medicare payments for most laboratory tests ordered while a patient received services in a hospital outpatient setting. We expect that additional state and federal healthcare reform measures will be adopted in the future, any of which could limit the amounts that federal and state governments will pay for healthcare products and services, which could result in reduced demand for any product candidate we develop or complementary or companion diagnostics or additional pricing pressures.</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CMS may develop new payment and delivery models, such as bundled payment models. In addition, recently there has been heightened governmental scrutiny over the manner in which manufacturers set prices for their marketed products, which has resulted in several U.S. Congressional inquiries and proposed and enacted federal and state legislation that legislators intend to, among other things, bring more transparency to drug pricing, reduce the cost of prescription drugs under government payor programs, and review the relationship between pricing and manufacturer patient programs. For example,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Although a number of these and other proposed measures may require additional authorization to become effective, Congress and the Trump Administration have each indicated that they will continue to seek new legislative and/or administrative measures to control drug costs. We expect that additional U.S. federal healthcare reform measures will be adopted in the future, any of which could limit the extent to which the U.S. federal government covers particular healthcare products and services and could limit the amounts that the U.S. federal government will pay for healthcare products and services. This could result in reduced demand for our product candidates or additional pricing pressures.</w:t>
      </w:r>
    </w:p>
    <w:p>
      <w:pPr>
        <w:spacing w:after="0" w:line="19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Individual states in the United States have also increasingly passed legislation and implemented regulations designed to control pharmaceutical and biological product pricing, including price or patient reimbursement limitations,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on coverage or access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that we successfully commercialize or put pressure on our product pricing.</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Additionally, on May 30, 2018, the Trickett Wendler, Frank Mongiello, Jordan McLinn and Matthew Bellina Right to Try Act of 2017, or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action in the United States.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1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third-party payors and others may be subject to applicable anti-kickback, fraud and abuse and other healthcare laws and regulations, which could expose us to criminal sanctions, civil penalties, contractual damages, reputational harm, administrative burdens and diminished profits and future earnings.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Healthcare providers, physicians and third-party payors in the United States and elsewhere will play a primary role in the recommendation and prescription of any product candidates for which we obtain marketing approval. Our current and future arrangements with healthcare providers, third-party payors, customers, and others may expose us to broadly applicable fraud and abuse and other healthcare laws and regulations, which may constrain the business or financial arrangements and relationships through which we research, as well as, sell, market and distribute any products for which we obtain marketing approval. The applicable federal and state healthcare laws and regulations that may affect our ability to operate include, but are not limited to:</w:t>
      </w:r>
    </w:p>
    <w:p>
      <w:pPr>
        <w:spacing w:after="0" w:line="189" w:lineRule="exact"/>
        <w:rPr>
          <w:sz w:val="20"/>
          <w:szCs w:val="20"/>
          <w:color w:val="auto"/>
        </w:rPr>
      </w:pPr>
    </w:p>
    <w:p>
      <w:pPr>
        <w:jc w:val="both"/>
        <w:ind w:left="980" w:hanging="329"/>
        <w:spacing w:after="0" w:line="25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the Medicare and Medicaid programs or other federal healthcare programs. A person or entity can be found guilty of violating the statute without actual knowledge of the statute or specific intent to violate it. The federal Anti-Kickback Statute has been interpreted to apply to arrangements between pharmaceutical manufacturers on the one hand and prescribers, purchasers and formulary managers on the other. Although there are a number of statutory exceptions and regulatory safe harbors to the federal Anti-Kickback Statute protecting certain common business arrangements and activities from prosecution or regulatory sanctions, the exceptions and safe harbors are drawn narrowly, and practices that involve remuneration to those who prescribe, purchase, or recommend pharmaceutical and biological products, including certain discounts, or engaging such individuals as speakers or consultants, may be subject to scrutiny if they do not fit squarely within an exception or safe harbor. Our practices may not in all cases meet all of the criteria for safe harbor protection from anti-kickback liability. Moreover, there are no safe harbors for many common practices, such as educational and research grants or patient or product assistance programs.</w:t>
      </w:r>
    </w:p>
    <w:p>
      <w:pPr>
        <w:spacing w:after="0" w:line="196"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and civil monetary penalty laws, including the civil False Claims Act, or FCA, which prohibits, among other things, knowingly presenting, or causing to be presented,</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5" w:lineRule="exact"/>
        <w:rPr>
          <w:sz w:val="20"/>
          <w:szCs w:val="20"/>
          <w:color w:val="auto"/>
        </w:rPr>
      </w:pPr>
    </w:p>
    <w:p>
      <w:pPr>
        <w:jc w:val="both"/>
        <w:ind w:left="980"/>
        <w:spacing w:after="0" w:line="254" w:lineRule="auto"/>
        <w:rPr>
          <w:sz w:val="20"/>
          <w:szCs w:val="20"/>
          <w:color w:val="auto"/>
        </w:rPr>
      </w:pPr>
      <w:r>
        <w:rPr>
          <w:rFonts w:ascii="Times New Roman" w:cs="Times New Roman" w:eastAsia="Times New Roman" w:hAnsi="Times New Roman"/>
          <w:sz w:val="18"/>
          <w:szCs w:val="18"/>
          <w:color w:val="auto"/>
        </w:rPr>
        <w:t>claims for payment of government funds that are false or fraudulent, or knowingly making, or using or causing to be made or used, a false record or statement material to a false or fraudulent claim to avoid, decrease, or conceal an obligation to pay money to the federal government. Private individuals, commonly known as “whistleblowers,” can bring FCA qui tam actions, on behalf of the government and such individuals and may share in amounts paid by the entity to the government in recovery or settlement. In addition, a claim including items or services resulting from a violation of the federal Anti-Kickback Statute constitutes a false or fraudulent claim for purposes of the FCA. FCA liability is potentially significant in the healthcare industry because the statute provides for treble damages and significant mandatory penalties per false claim or statement for violations. Criminal penalties, including imprisonment and criminal fines, are also possible for making or presenting a false, fictitious or fraudulent claim to the federal government.</w:t>
      </w:r>
    </w:p>
    <w:p>
      <w:pPr>
        <w:spacing w:after="0" w:line="186" w:lineRule="exact"/>
        <w:rPr>
          <w:sz w:val="20"/>
          <w:szCs w:val="20"/>
          <w:color w:val="auto"/>
        </w:rPr>
      </w:pPr>
    </w:p>
    <w:p>
      <w:pPr>
        <w:jc w:val="both"/>
        <w:ind w:left="980" w:hanging="329"/>
        <w:spacing w:after="0" w:line="255"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HIPAA fraud provisions, which prohibit knowingly and willfully executing a scheme to defraud any healthcare benefit program, including private third-party payors, and prohibit knowingly and willfully falsifying, concealing or covering up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Similar to the federal Anti-Kickback Statute, a person or entity can be found guilty of violating the HIPAA fraud provisions without actual knowledge of the statutes or specific intent to violate them.</w:t>
      </w:r>
    </w:p>
    <w:p>
      <w:pPr>
        <w:spacing w:after="0" w:line="185" w:lineRule="exact"/>
        <w:rPr>
          <w:rFonts w:ascii="Times New Roman" w:cs="Times New Roman" w:eastAsia="Times New Roman" w:hAnsi="Times New Roman"/>
          <w:sz w:val="18"/>
          <w:szCs w:val="18"/>
          <w:color w:val="auto"/>
        </w:rPr>
      </w:pPr>
    </w:p>
    <w:p>
      <w:pPr>
        <w:jc w:val="both"/>
        <w:ind w:left="980" w:hanging="329"/>
        <w:spacing w:after="0" w:line="254"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and their respective implementing regulations, also impose specified requirements relating to the privacy, security and transmission of individually identifiable health information held by covered entities, which include health plans, healthcare clearinghouses and certain healthcare providers, and their business associates, individuals or entities that perform certain services on behalf of a covered entity that involve the use or disclosure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w:t>
      </w:r>
    </w:p>
    <w:p>
      <w:pPr>
        <w:spacing w:after="0" w:line="189" w:lineRule="exact"/>
        <w:rPr>
          <w:rFonts w:ascii="Times New Roman" w:cs="Times New Roman" w:eastAsia="Times New Roman" w:hAnsi="Times New Roman"/>
          <w:sz w:val="18"/>
          <w:szCs w:val="18"/>
          <w:color w:val="auto"/>
        </w:rPr>
      </w:pPr>
    </w:p>
    <w:p>
      <w:pPr>
        <w:jc w:val="both"/>
        <w:ind w:left="980" w:hanging="329"/>
        <w:spacing w:after="0" w:line="255"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being implemented as the Open Payments Program, which requires manufacturers of drugs, devices, biologics and medical supplies for which payment is available under Medicare, Medicaid or the Children’s Health Insurance Program (with certain exceptions) to report annually to CMS information related to direct or indirect payments and other transfers of value to physicians and teaching hospitals, as well as ownership and investment interests held in a company by physicians and their immediate family members. Beginning in 2022, applicable manufacturers will also be required to report information regarding payments and transfers of value provided to physician assistants, nurse practitioners, clinical nurse specialists, certified nurse anesthetists and certified nurse-midwives; and</w:t>
      </w:r>
    </w:p>
    <w:p>
      <w:pPr>
        <w:spacing w:after="0" w:line="185" w:lineRule="exact"/>
        <w:rPr>
          <w:rFonts w:ascii="Times New Roman" w:cs="Times New Roman" w:eastAsia="Times New Roman" w:hAnsi="Times New Roman"/>
          <w:sz w:val="18"/>
          <w:szCs w:val="18"/>
          <w:color w:val="auto"/>
        </w:rPr>
      </w:pPr>
    </w:p>
    <w:p>
      <w:pPr>
        <w:jc w:val="both"/>
        <w:ind w:left="980" w:hanging="329"/>
        <w:spacing w:after="0" w:line="253"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U.S. state and local laws and regulations, such as state anti-kickback and false claims laws, which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state laws that restrict the ability of manufacturers to offer co-pay support to patients for certain prescription drugs; state laws that require drug manufacturers to report information related to clinical trials, or information related to payments and other transfers of value to physicians and other healthcare providers or marketing expenditures; state laws that require drug manufacturers to report information on the pricing of certain drugs; state laws and local ordinances that require identification or licensing of sales representatives; and state laws governing the privacy and security of health information in certain circumstances, many of which differ from each other in significant ways and often are not preempted by HIPAA, thus complicating compliance efforts.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regulatory safe harbors available under such laws, it is possible that some of our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that our business arrangements with third parties comply with applicable healthcare laws, as well as responding to investigations by government authorities, can be time and resource consuming and can divert management’s attention from the business.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laws described above or any other government regulations that apply to us, we may be subject to penalties, including civil, criminal and administrative penalties, damages, fines, disgorgement, individual imprisonment,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Further, if the physicians or other providers or entities with whom we expect to do business are found not to be in compliance with applicable laws, they may be subject to criminal, civil and administrative sanctions, including exclusion from government funded healthcare programs. In addition, the approval and commercialization of any product candidate we develop outside the United States will also likely subject us to foreign equivalents of the healthcare laws mentioned above, among other foreign laws. All of these could harm our ability to operate our business and our financial results.</w:t>
      </w:r>
    </w:p>
    <w:p>
      <w:pPr>
        <w:spacing w:after="0" w:line="18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business is heavily regulated and therefore involves significant interaction with public officials. We have direct or indirect interactions with officials and employees of government agencies or government-affiliated hospitals, universities and other organizations. We also expect our non-U.S. activities to increase in time.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U.S. Foreign Corrupt Practices Act of 1977, as amended, or FCPA.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 In particular, our operations will be subject to FCPA, which prohibits, among other things, U.S. companies and their employees and agents from authorizing, promising, offering, or providing, directly or indirectly, corrupt or improper payments or anything else of value to foreign government officials, employees of public international organizations and foreign government-owned or affiliated entities, candidates for foreign political office, and foreign political parties or officials thereof. Recently, the SEC and Department of Justice have increased their FCPA enforcement activities with respect to biotechnology and pharmaceutical companies. There is no certainty that all of our employees, agents, suppliers, manufacturers,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facilities, including those of our suppliers and manufacturers, requirements to obtain export licenses, cessation of business activities in sanctioned countries, implementation of compliance programs and prohibitions on the conduct of our business. Any such violations could also result in prohibitions on our ability to offer our products in one or more countries as well as difficulties in manufacturing or continuing to develop our products, and could materially damage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reputation, our brand, our international expansion efforts, our ability to attract and retain employees, and our business, prospects, operating results and financial condition.</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or hazardous materials.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Manufacturing</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Given our limited operating history, our manufacturing experience as an organization and with our manufacturing facility is limited.</w:t>
      </w:r>
    </w:p>
    <w:p>
      <w:pPr>
        <w:spacing w:after="0" w:line="159"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7"/>
          <w:szCs w:val="17"/>
          <w:color w:val="auto"/>
        </w:rPr>
        <w:t>Manufacturing is a critical component of our approach to developing immunomedicines and we have invested significantly in our manufacturing facility. We currently manufacture our product candidates for preclinical and clinical trials.</w:t>
      </w:r>
    </w:p>
    <w:p>
      <w:pPr>
        <w:spacing w:after="0" w:line="13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manufacture of drugs for clinical trials and for commercial sale is subject to oversight by the FDA to ensure compliance with cGMP and by other regulatory authorities under other laws, regulations and standards. We cannot assure you that we can successfully manufacture our products in compliance with cGMP and with any other applicable laws, regulations and standards in sufficient quantities for clinical trials or for commercial sale, or in a timely or economical manner.</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manufacturing facility requires specialized personnel and is expensive to operate and maintain. Validation is an ongoing process that must be maintained to allow us to manufacture under cGMP guidelines. We cannot guarantee that our facility will remain in compliance with cGMP.</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manufacture of pharmaceutical products is a highly complex process in which a variety of difficulties may arise from time to time. We are currently the sole manufacturer of NC318 and NC410 and if anything were to interfere with our continuing manufacturing operations in our facility, it could materially adversely affect our business and financial condition.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fail to develop manufacturing capacity and experience, whether internally or with a third party, or fail to manufacture our product candidates economically or on reasonable scale or volumes, or in accordance with cGMP, our development programs and commercialization of any approved products will be materially adversely affected. This may result in delays in commencing or continuing our clinical trials for NC318 or filing our IND for NC410. Any such delays could materially adversely affect our business and financial condition.</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loss of our third-party manufacturing partners or our, or our partners’, failure to comply with applicable regulatory requirements or to supply sufficient quantities at acceptable quality levels or prices, or at all, would materially and adversely affect our business.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Although we currently manufacture our product candidates for preclinical and clinical trials, certain elements of manufacturing, including Master Cell Bank manufacturing and fill-finish services, take place at qualified third-party contract manufacturing organizations, or CMOs. If approved, commercial supply of NC318, NC410 and any future product candidates may be manufactured at a CMO or CMOs.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facilities used by our CMOs to manufacture our product candidates are subject to various regulatory requirements and may be subject to the inspection of the FDA or other regulatory authorities. We do not control the manufacturing process at our CMOs, and are completely dependent on them for compliance with current regulatory requirements. If we or our CMOs cannot successfully manufacture material that conforms to our specifications and the strict regulatory requirements of the FDA or comparable regulatory authorities in foreign jurisdictions, we may not be able to rely on their manufacturing facilities for the manufacture of elements of our product candidates. In addition, we have limited control over the ability of our CMOs to maintain adequate quality control, quality assurance and qualified personnel. If the FDA or a comparable foreign regulatory authority finds our facilities or those of our CMOs inadequate for the manufacture of our product candidates or if such facilities are subject to enforcement action in the future or are otherwise inadequate, we may need to find alternative manufacturing facilities, which would significantly impact our ability to develop, obtain regulatory approval for or market our product candidates.</w:t>
      </w:r>
    </w:p>
    <w:p>
      <w:pPr>
        <w:spacing w:after="0" w:line="1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Additionally, our CMOs may experience manufacturing difficulties due to resource constraints or as a result of labor disputes or unstable political environments. If our CMOs were to encounter any of these difficulties, our ability to provide our product candidate to patients in clinical trials, or to provide product for the treatment of patients once approved, would be jeopardized.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product candidates proceed through preclinical studies to late-stage clinical trials towards potential approval and commercialization, it is common that various aspects of the development program, such as manufacturing methods and formulation, are altered along the way in an effort to optimize processes and results. Such changes carry the risk that they will not achieve these intended objectives. Any of these changes could cause our product candidates to perform differently and affect the results of planned clinical trials or other future clinical trials conducted with the materials manufactured using altered processes. Such changes may also require additional testing, FDA notification or FDA approval.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multiple manufacturing risks, any of which could substantially increase our costs and limit supply of our product candidates.</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process of manufacturing immunomedicines, including our product candidates, is complex, time-consuming, highly regulated and subject to several risks, including:</w:t>
      </w:r>
    </w:p>
    <w:p>
      <w:pPr>
        <w:spacing w:after="0" w:line="162" w:lineRule="exact"/>
        <w:rPr>
          <w:sz w:val="20"/>
          <w:szCs w:val="20"/>
          <w:color w:val="auto"/>
        </w:rPr>
      </w:pPr>
    </w:p>
    <w:p>
      <w:pPr>
        <w:jc w:val="both"/>
        <w:ind w:left="980" w:hanging="329"/>
        <w:spacing w:after="0" w:line="256"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loss during the manufacturing process, including loss caused by contamination, equipment failure or improper installation or operation of equipment, or operator error. Even minor deviations from normal manufacturing processes could result in reduced production yields, product defects and other supply disruptions. If microbial, viral or other contaminations are discovered in our products or in the manufacturing facilities in which our products are made, such manufacturing facilities may need to be closed for an extended period of time to investigate and remedy the contamination;</w:t>
      </w:r>
    </w:p>
    <w:p>
      <w:pPr>
        <w:spacing w:after="0" w:line="187"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facilities in which our products are made could be adversely affected by equipment failures, labor and raw material shortages, natural disasters, power failures and numerous other factors; and</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5" w:lineRule="exact"/>
        <w:rPr>
          <w:sz w:val="20"/>
          <w:szCs w:val="20"/>
          <w:color w:val="auto"/>
        </w:rPr>
      </w:pPr>
    </w:p>
    <w:p>
      <w:pPr>
        <w:jc w:val="both"/>
        <w:ind w:left="980" w:hanging="329"/>
        <w:spacing w:after="0" w:line="261"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developments affecting manufacturing operations for our products may result in shipment delays, inventory shortages, lot failures, product withdrawals or recalls, or other interruptions in the supply of our products. We may also have to take inventory write-offs and incur other charges and expenses for products that fail to meet specifications, undertake costly remediation efforts or seek more costly manufacturing alternatives.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also make changes to our manufacturing processes at various points during development, for a number of reasons, such as controlling costs, achieving scale, decreasing processing time, increasing manufacturing success rate or other reasons. Such changes carry the risk that they will not achieve their intended objectives, and any of these changes could cause our product candidates to perform differently and affect the results of our ongoing or future clinical trials. In some circumstances, changes in the manufacturing process may require us to perform ex vivo comparability studies and to collect additional data from patients prior to undertaking more advanced clinical trials. For instance, changes in our process during the course of clinical development may require us to show the comparability of the product used in earlier clinical phases or at earlier portions of a trial to the product used in later clinical phases or later portions of the trial.</w:t>
      </w:r>
    </w:p>
    <w:p>
      <w:pPr>
        <w:spacing w:after="0" w:line="1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suppliers for key materials used in our manufacturing processes, and the loss of these third-party suppliers or their inability to supply us with adequate materials could harm our business.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rely on third-party suppliers for certain materials and components required for the production of our product candidates. Our dependence on these third-party suppliers and the challenges we may face in obtaining adequate supplies of materials involve several risks, including limited control over pricing, availability, and quality and delivery schedules. As a small company, our negotiation leverage is limited and we are likely to get lower priority than our competitors that are larger than we are. We cannot be certain that our suppliers will continue to provide us with the quantities of these raw materials that we require or satisfy our anticipated specifications and quality requirements. Any supply interruption in limited or sole sourced raw materials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have a material adverse effect on our business.</w:t>
      </w:r>
    </w:p>
    <w:p>
      <w:pPr>
        <w:spacing w:after="0" w:line="18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successfully scale-up manufacturing of our product candidates in sufficient quality and quantity, which would delay or prevent us from developing and, if approved, commercializing our product candidates.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order to conduct clinical trials of our product candidates, we will need to manufacture them in large quantities. If one or more of our product candidates progress to late-stage development, we may incur significant expenses in the expansion and/or construction of manufacturing facilities and increases in personnel in order to manufacture product candidates. Currently, our product candidates are manufactured in small quantities for use in various preclinical studies and our ongoing Phase 1/2 clinical trial of NC318. We cannot assure you that we will be able to successfully manufacture additional product candidates at a larger scale in a timely or economical manner, or at all. If we are unable to successfully increase our manufacturing scale or capacity, the development, testing, and clinical trials of our current or future product candidates may be delayed or infeasible, and regulatory approval or commercial launch of any resulting product may be delayed or not obtained, which could significantly harm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filed patent applications for our lead product candidates, but no patent has yet issued from these applications. If we are unable to obtain and maintain patent protection for our product candidates, or if the scope of the patent protection obtained is not sufficiently broad or robust, our competitors could develop and commercialize products similar or identical to ours, and our ability to successfully commercialize our product candidates may be adversely affected.</w:t>
      </w:r>
    </w:p>
    <w:p>
      <w:pPr>
        <w:spacing w:after="0" w:line="1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protection in the United States and other countries with respect to our product candidates. We and our licensors have sought, and intend to seek, to protect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proprietary position by filing patent applications in the United States and abroad related to our product candidates and technology that are important to our business. No patent has yet issued from our patent applications.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patent rights are highly uncertain. Our pending and future patent applications may not result in patents being issued that protect our technology or product candidates or that effectively prevent others from commercializing competitive technologies and product candidates. Because patent applications in the United States and most other countries are confidential for a period of time after filing, and some remain so until issued, we cannot be certain that we or our licensors were the first to file a patent application relating to any particular aspect of a product candidate. Furthermore, if third parties have filed such patent applications, we may challenge their ownership, for example in a derivation proceeding before the U.S. Patent and Trademark Office, or USPTO, to determine who has the right to the claimed subject matter in the applications. Similarly, if our patent applications are challenged in a derivation proceeding, the USPTO may hold that a third-party is entitled to certain patent ownership rights instead of us. We may then be forced to seek a license from the third party that may not be available on commercially favorable terms, or at all.</w:t>
      </w:r>
    </w:p>
    <w:p>
      <w:pPr>
        <w:spacing w:after="0" w:line="19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before it is too late to obtain patent protection.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Even if the patent applications we license or own do issue as patents, they may not issue in a form that will provide us with any meaningful protection, prevent competitors or other third parties from competing with us or otherwise provide us with any competitive advantage. Our competitors or other third parties may be able to circumvent our patents by developing similar or alternative technologies or products that do not infringe our patents.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party to a license agreement with Yale University under which we acquired rights to intellectual property related to certain of our product candidates. If we breach our obligations under this agreement, the agreement could be terminated, which would adversely affect our business and prospects.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 party to a license agreement with Yale pursuant to which we in-license patents and technology for certain of our product candidates. This license imposes various diligence, milestone payment, royalty, insurance and other obligations on us. If we fail to comply with these and other obligations or otherwise materially breach this license agreement, Yale may have the right to terminate the license. If this agreement is terminated, we may not be able to develop, manufacture, market or sell the product candidates or products covered by the agreement, or we would have to negotiate a new or reinstated agreement, which may not be available to us on equally favorable terms, or at all.</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intellectual property agreements with third parties may be subject to disagreements over contract interpretation, which could narrow the scope of our rights to the relevant intellectual property or technology or increase our financial or other obligations to our licensors.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Certain provisions in our intellectual property agreements may be susceptible to multiple interpretations. The resolution of any contract interpretation disagreement that may arise could affect the scope of our rights to the relevant intellectual property or technology, or affect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patents and/or applications will be due to be paid to the USPTO and various government patent agencies outside of the United States over the lifetime of our licensed patents and/or applications and any patent rights we own or may own in the future. We rely, in part, on our outside counsel or our licensing partners to pay these fees due to the USPTO and to non-U.S. patent agencies. The USPTO and various non-U.S. government patent agencies require compliance with several procedural, documentary, fee payment and other similar provisions during the patent application process.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have a material adverse effect on our business.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Filing, prosecuting and enforcing patents on product candidates in all countries throughout the world would be prohibitively expensive, and our intellectual property rights in some countries outside the United States are and could remain less extensive than those in the United States. In addition, the laws of some foreign countries do not protect intellectual property rights to the same extent as federal and state laws in the United States. Consequently, we may be less likely to be able to prevent third parties from infringing our patents in all countries outside the United States, or from selling or importing products that infringe our patents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product candidates.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or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America Invents Act also includes a number of significant changes that affect the way patent applications are prosecuted and also may affect patent litigation. These include allowing third-party submission of prior art to the USPTO during patent prosecution and additional procedures to attack the validity or ownership of a patent by USPTO 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The America Invents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the patent positions of companies in the development and commercialization of biologics and pharmaceuticals are particularly uncertain. Recent rulings from the U.S. Court of Appeals for the Federal Circuit and the U.S. Supreme Court have narrowed the scope of patent protection available in certain circumstances and weakened the rights of patent owners in certain situations. This combination of events has created uncertainty with respect to the validity and enforceability of patents.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intellectual property, which could be expensive, time-consuming and unsuccessful.</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licensors, or we may be required to defend against claims of infringement. Countering infringement or unauthorized use claims or defending against claims of infringement can be expensive and time-consuming.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marketing, sales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own, develop or license.</w:t>
      </w:r>
    </w:p>
    <w:p>
      <w:pPr>
        <w:spacing w:after="0" w:line="18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 candidates could be found invalid or unenforceable if challenged in court. We may not be able to protect our trade secrets in court.</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If we or one of our licensing partners initiate legal proceedings against a third party to enforce any patent that is issued covering one of our product candidates, the defendant could counterclaim that the patent covering our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written description or non-enablement. In addition, patent validity challenges may, under certain circumstances, be based upon non-statutory obviousness-type double patenting, which, if successful, could result in a finding that the claims are invalid for obviousness-type double patenting or the loss of patent term, including a patent term adjustment granted by the USPTO, if a terminal disclaimer is filed to obviate a finding of obviousness-type double patenting. Grounds for an unenforceability assertion could be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 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equivalent proceedings in foreign jurisdictions. Such proceedings could result in the revocation or cancellation of or amendment to our patents in such a way that they no longer cover our product candidates.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outcome following legal assertions of invalidity and unenforceability is unpredictable. We cannot be certain that there is no invalidating prior art of which the patent examiner and we or our licensing partners were unaware during prosecution. If a defendant were to prevail on a legal assertion of invalidity or unenforceability, we could lose part, and perhaps all, of the patent protection on one or more of our product candidates. Such a loss of patent protection could have a material adverse impact on our business.</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including portions of our FIND-IO platform. However, trade secrets can be difficult to protect, and some courts inside and outside the United States are less willing or unwilling to protect trade secrets.</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 and financial condition.</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commercial success depends upon our ability and the ability of any collaborators to develop, manufacture, market and sell our product candidates and use our proprietary technologies without infringing the proprietary rights and intellectual property of third parties. We cannot provide any assurances that third-party patents do not exist which might be enforced against our current manufacturing methods, product candidates or future methods or products, resulting in either an injunction prohibiting our manufacture or sales, or, with respect to our sales, an obligation on our part to pay royalties and/or other forms of compensation to third parties.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biotechnology and pharmaceutical industries are characterized by extensive and complex litigation regarding patents and other intellectual property rights. We may in the future become party to, or be threatened with, adversarial proceedings or litigation regarding intellectual property rights with respect to our product candidates and technology, including post grant review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before the USPTO. The risks of being involved in such litigation and proceedings may also increase as our product candidates approach commercialization and as we gain greater visibility as a public company. 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which could materially and adversely affect our ability to commercialize any of our product candidates or technologies covered by the asserted third-party patents.</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we are found to infringe a third party’s valid and enforceable intellectual property rights, we could be required to obtain a license from such third party to continue developing, manufacturing and marketing our product candidates and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developing, manufacturing and commercializing the infringing technology or product candidates. In addition, we could be found liable for monetary damages, including treble damages and attorneys’ fees, if we are found to have willfully infringed a patent or other intellectual property right. A finding of infringement could prevent us from manufacturing and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1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Others may claim an ownership interest in our intellectual property and our product candidates, which could expose us to litigation and have a significant adverse effect on our prospects.</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While we are presently unaware of any claims or assertions by third parties with respect to our patents or other intellectual property, we cannot guarantee that a third party will not assert a claim or an interest in any of such patents 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intellectual property. For example, a third party may claim an ownership interest in one or more of our, or our licensors’, patents or other proprietary or intellectual property rights. A third party could bring legal actions against us to seek monetary damages or enjoin clinical testing, manufacturing or marketing of the affected product candidate or product. If we become involved in any litigation, it could consume a substantial portion of our resources and cause a significant diversion of effort by our technical and management personnel. If any such action is successful, in addition to any potential liability for damages, we could be required to obtain a license to continue to manufacture or market the affected product candidate or product, in which case we could be required to pay substantial royalties or grant cross-licenses to patents. We cannot, however, assure you that any such license would be available on acceptable terms, if at all. Ultimately, we could be prevented from commercializing a product, or forced to cease some aspect of our business operations as a result of claims of patent infringement or violation of other intellectual property rights. Further, the outcome of intellectual property litigation is subject to uncertainties that cannot be adequately quantified in advance, including the demeanor and credibility of witnesses and the identity of any adverse party. This is especially true in intellectual property cases, which may turn on the testimony of experts as to technical facts upon which experts may reasonably disagree. Any of the foregoing could have a material adverse effect on our business, financial condition, results of operations or prospects.</w:t>
      </w:r>
    </w:p>
    <w:p>
      <w:pPr>
        <w:spacing w:after="0" w:line="1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proprietary information, the value of our technology and products could be adversely affected.</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Trade secrets and know-how can be difficult to protect. To maintain the confidentiality of trade secrets and proprietary information, we enter into confidentiality agreements with our employees, consultants, collaborators and others upon the commencement of their relationships with us. These agreements require that all confidential information developed by the individual or made known to the individual by us during the course of the individual’s relationship with us be kept confidential and not disclosed to third parties. Our agreements with employees and our personnel policies also provide that any inventions conceived by the individual in the course of rendering services to us shall be our exclusive property. However, we cannot guarantee that we have entered into such agreements with each party that may have or have had access to our trade secrets or proprietary technology and processes, and individuals with whom we have these agreements may not comply with their terms. Thus, despite such agreement, there can be no assurance that such inventions will not be assigned to third parties. In the event of unauthorized use or disclosure of our trade secrets or proprietary information, these agreements, even if obtained, may not provide meaningful protection, particularly for our trade secrets or other confidential information. To the extent that our employees, consultants or contractors use technology or know-how owned by third parties in their work for us, disputes may arise between us and those third parties as to the rights in related inventions. To the extent that an individual who is not obligated to assign rights in intellectual property to us is rightfully an inventor of intellectual property, we may need to obtain an assignment or a license to that intellectual property from that individual, or a third party or from that individual’s assignee. Such assignment or license may not be available on commercially reasonable terms or at all. We also seek to preserve the integrity and confidentiality of our trade secrets by other means, including maintaining physical security of our premises and physical and electronic security of our information technology systems. However, these security measures may be breached, and we may be forced to bring claims against third parties, or defend claims that they may bring against us, to determine the ownership of what we regard as our intellectual property.</w:t>
      </w:r>
    </w:p>
    <w:p>
      <w:pPr>
        <w:spacing w:after="0" w:line="19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Adequate remedies may not exist in the event of unauthorized use or disclosure of our proprietary information. The disclosure of our trade secrets would impair our competitive position and may materially harm our business, financial condition and results of operations. Costly and time-consuming litigation could be necessary to enforce and determine the scope of our proprietary rights, and failure to maintain trade secret protection could adversely affect our competitive business position. In addition, others may independently discover or develop our trade secrets and proprietary information, and the existence of our own trade secrets affords no protection against such independent discovery. For example, a public presentation in the scientific or popular press on the properties of our product candidates could motivate a third party, despite any perceived difficulty, to assemble a team of scientists having backgrounds similar to those of our employees to attempt to independently reverse engineer or otherwise duplicate our antibody technologies to replicate our success.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asserting that our employees, consultants or advisors have wrongfully used or disclosed alleged trade secrets of their current or former employers.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Many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or that patents and applications we have filed to protect inventions of these employees, even those related to one or more of our product candidates, are rightfully owned by their former or current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Any registered trademarks or trade names may be challenged,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76" w:lineRule="exact"/>
        <w:rPr>
          <w:sz w:val="20"/>
          <w:szCs w:val="20"/>
          <w:color w:val="auto"/>
        </w:rPr>
      </w:pPr>
    </w:p>
    <w:p>
      <w:pPr>
        <w:ind w:left="980" w:hanging="329"/>
        <w:spacing w:after="0" w:line="28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our product candidates but that are not covered by the claims of the patents that we own or license or may own in the future;</w:t>
      </w:r>
    </w:p>
    <w:p>
      <w:pPr>
        <w:spacing w:after="0" w:line="161"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partners or collaborators, might not have been the first to make the inventions covered by the issued patent or pending patent application that we license or may own in the future;</w:t>
      </w:r>
    </w:p>
    <w:p>
      <w:pPr>
        <w:spacing w:after="0" w:line="161"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partners or collaborators, might not have been the first to file patent applications covering certain of our or their inventions;</w:t>
      </w:r>
    </w:p>
    <w:p>
      <w:pPr>
        <w:spacing w:after="0" w:line="161"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licensed intellectual property rights;</w:t>
      </w:r>
    </w:p>
    <w:p>
      <w:pPr>
        <w:spacing w:after="0" w:line="161"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licensed patent applications or those that we may own in the future will not lead to issued patents;</w:t>
      </w:r>
    </w:p>
    <w:p>
      <w:pPr>
        <w:spacing w:after="0" w:line="161"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5" w:lineRule="exact"/>
        <w:rPr>
          <w:sz w:val="20"/>
          <w:szCs w:val="20"/>
          <w:color w:val="auto"/>
        </w:rPr>
      </w:pPr>
    </w:p>
    <w:p>
      <w:pPr>
        <w:jc w:val="both"/>
        <w:ind w:left="980" w:hanging="329"/>
        <w:spacing w:after="0" w:line="266"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76"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 and</w:t>
      </w:r>
    </w:p>
    <w:p>
      <w:pPr>
        <w:spacing w:after="0" w:line="225"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for certain trade secrets or know-how, and a third party may subsequently file a patent covering such intellectual property.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financial condition, results of operations and prospects.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Reliance on Third Parties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rely or will rely on third parties to help conduct our ongoing and planned preclinical studies and clinical trials for NC318, NC410 and any future product candidates we develop. If these third parties do not successfully carry out their contractual duties, comply with regulatory requirements or meet expected deadlines, we may not be able to obtain marketing approval for or commercialize NC318, NC410 and any future product candidates we develop, and our business could be materially harmed.</w:t>
      </w:r>
    </w:p>
    <w:p>
      <w:pPr>
        <w:spacing w:after="0" w:line="18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currently do not have the ability to independently conduct preclinical studies that comply with the regulatory requirements known as current good laboratory practice, or GLP, requirements. We also do not currently have the ability to independently conduct any clinical trials. The FDA and regulatory authorities in other jurisdictions require us to comply with regulations and standards, including cGCP, or requirements for conducting, monitoring, recording and reporting the results of clinical trials, in order to ensure that the data and results are scientifically credible and accurate and that the trial subjects are adequately informed of the potential risks of participating in clinical trials. We rely on medical institutions, clinical investigators, contract laboratories and other third parties, such as CROs, to conduct GLP-compliant preclinical studies and cGCP-compliant clinical trials on our product candidates properly and on time. While we have agreements governing their activities, we control only certain aspects of their activities and have limited influence over their actual performance. The third parties with whom we contract for execution of our GLP-compliant preclinical studies and our cGCP-compliant clinical trials play a significant role in the conduct of these studies and trials and the subsequent collection and analysis of data. These third parties are not our employees and, except for restrictions imposed by our contracts with such third parties, we have limited ability to control the amount or timing of resources that they devote to our current or future product candidates. Although we rely on these third parties to conduct our GLP-compliant preclinical studies and cGCP-compliant clinical trials, we remain responsible for ensuring that each of our preclinical studies and clinical trials is conducted in accordance with its investigational plan and protocol and applicable laws and regulations, and our reliance on the CROs does not relieve us of our regulatory responsibilities.</w:t>
      </w:r>
    </w:p>
    <w:p>
      <w:pPr>
        <w:spacing w:after="0" w:line="19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Many of the third parties with whom we contract may also have relationships with other commercial entities, including our competitors, for whom they may also be conducting clinical trials or other drug development activities that could harm our competitive position. Further, under certain circumstances, these third parties may terminate their agreements with us upon as little as 10 days’ prior written notice. Some of these agreements may also be terminated by such third parties under certain other circumstances. If the third parties conducting our preclinical studies or our clinical trials do not adequately perform their contractual duties or obligations, experience significant business challenges, disruptions or failures, do not meet expected deadlines, terminate their agreements with us or need to be replaced, or if the quality or accuracy of the data they obtain is compromised due to their failure to adhere to our protocols or to GLP and cGCP, or for any other reason, we may need to enter into new arrangements with alternative third parties. This could be difficult, costly or impossible, and our preclinical studies or clinical trials may need to be extended, delayed, terminated or repeated. As a result, we may not be able to obtain regulatory approval in a timely fashion, or at all, for the applicable product candidate, our financial results and the commercial prospects for our product candidates would be harmed, our costs could increase and our ability to generate revenues could be delayed.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depend on Lilly, Yale or other third-party collaborators for the discovery, development and commercialization of certain of our current and future product candidates. If our collaborations are not successful, we may not be able to capitalize on the market potential of these product candidates.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November 2018, we entered into the Lilly Agreement, which is focused on using our FIND-IO platform to identify novel oncology targets for additional research and drug discovery by ourselves and Lilly. Pursuant to the Lilly Agreement, we granted Lilly the exclusive right to obtain worldwide exclusive licenses to research, develop, manufacture and commercialize compounds and products directed to oncology targets identified through our research collaboration. Lilly will have the exclusive ability to control the development and commercialization of any targets it chooses to license on a global basis. Our lack of control over the clinical development of certain programs under the Lilly Agreement could result in delays or other difficulties in the development and commercialization of product candidates. Our right to receive certain milestone and royalty payments may be subsequently delayed, if we receive any at all. In the event Lilly terminates the Lilly Agreement, we would be prevented from receiving any milestone payments, royalty payments and other benefits under that agreement, which would have a materially adverse effect on our results of operations. Furthermore, in the event Lilly does not purchase and exercise any of its options, we will not be eligible to receive any future milestone payments under the Lilly Agreement, which could require us to seek additional funding in order to avoid delaying, reducing the scope of, or suspending, one or more of our research and development programs or clinical trials.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also entered into the SRA with Yale in which we agreed to provide funding for a research program aimed at discovering new targets for immunomedicines. We have and would expect to have limited control over the amount and timing of resources that are employed in the research program. The research program may not be successful, and as a result, we may not be able to identify, develop and commercialize products from this collaboration.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future, we may form or seek other strategic alliances, joint ventures or collaborations, or enter into additional licensing arrangements with third parties that we believe will complement or augment our development and commercialization efforts with respect to product candidates we develop.</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collaborations pose, and potential future collaborations involving our product candidates may pose, the following risks to us:</w:t>
      </w:r>
    </w:p>
    <w:p>
      <w:pPr>
        <w:spacing w:after="0" w:line="162" w:lineRule="exact"/>
        <w:rPr>
          <w:sz w:val="20"/>
          <w:szCs w:val="20"/>
          <w:color w:val="auto"/>
        </w:rPr>
      </w:pPr>
    </w:p>
    <w:p>
      <w:pPr>
        <w:ind w:left="980" w:hanging="329"/>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have significant discretion in determining the efforts and resources that they will apply to these collaborations;</w:t>
      </w:r>
    </w:p>
    <w:p>
      <w:pPr>
        <w:spacing w:after="0" w:line="161"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or product candidates;</w:t>
      </w:r>
    </w:p>
    <w:p>
      <w:pPr>
        <w:spacing w:after="0" w:line="161" w:lineRule="exact"/>
        <w:rPr>
          <w:rFonts w:ascii="Times New Roman" w:cs="Times New Roman" w:eastAsia="Times New Roman" w:hAnsi="Times New Roman"/>
          <w:sz w:val="18"/>
          <w:szCs w:val="18"/>
          <w:color w:val="auto"/>
        </w:rPr>
      </w:pPr>
    </w:p>
    <w:p>
      <w:pPr>
        <w:jc w:val="both"/>
        <w:ind w:left="980" w:hanging="329"/>
        <w:spacing w:after="0" w:line="261"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enforce, maintain or defend our intellectual property rights or may use our proprietary information in a way that gives rise to actual or threatened litigation or that could jeopardize or invalidate our intellectual property or proprietary information, exposing us to potential litigation or other intellectual property proceedings;</w:t>
      </w:r>
    </w:p>
    <w:p>
      <w:pPr>
        <w:spacing w:after="0" w:line="180"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161" w:lineRule="exact"/>
        <w:rPr>
          <w:rFonts w:ascii="Times New Roman" w:cs="Times New Roman" w:eastAsia="Times New Roman" w:hAnsi="Times New Roman"/>
          <w:sz w:val="18"/>
          <w:szCs w:val="18"/>
          <w:color w:val="auto"/>
        </w:rPr>
      </w:pPr>
    </w:p>
    <w:p>
      <w:pPr>
        <w:jc w:val="both"/>
        <w:ind w:left="980" w:hanging="329"/>
        <w:spacing w:after="0" w:line="266"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a collaborator and us that cause the delay or termination of the research, development or commercialization of the product candidate, or that result in costly litigation or arbitration that diverts management attention and resources;</w:t>
      </w:r>
    </w:p>
    <w:p>
      <w:pPr>
        <w:spacing w:after="0" w:line="176"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such products;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5" w:lineRule="exact"/>
        <w:rPr>
          <w:sz w:val="20"/>
          <w:szCs w:val="20"/>
          <w:color w:val="auto"/>
        </w:rPr>
      </w:pPr>
    </w:p>
    <w:p>
      <w:pPr>
        <w:jc w:val="both"/>
        <w:ind w:left="980" w:hanging="329"/>
        <w:spacing w:after="0" w:line="266"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present or future collaborator of ours were to be involved in a business combination, the continued pursuit and emphasis on our product development or commercialization program under such collaboration could be delayed, diminished or terminated; and</w:t>
      </w:r>
    </w:p>
    <w:p>
      <w:pPr>
        <w:spacing w:after="0" w:line="176"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agreements may restrict our right to independently pursue new product candidates.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we enter into additional collaboration agreements and strategic partnerships or license our intellectual property, products or businesses, we may not be able to realize the benefit of such transactions if we are unable to successfully integrate them with our existing operations, which could delay our timelines or otherwise adversely affect our business. We also cannot be certain that, following a strategic transaction or license, we will achieve the revenue or net income that justifies such transaction. Any of the factors set forth above and any delays in entering into new collaborations or strategic partnership agreements related to any product candidate we develop could delay the development and commercialization of our product candidates, which would harm our business prospects, financial condition and 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advancement of our product candidates and development programs and the potential commercialization of our current and future product candidates will require substantial additional cash to fund expenses. For some of our current or future product candidates, we may decide to collaborate with additional pharmaceutical and biotechnology companies with respect to development and potential commercialization. Any of these relationships may require us to incur non-recurring and other charges, increase our near and long term expenditures, issue securities that dilute our existing stockholders, or disrupt our management and business.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face significant competition in seeking appropriate strategic partners and the negotiation process is time-consuming and complex. Whether we reach a definitive agreement for other collaborations will depend, among other things, upon our assessment of the collaborator’s resources and expertise, the terms and conditions of the proposed collaboration and the collaborator’s evaluation of a number of factors. Those factors may include the design or results of clinical trials, the progress of our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w:t>
      </w:r>
    </w:p>
    <w:p>
      <w:pPr>
        <w:spacing w:after="0" w:line="1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Further, we may not be successful in our efforts to establish a strategic partnership or other alternative arrangements for future product candidates because they may be deemed to be at too early of a stage of development for collaborative effort and third parties may not view them as having the requisite potential to demonstrate safety and efficacy.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also be restricted under existing collaboration agreements from entering into future agreements on certain terms with potential collaborators. Such exclusivity could limit our ability to enter into strategic collaborations with future collaborators. In addition, there have been a significant number of recent business combinations among large pharmaceutical companies that have resulted in a reduced number of potential future collaborators.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marketing or sales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highly dependent on members of our executive team. The loss of the services of any of them may adversely impact the achievement of our objectives. Any of our executive officers could leave our employment at any time, as all of our employees are “at-will” employees. We currently only have “key person” insurance on Michael Richman, our President and Chief Executive Officer, and on Dr. Lieping Chen, our scientific founder, in his role as consultant to us. The loss of the services of Mr. Richman, Dr. Chen or one or more of our other executive officers could impede the achievement of our research, development and commercialization objectives.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continue to work with Dr. Chen on discovering novel immunomedicines through his consulting agreement and our SRA with Yale. If we are no longer able to leverage our relationships with Dr. Chen and Yale, our ability to discover additional targets for immunomedicines may be impeded, which may adversely impact the achievement of our objectives.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Recruiting and retaining qualified employees, consultants and advisors for our business, including scientific and technical personnel, will also be critical to our success. Competition for skilled personnel is intense and the turnover rate can be high. We may not be able to attract and retain personnel on acceptable terms given the competition among numerous pharmaceutical and biotechnology companies and academic institutions for skilled individuals. In addition, failure to succeed in preclinical studies, clinical trials or applications for marketing approval may make it more challenging to recruit and retain qualified personnel. The inability to recruit, or the loss of services of certain executives, key employees, consultants or advisors, may impede the progress of our research, development and commercialization objectives and have a material adverse effect on our business, financial condition, results of operations and growth prospects.</w:t>
      </w:r>
    </w:p>
    <w:p>
      <w:pPr>
        <w:spacing w:after="0" w:line="1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biotechnology industry is intensely competitive and subject to rapid and significant technological change. Our current or future product candidates may face competition from major pharmaceutical companies, specialty pharmaceutical companies, universities and other research institutions and from products and therapies that currently exist or are being developed, some of which products and therapies we may not currently know about. Many of our competitors have significantly greater financial, manufacturing, marketing, product development, technical and human resources than we do. Large pharmaceutical companies, in particular, have extensive experience in clinical testing, obtaining marketing approvals, recruiting patients and manufacturing pharmaceutical products, and they may also have products that have been approved or are in late stages of development, and collaborative arrangements in our target markets with leading companies and research institutions. Established pharmaceutical companies may also invest heavily to accelerate discovery and development of novel compounds or to in-license novel compounds that could make the product candidates that we develop obsolete. Mergers and acquisitions in the pharmaceutical and biotechnology industries may result in even more resources being concentrated among a smaller number of our competitors. As a result of all of these factors, our competitors may succeed in obtaining patent protection and/or FDA or other regulatory approval or discovering, developing and commercializing products in our field before we do, which could result in our competitors establishing a strong market position before we are able to enter the market.</w:t>
      </w:r>
    </w:p>
    <w:p>
      <w:pPr>
        <w:spacing w:after="0" w:line="19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competitors may obtain FDA or other regulatory approval of their product candidates more rapidly than we may or may obtain patent protection or other intellectual property rights that limit our ability to develop or commercialize our product candidates or platform technologies. Our competitors may also develop drugs or discovery platforms that are more effective, more convenient, more widely used or less costly than our product candidates or our FIND-IO platform or, in the case of drugs, have a better safety profile than our product candidates. These competitors may also be more successful than us in manufacturing and marketing their products, and have significantly greater financial resources and expertise in research and development.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There are a large number of companies developing or marketing treatments for cancer, including many major pharmaceutical and biotechnology companies. Currently marketed oncology drugs and therapeutics range from traditional cancer therapies, including chemotherapy, to antibody-drug conjugates, such as Genentech’s Kadcyla, to immune checkpoint inhibitors targeting CTLA-4, such as BMS’ Yervoy, and PD-1/PD-L1, such as BMS’ Opdivo, Merck &amp; Co.’s Keytruda and Genentech’s Tecentriq, to T cell-engager immunotherapies, such as Amgen’s Blincyto. In addition, numerous compounds are in clinical development for cancer treatment. In addition, numerous compounds are in clinical development for cancer treatment. Many of these companies are well-capitalized and have significant clinical experience.</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Smaller and other early stage companies may also prove to be significant competitors. These third parties compete with us in recruiting and retaining qualified scientific and management personnel, establishing clinical trial sites and patient registration for clinical trials, as well as in acquiring technologies complementary to, or necessary for, our current and future product candidates. In addition, the biopharmaceutical industry is characterized by rapid technological change. If we fail to stay at the forefront of technological change, we may be unable to compete effectively. Technological advances or products developed by our competitors may render our product candidates obsolete, less competitive or not economical.</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have a broader label, are marketed more effectively, are reimbursed or are less expensive than any products that we may develop. Our competitors may also obtain patent protection or other intellectual property rights that limit our ability to develop or commercialize our product candidates or platform technologies. Even if our product candidates achieve marketing approval, they may be priced at a significant premium over competitive products if any have been approved by then, resulting in reduced competitiveness. If we do not compete successfully, we may not generate or derive sufficient revenue from any product candidate for which we obtain marketing approval and may not become or remain profitable.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grow the size of our organization, and we may experience difficulties in managing this growth.</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our development plans and strategies develop, and as we transition into operating as a public company, we expect to need additional managerial, operational, marketing, sales, financial and other personnel. Future growth would impose significant added responsibilities on members of management, including:</w:t>
      </w:r>
    </w:p>
    <w:p>
      <w:pPr>
        <w:spacing w:after="0" w:line="176" w:lineRule="exact"/>
        <w:rPr>
          <w:sz w:val="20"/>
          <w:szCs w:val="20"/>
          <w:color w:val="auto"/>
        </w:rPr>
      </w:pPr>
    </w:p>
    <w:p>
      <w:pPr>
        <w:ind w:left="980" w:hanging="329"/>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and motivating additional employees;</w:t>
      </w:r>
    </w:p>
    <w:p>
      <w:pPr>
        <w:spacing w:after="0" w:line="225" w:lineRule="exact"/>
        <w:rPr>
          <w:rFonts w:ascii="Times New Roman" w:cs="Times New Roman" w:eastAsia="Times New Roman" w:hAnsi="Times New Roman"/>
          <w:sz w:val="18"/>
          <w:szCs w:val="18"/>
          <w:color w:val="auto"/>
        </w:rPr>
      </w:pPr>
    </w:p>
    <w:p>
      <w:pPr>
        <w:jc w:val="both"/>
        <w:ind w:left="980" w:hanging="329"/>
        <w:spacing w:after="0" w:line="266"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including the clinical and FDA review process for NC318, NC410 and any future product candidates we develop, while complying with our contractual obligations to contractors and other third parties; and</w:t>
      </w:r>
    </w:p>
    <w:p>
      <w:pPr>
        <w:spacing w:after="0" w:line="176"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operational, financial and management controls, reporting systems and procedures.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future financial performance and our ability to advance development of and, if approved, commercialize NC318, NC410 and any future product candidates we develop will depend, in part, on our ability to effectively manage any future growth, and our management may have to divert a disproportionate amount of its attention away from day-to-day activities in order to devote a substantial amount of time to managing these growth activities.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currently rely, and for the foreseeable future will continue to rely, in substantial part on certain independent organizations, advisors and consultants to provide certain services.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marketing approval of any current or future product candidates or otherwise advance our business. We cannot assure you that we will be able to manage our existing consultants or find other competent outside contractors and consultants on economically reasonable terms, or at all.</w:t>
      </w:r>
    </w:p>
    <w:p>
      <w:pPr>
        <w:spacing w:after="0" w:line="18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we are not able to effectively expand our organization by hiring new employees and expanding our groups of consultants and contractors, we may not be able to successfully implement the tasks necessary to further develop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commercialize NC318, NC410 and any future product candidates we develop and, accordingly, may not achieve our research, development and commercialization goals.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marketing, sales and distribution capabilities for NC318, NC410 or any other product candidate that may receive regulatory approval, we may not be successful in commercializing those product candidates if and when they are approved.</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do not have sales or marketing infrastructure. To achieve commercial success for NC318, NC410 and any other product candidate for which we may obtain marketing approval, we will need to establish a sales and marketing organization. In the future, we expect to build a focused sales and marketing infrastructure to market some of our product candidates in the United States, if and when they are approved. There are risks involved with establishing our own marketing, sales and distribution capabilities.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Factors that may inhibit our efforts to market our products on our own include:</w:t>
      </w:r>
    </w:p>
    <w:p>
      <w:pPr>
        <w:spacing w:after="0" w:line="225" w:lineRule="exact"/>
        <w:rPr>
          <w:sz w:val="20"/>
          <w:szCs w:val="20"/>
          <w:color w:val="auto"/>
        </w:rPr>
      </w:pPr>
    </w:p>
    <w:p>
      <w:pPr>
        <w:ind w:left="980" w:hanging="329"/>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and marketing personnel;</w:t>
      </w:r>
    </w:p>
    <w:p>
      <w:pPr>
        <w:spacing w:after="0" w:line="225"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in order to educate physicians about our product candidates, once approved;</w:t>
      </w:r>
    </w:p>
    <w:p>
      <w:pPr>
        <w:spacing w:after="0" w:line="161"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161"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we are unable to establish our own marketing, sales and distribution capabilities and are forced to enter into arrangements with, and rely on, third parties to perform these services, our revenue and our profitability, if any, are likely to be lower than if we had developed such capabilities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establish marketing, sales and distribution capabilities successfully, either on our own or in collaboration with third parties, we will not be successful in commercializing our product candidates.</w:t>
      </w:r>
    </w:p>
    <w:p>
      <w:pPr>
        <w:spacing w:after="0" w:line="1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to limit commercialization of our product candidates.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human trials and may face greater risk if we commercialize any products that we develop. Product liability claims may be brought against us by subjects enrolled in our trials, patients, healthcare providers or others using, administering or selling our products. If we cannot successfully defend ourselves against such claims, we could incur substantial liabilities. Regardless of merit or eventual outcome, liability claims may result in:</w:t>
      </w:r>
    </w:p>
    <w:p>
      <w:pPr>
        <w:spacing w:after="0" w:line="184" w:lineRule="exact"/>
        <w:rPr>
          <w:sz w:val="20"/>
          <w:szCs w:val="20"/>
          <w:color w:val="auto"/>
        </w:rPr>
      </w:pPr>
    </w:p>
    <w:p>
      <w:pPr>
        <w:ind w:left="980" w:hanging="329"/>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 we may develop;</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trial participants;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clinical trial sites or entire trial programs;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5" w:lineRule="exact"/>
        <w:rPr>
          <w:sz w:val="20"/>
          <w:szCs w:val="20"/>
          <w:color w:val="auto"/>
        </w:rPr>
      </w:pPr>
    </w:p>
    <w:p>
      <w:pPr>
        <w:ind w:left="980" w:hanging="329"/>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time and costs to defend the related litigation;</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subjects or patients;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and scientific resources from our business operations; and</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 candidates that we may develop.</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While we currently hold trial liability insurance coverage consistent with industry standards, the amount of coverage may not adequately cover all liabilities that we may incur. We may not be able to maintain insurance coverage at a reasonable cost or in an amount adequate to satisfy any liability that may arise. We intend to expand our insurance coverage for products to include the sale of commercial products if we obtain marketing approval for our product candidates, but we may be unable to obtain commercially reasonable product liability insurance. A successful product liability claim or series of claims brought against us, particularly if judgments exceed our insurance coverage, could decrease our cash and adversely affect our business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to offset future taxable income may be subject to certain limitations.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incurred substantial losses during our history and do not expect to become profitable in the near future, and we may never achieve profitability. To the extent that we continue to generate taxable losses, unused losses will carry forward to offset future taxable income, if any, until such unused losses expire. As of June 30, 2019, we had federal and state net operating loss carryforwards of $43.5 million and $43 million, respectively. The federal and state net operating loss carryforwards will begin to expire, if not utilized, by 2036. Limitations imposed by the applicable jurisdictions on our ability to utilize net operating loss carryforwards could cause income taxes to be paid earlier than would be paid if such limitations were not in effect and could cause such net operating loss carryforwards to expire unused, in each case reducing or eliminating the benefit of such net operating loss carryforwards. Furthermore, we may not be able to generate sufficient taxable income to utilize our net operating loss carryforwards before they expire. If any of these events occur, we may not derive some or all of the expected benefits from our net operating loss carryforwards. In addition, we may experience ownership changes in the future as a result of subsequent shifts in our stock ownership, some of which may be outside of our control. As a result, even if we earn net taxable income, our ability to use our net operating loss and tax credit carryforwards may be materially limited, which could harm our future operating results by effectively increasing our future tax obligations.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 and you may not be able to sell your shares at or above a recently reported market price, or at all.</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Prior to the IPO, there was no public market for shares of our common stock. Although our common stock is listed on the Nasdaq Global Select Market, or Nasdaq, an active, liquid trading market for our shares may not be sustained. In the absence of an active trading market for our common stock, you may not be able to sell your common stock at or above a recently reported market price or at the time that you would like to sell.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 and fluctuate substantially.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stock price is likely to be volatile. The stock market in general, and the market for biopharmaceutical companies in particular, have experienced extreme volatility that has often been unrelated to the operating performance of particular companies. As a result of this volatility, you may not be able to sell your common stock at or above a recently reported price, or at all. The market price for our common stock may be influenced by many factors, including:</w:t>
      </w:r>
    </w:p>
    <w:p>
      <w:pPr>
        <w:spacing w:after="0" w:line="180" w:lineRule="exact"/>
        <w:rPr>
          <w:sz w:val="20"/>
          <w:szCs w:val="20"/>
          <w:color w:val="auto"/>
        </w:rPr>
      </w:pPr>
    </w:p>
    <w:p>
      <w:pPr>
        <w:ind w:left="980" w:hanging="329"/>
        <w:spacing w:after="0" w:line="282"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enrollment or results of our ongoing or future clinical trials, or changes in the development status of our product candidates;</w:t>
      </w:r>
    </w:p>
    <w:p>
      <w:pPr>
        <w:spacing w:after="0" w:line="161" w:lineRule="exact"/>
        <w:rPr>
          <w:rFonts w:ascii="Times New Roman" w:cs="Times New Roman" w:eastAsia="Times New Roman" w:hAnsi="Times New Roman"/>
          <w:sz w:val="18"/>
          <w:szCs w:val="18"/>
          <w:color w:val="auto"/>
        </w:rPr>
      </w:pPr>
    </w:p>
    <w:p>
      <w:pPr>
        <w:jc w:val="both"/>
        <w:ind w:left="980" w:hanging="329"/>
        <w:spacing w:after="0" w:line="266"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our regulatory filings for our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176"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or delays in clinical trials;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decision to initiate a clinical trial, not to initiate a clinical trial or to terminate an existing clinical trial;</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decisions, including failure to receive regulatory approval of our product candidates;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commercialize our product candidates;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serious safety concerns related to the use of our product candidates;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of our target markets;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 candidates or our competitors’ products or product candidates;</w:t>
      </w:r>
    </w:p>
    <w:p>
      <w:pPr>
        <w:spacing w:after="0" w:line="225"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collaborations, joint ventures, collaborations or capital commitments;</w:t>
      </w:r>
    </w:p>
    <w:p>
      <w:pPr>
        <w:spacing w:after="0" w:line="161"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 applicable to our product candidates, including but not limited to clinical trial requirements for approvals;</w:t>
      </w:r>
    </w:p>
    <w:p>
      <w:pPr>
        <w:spacing w:after="0" w:line="161"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adequate product supply for any approved product or inability to do so at acceptable prices;</w:t>
      </w:r>
    </w:p>
    <w:p>
      <w:pPr>
        <w:spacing w:after="0" w:line="161"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5" w:lineRule="exact"/>
        <w:rPr>
          <w:sz w:val="20"/>
          <w:szCs w:val="20"/>
          <w:color w:val="auto"/>
        </w:rPr>
      </w:pPr>
    </w:p>
    <w:p>
      <w:pPr>
        <w:ind w:left="980" w:hanging="329"/>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our product candidates or clinical development programs;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product candidates;</w:t>
      </w:r>
    </w:p>
    <w:p>
      <w:pPr>
        <w:spacing w:after="0" w:line="225"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 or publications of research reports about us or our industry;</w:t>
      </w:r>
    </w:p>
    <w:p>
      <w:pPr>
        <w:spacing w:after="0" w:line="161"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annual or quarterly financial results or those of companies that are perceived by investors to be similar to us;</w:t>
      </w:r>
    </w:p>
    <w:p>
      <w:pPr>
        <w:spacing w:after="0" w:line="161"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position;</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directors, officers or their affiliated funds or our other stockholders;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are beyond our control.</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the stock market in general, and Nasdaq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The realization of any of the above risks or any of a broad range of other risks, including those described in this “Risk Factors” section, could have a dramatic and material adverse impact on the market price of our common stock.</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or our business. As a newly public company, we have only limited coverage by equity research analysts. If additional analysts do not commence coverage of us, the trading price of our stock could decrease. In addition, if one or more of the analysts covering our business issue adverse reports about us or downgrade their evaluations of our stock, the price of our stock could decline. If one or more of these analysts cease to cover our stock or fail to publish reports on us regularly, we could lose visibility in the market for our stock, which, in turn, could cause our stock price to decline.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our existing stockholders sell, or indicate an intention to sell, substantial amounts of our common stock in the public market, the market price of our common stock could decline. As of June 30, 2019, we had outstanding a total of 22,714,765 shares of common stock.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All of our pre-IPO stockholders are subject to lock-up agreements that will expire on November 5, 2019, subject to earlier release of all or a portion of the shares subject to such agreements by Morgan Stanley &amp; Co. LLC, Merrill Lynch, Pierce, Fenner &amp; Smith Incorporated and Piper Jaffray &amp; Co. in their joint discretion, on behalf of the underwriters in our IPO. After the lock-up agreements expire, substantially all of the shares of common stock outstanding prior to our IPO will be eligible for sale in the public market, subject to the applicable volume, manner of sale and other limitations imposed under the federal securities laws.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registered on Registration Statements on Form S-8 5,167,502 shares of common stock that were either subject to outstanding options or reserved for future issuance under our existing equity incentive plans as of May 13, 2019, and as a result these shares will become eligible for sale in the public market to the extent permitted by the provisions of various vesting schedules and the lock-up agreements. If these additional shares of common stock are sold, or if it is perceived that they will be sold, in the public market, the market price of our common stock could decline.</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the holders of 15,560,569 shares, or approximately 68.5%, of our common stock outstanding as of June 30, 2019 are entitled to rights with respect to the registration of their shares under the Securities Act, subject to the lock-up agreements described above.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market price of our common stock.</w:t>
      </w:r>
    </w:p>
    <w:p>
      <w:pPr>
        <w:spacing w:after="0" w:line="1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may delay or prevent an acquisition of us or a change in our management. For example, our board of directors has the authority to issue up to 10,000,000 shares of preferred stock. The board of directors can fix the price, rights, preferences, privileges and restrictions of the preferred stock without any further vote or action by our stockholders. The issuance of shares of preferred stock may delay or prevent a change of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These provisions also include a classified board of directors, a prohibition on actions by written consent of our stockholders and the ability of our board of directors to issue preferred stock without stockholder approval. 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acquirers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their affiliates exercise significant influence over our company, which limits your ability to influence corporate matters and could delay or prevent a change in corporate control.</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executive officers, directors and current beneficial owners of 5% or more of our common stock and their respective affiliates beneficially own, in the aggregate, a majority of our outstanding common stock. As a result, these stockholders, if they act together, will be able to influence our management and affairs and the outcome of matters submitted to our stockholders for approval, including the election of directors and any sale, merger, consolidation or sale of all or substantially all of our assets. This concentration of ownership might adversely affect the market price of our common stock by:</w:t>
      </w:r>
    </w:p>
    <w:p>
      <w:pPr>
        <w:spacing w:after="0" w:line="188" w:lineRule="exact"/>
        <w:rPr>
          <w:sz w:val="20"/>
          <w:szCs w:val="20"/>
          <w:color w:val="auto"/>
        </w:rPr>
      </w:pPr>
    </w:p>
    <w:p>
      <w:pPr>
        <w:ind w:left="980" w:hanging="329"/>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deferring or preventing a change of control of us;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4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5" w:lineRule="exact"/>
        <w:rPr>
          <w:sz w:val="20"/>
          <w:szCs w:val="20"/>
          <w:color w:val="auto"/>
        </w:rPr>
      </w:pPr>
    </w:p>
    <w:p>
      <w:pPr>
        <w:ind w:left="980" w:hanging="329"/>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impeding a merger, consolidation, takeover or other business combination involving us; or</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discouraging a potential acquirer from making a tender offer or otherwise attempting to obtain control of us.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nonbinding advisory votes on executive compensation and stockholder approval of any golden parachute payments not previously approved. We will remain an emerging growth company until the earliest of (i) December 31, 2024, (ii) the last day of the first fiscal year in which we have total annual gross revenues of at least $1.07 billion, (iii) the last day of the first fiscal year in which the market value of our common stock that is held by non-affiliates exceeds $700.0 million on June 30th and</w:t>
      </w:r>
    </w:p>
    <w:p>
      <w:pPr>
        <w:spacing w:after="0" w:line="7" w:lineRule="exact"/>
        <w:rPr>
          <w:sz w:val="20"/>
          <w:szCs w:val="20"/>
          <w:color w:val="auto"/>
        </w:rPr>
      </w:pPr>
    </w:p>
    <w:p>
      <w:pPr>
        <w:jc w:val="both"/>
        <w:ind w:firstLine="3"/>
        <w:spacing w:after="0" w:line="254" w:lineRule="auto"/>
        <w:tabs>
          <w:tab w:leader="none" w:pos="32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more than $1.0 billion in non-convertible debt securities during the prior three-year period.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have elected to take advantage of this extended transition period to enable us to comply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Pursuant to Section 404 of the Sarbanes-Oxley Act, our management will be required to report upon the effectiveness of our internal control over financial reporting beginning with the annual report for our fiscal year ending December 31, 2020. When we lose our status as an “emerging growth company,”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will need to implement additional financial and management controls, reporting systems and procedures and hire additional accounting and finance staff.</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cannot assure you that there will not be material weaknesses or significant deficiencies in our internal control over financial reporting in the future. Our independent registered public accounting firm will not be required to provide an attestation report on the effectiveness of our internal control over financial reporting so long as we qualify as an “emerging growth company,” which may increase the risk that material weaknesses or significant deficiencies in our internal control over financial reporting go undetected.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maintain other effective control systems required of public companies, could also restrict our future access to the capital markets.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so any returns will be limited to the value of our stock.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significantly increased costs as a result of operating as a public company, and our management will be required to devote substantial time to new compliance initiatives.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a public company, and particularly after we are no longer an emerging growth company, we have incurred and expect to continue to incur significant legal, accounting, investor relations and other expenses that we did not incur as a private company, which we anticipate could be between $2.0 million and $3.0 million annually. The Sarbanes-Oxley Act, the Dodd-Frank Wall Street Reform and Consumer Protection Act, the listing requirements of Nasdaq and other applicable securities rules and regulations impose various requirements on public companies, including establishment and maintenance of effective disclosure and financial controls and corporate governance practices. Our management and other personnel devote a substantial amount of time to these compliance initiatives. Moreover, we expect these rules and regulations to substantially increase our legal and financial compliance costs and to make some activities more time consuming and costly. For example, we expect that these rules and regulations may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designate the Court of Chancery of the State of Delaware or the United States District Court for the District of Delaware as the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amended and restated bylaws provide that, unless we consent in writing to an alternative forum, the Court of Chancery of the State of Delaware or, if subject matter jurisdiction over the matter that is the subject of such action is vested exclusively in the federal courts, the United States District Court for the District of Delaware will, to the fullest extent permitted by law, be the sole and exclusive forum for (i) any derivative action or proceeding brought on our behalf, (ii) any action asserting a claim of breach of a fiduciary duty owed by any of our current or former directors, officers and employees,</w:t>
      </w:r>
    </w:p>
    <w:p>
      <w:pPr>
        <w:spacing w:after="0" w:line="3" w:lineRule="exact"/>
        <w:rPr>
          <w:sz w:val="20"/>
          <w:szCs w:val="20"/>
          <w:color w:val="auto"/>
        </w:rPr>
      </w:pPr>
    </w:p>
    <w:p>
      <w:pPr>
        <w:jc w:val="both"/>
        <w:ind w:firstLine="3"/>
        <w:spacing w:after="0" w:line="252" w:lineRule="auto"/>
        <w:tabs>
          <w:tab w:leader="none" w:pos="3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arising pursuant to any provision of the Delaware General Corporation Law, our certificate of incorporation or our bylaws, (iv) any action or proceeding to interpret, apply, enforce or determine the validity of our certificate of incorporation or the bylaws or (v) any action asserting a claim that is governed by the internal affairs doctrine, in each case subject to the Court of Chancery or the United States District Court for the District of Delaware, as applicable, having personal jurisdiction over the indispensable parties named as defendants therein. In addition, any person holding, owning or otherwise acquiring any interest in any of our securities shall be deemed to have notice of and to have consented to this provision of our bylaws. The choice of forum provision does not apply to 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actions arising under the Securities Act or the Exchange Act. These choice of forum provisions may limit a stockholder’s ability to bring a claim in a judicial forum that it finds favorable for disputes with us or our directors, officers or employees, which may discourage such lawsuits against us and our directors, officers and employees even though an action, if successful, might benefit our stockholders. Stockholders who do bring a claim in the Court of Chancery or the United States District Court for the District of Delaware could face additional litigation costs in pursuing any such claim, particularly if they do not reside in or near the jurisdiction. The Court of Chancery or the United States District Court for the District of Delaware may also reach different judgments or results than would other courts, including courts where a stockholder considering an action may be located or would otherwise choose to bring the action, and such judgments or results may be more favorable to us than to our stockholders. Alternatively, if a court were to find this provision of our amended and restated bylaws inapplicable to, or unenforceable in respect of, one or more of the specified types of actions or proceedings, we may incur additional costs, which could have a material adverse effect on our business, financial condition or results of operations.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May 13, 2019, we closed our IPO pursuant to which we issued and sold 5,750,000 shares of common stock at a public offering price of $15.00 per share for aggregate gross proceeds of $86.3 million. The offer and sale of the shares was made pursuant to a registration statement on Form S-1 (File No. 333-230837) that the SEC declared effective on May 9, 2019. Morgan Stanley &amp; Co. LLC, Merrill Lynch, Pierce, Fenner &amp; Smith Incorporated and Piper Jaffray &amp; Co. acted as joint book-running managers of the IPO. The net offering proceeds to us were approximately $77.0 million after deducting underwriting discounts and commissions of $6.0 million and offering expenses of approximately $3.4 million. During the period from the closing of our IPO on May 13, 2019 through June 30, 2019, $0.5 million of the net proceeds from the IPO have been used for payment to Yale University in connection with the closing of the IPO, and the reminder has been invested in temporary investments pending other uses.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None of the offering expenses or net proceeds were paid directly or indirectly to any of our directors or officers (or their associates) or persons owning ten percent or more of any class of our equity securities or to any other affiliates. There has been no material change in the planned use of proceeds from our IPO from those disclosed in the Prospectus.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6600"/>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exhibits filed or furnished as part of this Quarterly Report are set forth on the Exhibit Index, below.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gridSpan w:val="2"/>
          </w:tcPr>
          <w:p>
            <w:pPr>
              <w:spacing w:after="0"/>
              <w:rPr>
                <w:rFonts w:ascii="Times New Roman" w:cs="Times New Roman" w:eastAsia="Times New Roman" w:hAnsi="Times New Roman"/>
                <w:sz w:val="18"/>
                <w:szCs w:val="18"/>
                <w:color w:val="0563C1"/>
                <w:w w:val="97"/>
              </w:rPr>
            </w:pPr>
            <w:hyperlink w:anchor="page2">
              <w:r>
                <w:rPr>
                  <w:rFonts w:ascii="Times New Roman" w:cs="Times New Roman" w:eastAsia="Times New Roman" w:hAnsi="Times New Roman"/>
                  <w:sz w:val="18"/>
                  <w:szCs w:val="18"/>
                  <w:color w:val="0563C1"/>
                  <w:w w:val="97"/>
                </w:rPr>
                <w:t>Table of Contents</w:t>
              </w:r>
            </w:hyperlink>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53"/>
        </w:trPr>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60" w:type="dxa"/>
            <w:vAlign w:val="bottom"/>
            <w:gridSpan w:val="9"/>
          </w:tcPr>
          <w:p>
            <w:pPr>
              <w:jc w:val="center"/>
              <w:ind w:right="31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05"/>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180" w:type="dxa"/>
            <w:vAlign w:val="bottom"/>
          </w:tcPr>
          <w:p>
            <w:pPr>
              <w:spacing w:after="0"/>
              <w:rPr>
                <w:sz w:val="24"/>
                <w:szCs w:val="24"/>
                <w:color w:val="auto"/>
              </w:rPr>
            </w:pPr>
          </w:p>
        </w:tc>
        <w:tc>
          <w:tcPr>
            <w:tcW w:w="76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Exhibit Description</w:t>
            </w:r>
          </w:p>
        </w:tc>
      </w:tr>
      <w:tr>
        <w:trPr>
          <w:trHeight w:val="20"/>
        </w:trPr>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Amended and Restated Certificate of Incorporation (incorporated by reference to Exhibit 3.1 filed with</w:t>
              </w:r>
            </w:hyperlink>
          </w:p>
        </w:tc>
      </w:tr>
      <w:tr>
        <w:trPr>
          <w:trHeight w:val="19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0" w:type="dxa"/>
            <w:vAlign w:val="bottom"/>
            <w:gridSpan w:val="12"/>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Registrant’s Current Report on 8-K filed with the Commission on May 13, 2019 (File No. 001-38905)).</w:t>
              </w:r>
            </w:hyperlink>
          </w:p>
        </w:tc>
      </w:tr>
      <w:tr>
        <w:trPr>
          <w:trHeight w:val="20"/>
        </w:trPr>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Amended and Restated Bylaws (incorporated by reference to Exhibit 3.2 filed with Registrant’s Current</w:t>
              </w:r>
            </w:hyperlink>
          </w:p>
        </w:tc>
      </w:tr>
      <w:tr>
        <w:trPr>
          <w:trHeight w:val="19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0" w:type="dxa"/>
            <w:vAlign w:val="bottom"/>
            <w:gridSpan w:val="12"/>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Report on 8-K filed with the Commission on May 13, 2019 (File No. 001-38905)).</w:t>
              </w:r>
            </w:hyperlink>
          </w:p>
        </w:tc>
      </w:tr>
      <w:tr>
        <w:trPr>
          <w:trHeight w:val="20"/>
        </w:trPr>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Form of Indemnification Agreement by and between the Company and each of its directors and</w:t>
              </w:r>
            </w:hyperlink>
          </w:p>
        </w:tc>
      </w:tr>
      <w:tr>
        <w:trPr>
          <w:trHeight w:val="19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executive officers (incorporated by reference to Exhibit 10.5 filed with Registrant’s Registration</w:t>
              </w:r>
            </w:hyperlink>
          </w:p>
        </w:tc>
      </w:tr>
      <w:tr>
        <w:trPr>
          <w:trHeight w:val="19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7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Statement on Form S-1 filed with the Commission on April 12, 2019 (File No. 333-230837)).</w:t>
              </w:r>
            </w:hyperlink>
          </w:p>
        </w:tc>
        <w:tc>
          <w:tcPr>
            <w:tcW w:w="860" w:type="dxa"/>
            <w:vAlign w:val="bottom"/>
            <w:gridSpan w:val="3"/>
          </w:tcPr>
          <w:p>
            <w:pPr>
              <w:spacing w:after="0"/>
              <w:rPr>
                <w:sz w:val="17"/>
                <w:szCs w:val="17"/>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NextCure, Inc. 2019 Omnibus Incentive Plan (incorporated by reference to Exhibit 10.8 filed with</w:t>
              </w:r>
            </w:hyperlink>
          </w:p>
        </w:tc>
      </w:tr>
      <w:tr>
        <w:trPr>
          <w:trHeight w:val="19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Registrant’s Registration Statement on Form S-1/A filed with the Commission on April 29, 2019 (File</w:t>
              </w:r>
            </w:hyperlink>
          </w:p>
        </w:tc>
      </w:tr>
      <w:tr>
        <w:trPr>
          <w:trHeight w:val="19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0" w:type="dxa"/>
            <w:vAlign w:val="bottom"/>
            <w:gridSpan w:val="12"/>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No. 333-230837)).</w:t>
              </w:r>
            </w:hyperlink>
          </w:p>
        </w:tc>
      </w:tr>
      <w:tr>
        <w:trPr>
          <w:trHeight w:val="20"/>
        </w:trPr>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Forms of Stock Option Agreement under the NextCure, Inc. 2019 Omnibus Incentive Plan (incorporated</w:t>
              </w:r>
            </w:hyperlink>
          </w:p>
        </w:tc>
      </w:tr>
      <w:tr>
        <w:trPr>
          <w:trHeight w:val="19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by reference to Exhibit 10.9 filed with Registrant’s Registration Statement on Form S-1/A filed with the</w:t>
              </w:r>
            </w:hyperlink>
          </w:p>
        </w:tc>
      </w:tr>
      <w:tr>
        <w:trPr>
          <w:trHeight w:val="19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Commission on April 29, 2019 (File No. 333-230837)).</w:t>
              </w:r>
            </w:hyperlink>
          </w:p>
        </w:tc>
        <w:tc>
          <w:tcPr>
            <w:tcW w:w="3580" w:type="dxa"/>
            <w:vAlign w:val="bottom"/>
            <w:gridSpan w:val="8"/>
          </w:tcPr>
          <w:p>
            <w:pPr>
              <w:spacing w:after="0"/>
              <w:rPr>
                <w:sz w:val="17"/>
                <w:szCs w:val="17"/>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Form  of  Restricted  Stock  Agreement  under  the  NextCure,  Inc.  2019  Omnibus  Incentive  Plan</w:t>
              </w:r>
            </w:hyperlink>
          </w:p>
        </w:tc>
      </w:tr>
      <w:tr>
        <w:trPr>
          <w:trHeight w:val="19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(incorporated by reference to Exhibit 10.10 filed with Registrant’s Registration Statement on Form S-1/A</w:t>
              </w:r>
            </w:hyperlink>
          </w:p>
        </w:tc>
      </w:tr>
      <w:tr>
        <w:trPr>
          <w:trHeight w:val="19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filed with the Commission on April 29, 2019 (File No. 333-230837)).</w:t>
              </w:r>
            </w:hyperlink>
          </w:p>
        </w:tc>
        <w:tc>
          <w:tcPr>
            <w:tcW w:w="2580" w:type="dxa"/>
            <w:vAlign w:val="bottom"/>
            <w:gridSpan w:val="6"/>
          </w:tcPr>
          <w:p>
            <w:pPr>
              <w:spacing w:after="0"/>
              <w:rPr>
                <w:sz w:val="17"/>
                <w:szCs w:val="17"/>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Form of Restricted Stock Unit Agreement under the NextCure, Inc. 2019 Omnibus Incentive Plan</w:t>
              </w:r>
            </w:hyperlink>
          </w:p>
        </w:tc>
      </w:tr>
      <w:tr>
        <w:trPr>
          <w:trHeight w:val="19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(incorporated by reference to Exhibit 10.11 filed with Registrant’s Registration Statement on Form S-1/A</w:t>
              </w:r>
            </w:hyperlink>
          </w:p>
        </w:tc>
      </w:tr>
      <w:tr>
        <w:trPr>
          <w:trHeight w:val="19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filed with the Commission on April 29, 2019 (File No. 333-230837)).</w:t>
              </w:r>
            </w:hyperlink>
          </w:p>
        </w:tc>
        <w:tc>
          <w:tcPr>
            <w:tcW w:w="2580" w:type="dxa"/>
            <w:vAlign w:val="bottom"/>
            <w:gridSpan w:val="6"/>
          </w:tcPr>
          <w:p>
            <w:pPr>
              <w:spacing w:after="0"/>
              <w:rPr>
                <w:sz w:val="17"/>
                <w:szCs w:val="17"/>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NextCure, Inc. 2019 Employee Stock Purchase Plan (incorporated by reference to Exhibit 10.12 filed</w:t>
              </w:r>
            </w:hyperlink>
          </w:p>
        </w:tc>
      </w:tr>
      <w:tr>
        <w:trPr>
          <w:trHeight w:val="19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with Registrant’s Registration Statement on Form S-1/A filed with the Commission on April 29, 2019</w:t>
              </w:r>
            </w:hyperlink>
          </w:p>
        </w:tc>
      </w:tr>
      <w:tr>
        <w:trPr>
          <w:trHeight w:val="19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(File No. 333-230837)).</w:t>
              </w:r>
            </w:hyperlink>
          </w:p>
        </w:tc>
        <w:tc>
          <w:tcPr>
            <w:tcW w:w="5860" w:type="dxa"/>
            <w:vAlign w:val="bottom"/>
            <w:gridSpan w:val="9"/>
          </w:tcPr>
          <w:p>
            <w:pPr>
              <w:spacing w:after="0"/>
              <w:rPr>
                <w:sz w:val="17"/>
                <w:szCs w:val="17"/>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Non-Employee Director Compensation Program (incorporated by reference to Exhibit 10.13 filed with</w:t>
              </w:r>
            </w:hyperlink>
          </w:p>
        </w:tc>
      </w:tr>
      <w:tr>
        <w:trPr>
          <w:trHeight w:val="19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Registrant’s Registration Statement on Form S-1/A filed with the Commission on April 29, 2019 (File</w:t>
              </w:r>
            </w:hyperlink>
          </w:p>
        </w:tc>
      </w:tr>
      <w:tr>
        <w:trPr>
          <w:trHeight w:val="19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0" w:type="dxa"/>
            <w:vAlign w:val="bottom"/>
            <w:gridSpan w:val="12"/>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No. 333-230837)).</w:t>
              </w:r>
            </w:hyperlink>
          </w:p>
        </w:tc>
      </w:tr>
      <w:tr>
        <w:trPr>
          <w:trHeight w:val="20"/>
        </w:trPr>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Certification of Michael Richman pursuant to Rule 13a-14(a) under the Securities Exchange Act of 1934</w:t>
              </w:r>
            </w:hyperlink>
          </w:p>
        </w:tc>
      </w:tr>
      <w:tr>
        <w:trPr>
          <w:trHeight w:val="19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0" w:type="dxa"/>
            <w:vAlign w:val="bottom"/>
            <w:gridSpan w:val="12"/>
          </w:tcPr>
          <w:p>
            <w:pPr>
              <w:spacing w:after="0" w:line="196" w:lineRule="exact"/>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as adopted pursuant to Section 302 of the Sarbanes-Oxley Act of 2002.</w:t>
              </w:r>
            </w:hyperlink>
          </w:p>
        </w:tc>
      </w:tr>
      <w:tr>
        <w:trPr>
          <w:trHeight w:val="20"/>
        </w:trPr>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20" w:type="dxa"/>
            <w:vAlign w:val="bottom"/>
            <w:gridSpan w:val="5"/>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77">
              <w:r>
                <w:rPr>
                  <w:rFonts w:ascii="Times New Roman" w:cs="Times New Roman" w:eastAsia="Times New Roman" w:hAnsi="Times New Roman"/>
                  <w:sz w:val="18"/>
                  <w:szCs w:val="18"/>
                  <w:color w:val="0000EE"/>
                  <w:w w:val="99"/>
                </w:rPr>
                <w:t>Certification of Steven P. Cobourn pursuant to Rule 13a-14(a) under the Securities Exchange Act of 1934</w:t>
              </w:r>
            </w:hyperlink>
          </w:p>
        </w:tc>
      </w:tr>
      <w:tr>
        <w:trPr>
          <w:trHeight w:val="19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0" w:type="dxa"/>
            <w:vAlign w:val="bottom"/>
            <w:gridSpan w:val="12"/>
          </w:tcPr>
          <w:p>
            <w:pPr>
              <w:spacing w:after="0" w:line="196" w:lineRule="exact"/>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as adopted pursuant to Section 302 of the Sarbanes-Oxley Act of 2002.</w:t>
              </w:r>
            </w:hyperlink>
          </w:p>
        </w:tc>
      </w:tr>
      <w:tr>
        <w:trPr>
          <w:trHeight w:val="20"/>
        </w:trPr>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20" w:type="dxa"/>
            <w:vAlign w:val="bottom"/>
            <w:gridSpan w:val="5"/>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0" w:type="dxa"/>
            <w:vAlign w:val="bottom"/>
            <w:gridSpan w:val="12"/>
          </w:tcPr>
          <w:p>
            <w:pPr>
              <w:spacing w:after="0"/>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Certification of Michael Richman and Steven P. Cobourn pursuant to 18 U.S.C. Section 1350 as adopted</w:t>
              </w:r>
            </w:hyperlink>
          </w:p>
        </w:tc>
      </w:tr>
      <w:tr>
        <w:trPr>
          <w:trHeight w:val="19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78">
              <w:r>
                <w:rPr>
                  <w:rFonts w:ascii="Times New Roman" w:cs="Times New Roman" w:eastAsia="Times New Roman" w:hAnsi="Times New Roman"/>
                  <w:sz w:val="18"/>
                  <w:szCs w:val="18"/>
                  <w:color w:val="0000EE"/>
                  <w:w w:val="99"/>
                </w:rPr>
                <w:t>pursuant to Section 906 of the Sarbanes-Oxley Act of 2002.</w:t>
              </w:r>
            </w:hyperlink>
          </w:p>
        </w:tc>
        <w:tc>
          <w:tcPr>
            <w:tcW w:w="3200" w:type="dxa"/>
            <w:vAlign w:val="bottom"/>
            <w:tcBorders>
              <w:top w:val="single" w:sz="8" w:color="0000EE"/>
            </w:tcBorders>
            <w:gridSpan w:val="6"/>
          </w:tcPr>
          <w:p>
            <w:pPr>
              <w:spacing w:after="0"/>
              <w:rPr>
                <w:sz w:val="17"/>
                <w:szCs w:val="17"/>
                <w:color w:val="auto"/>
              </w:rPr>
            </w:pPr>
          </w:p>
        </w:tc>
        <w:tc>
          <w:tcPr>
            <w:tcW w:w="80" w:type="dxa"/>
            <w:vAlign w:val="bottom"/>
          </w:tcPr>
          <w:p>
            <w:pPr>
              <w:spacing w:after="0"/>
              <w:rPr>
                <w:sz w:val="17"/>
                <w:szCs w:val="17"/>
                <w:color w:val="auto"/>
              </w:rPr>
            </w:pPr>
          </w:p>
        </w:tc>
      </w:tr>
      <w:tr>
        <w:trPr>
          <w:trHeight w:val="453"/>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EX-101.INS</w:t>
            </w:r>
          </w:p>
        </w:tc>
        <w:tc>
          <w:tcPr>
            <w:tcW w:w="180" w:type="dxa"/>
            <w:vAlign w:val="bottom"/>
          </w:tcPr>
          <w:p>
            <w:pPr>
              <w:spacing w:after="0"/>
              <w:rPr>
                <w:sz w:val="24"/>
                <w:szCs w:val="24"/>
                <w:color w:val="auto"/>
              </w:rPr>
            </w:pPr>
          </w:p>
        </w:tc>
        <w:tc>
          <w:tcPr>
            <w:tcW w:w="76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32"/>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EX-101.SCH</w:t>
            </w:r>
          </w:p>
        </w:tc>
        <w:tc>
          <w:tcPr>
            <w:tcW w:w="180" w:type="dxa"/>
            <w:vAlign w:val="bottom"/>
          </w:tcPr>
          <w:p>
            <w:pPr>
              <w:spacing w:after="0"/>
              <w:rPr>
                <w:sz w:val="24"/>
                <w:szCs w:val="24"/>
                <w:color w:val="auto"/>
              </w:rPr>
            </w:pPr>
          </w:p>
        </w:tc>
        <w:tc>
          <w:tcPr>
            <w:tcW w:w="76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32"/>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EX-101.CAL</w:t>
            </w:r>
          </w:p>
        </w:tc>
        <w:tc>
          <w:tcPr>
            <w:tcW w:w="180" w:type="dxa"/>
            <w:vAlign w:val="bottom"/>
          </w:tcPr>
          <w:p>
            <w:pPr>
              <w:spacing w:after="0"/>
              <w:rPr>
                <w:sz w:val="24"/>
                <w:szCs w:val="24"/>
                <w:color w:val="auto"/>
              </w:rPr>
            </w:pPr>
          </w:p>
        </w:tc>
        <w:tc>
          <w:tcPr>
            <w:tcW w:w="76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32"/>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EX-101.DEF</w:t>
            </w:r>
          </w:p>
        </w:tc>
        <w:tc>
          <w:tcPr>
            <w:tcW w:w="180" w:type="dxa"/>
            <w:vAlign w:val="bottom"/>
          </w:tcPr>
          <w:p>
            <w:pPr>
              <w:spacing w:after="0"/>
              <w:rPr>
                <w:sz w:val="24"/>
                <w:szCs w:val="24"/>
                <w:color w:val="auto"/>
              </w:rPr>
            </w:pPr>
          </w:p>
        </w:tc>
        <w:tc>
          <w:tcPr>
            <w:tcW w:w="76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648"/>
        </w:trPr>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0" w:type="dxa"/>
            <w:vAlign w:val="bottom"/>
            <w:gridSpan w:val="5"/>
          </w:tcPr>
          <w:p>
            <w:pPr>
              <w:jc w:val="right"/>
              <w:ind w:right="770"/>
              <w:spacing w:after="0"/>
              <w:rPr>
                <w:sz w:val="20"/>
                <w:szCs w:val="20"/>
                <w:color w:val="auto"/>
              </w:rPr>
            </w:pPr>
            <w:r>
              <w:rPr>
                <w:rFonts w:ascii="Times New Roman" w:cs="Times New Roman" w:eastAsia="Times New Roman" w:hAnsi="Times New Roman"/>
                <w:sz w:val="18"/>
                <w:szCs w:val="18"/>
                <w:color w:val="auto"/>
              </w:rPr>
              <w:t>71</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61"/>
        </w:trPr>
        <w:tc>
          <w:tcPr>
            <w:tcW w:w="8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08" w:right="1419"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color w:val="auto"/>
        </w:rPr>
        <w:t>EX-101.LAB</w:t>
      </w:r>
      <w:r>
        <w:rPr>
          <w:sz w:val="20"/>
          <w:szCs w:val="20"/>
          <w:color w:val="auto"/>
        </w:rPr>
        <w:tab/>
      </w:r>
      <w:r>
        <w:rPr>
          <w:rFonts w:ascii="Times New Roman" w:cs="Times New Roman" w:eastAsia="Times New Roman" w:hAnsi="Times New Roman"/>
          <w:sz w:val="17"/>
          <w:szCs w:val="17"/>
          <w:color w:val="auto"/>
        </w:rPr>
        <w:t>XBRL Taxonomy Extension Label Linkbase Document</w:t>
      </w:r>
    </w:p>
    <w:p>
      <w:pPr>
        <w:spacing w:after="0" w:line="225"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color w:val="auto"/>
        </w:rPr>
        <w:t>EX-101.PRE</w:t>
      </w:r>
      <w:r>
        <w:rPr>
          <w:sz w:val="20"/>
          <w:szCs w:val="20"/>
          <w:color w:val="auto"/>
        </w:rPr>
        <w:tab/>
      </w:r>
      <w:r>
        <w:rPr>
          <w:rFonts w:ascii="Times New Roman" w:cs="Times New Roman" w:eastAsia="Times New Roman" w:hAnsi="Times New Roman"/>
          <w:sz w:val="17"/>
          <w:szCs w:val="17"/>
          <w:color w:val="auto"/>
        </w:rPr>
        <w:t>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144081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8">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19" w:lineRule="exact"/>
        <w:rPr>
          <w:sz w:val="20"/>
          <w:szCs w:val="20"/>
          <w:color w:val="auto"/>
        </w:rPr>
      </w:pPr>
    </w:p>
    <w:p>
      <w:pPr>
        <w:ind w:left="760" w:hanging="757"/>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40" w:lineRule="exact"/>
        <w:rPr>
          <w:rFonts w:ascii="Times New Roman" w:cs="Times New Roman" w:eastAsia="Times New Roman" w:hAnsi="Times New Roman"/>
          <w:sz w:val="18"/>
          <w:szCs w:val="18"/>
          <w:color w:val="auto"/>
        </w:rPr>
      </w:pPr>
    </w:p>
    <w:p>
      <w:pPr>
        <w:ind w:left="4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74" w:name="page75"/>
    <w:bookmarkEnd w:id="7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60" w:type="dxa"/>
            <w:vAlign w:val="bottom"/>
          </w:tcPr>
          <w:p>
            <w:pPr>
              <w:spacing w:after="0"/>
              <w:rPr>
                <w:sz w:val="20"/>
                <w:szCs w:val="20"/>
                <w:color w:val="auto"/>
              </w:rPr>
            </w:pPr>
          </w:p>
        </w:tc>
        <w:tc>
          <w:tcPr>
            <w:tcW w:w="6000" w:type="dxa"/>
            <w:vAlign w:val="bottom"/>
            <w:gridSpan w:val="2"/>
          </w:tcPr>
          <w:p>
            <w:pPr>
              <w:ind w:left="1520"/>
              <w:spacing w:after="0"/>
              <w:rPr>
                <w:sz w:val="20"/>
                <w:szCs w:val="20"/>
                <w:color w:val="auto"/>
              </w:rPr>
            </w:pPr>
            <w:r>
              <w:rPr>
                <w:rFonts w:ascii="Times New Roman" w:cs="Times New Roman" w:eastAsia="Times New Roman" w:hAnsi="Times New Roman"/>
                <w:sz w:val="18"/>
                <w:szCs w:val="18"/>
                <w:b w:val="1"/>
                <w:bCs w:val="1"/>
                <w:color w:val="auto"/>
              </w:rPr>
              <w:t>NEXTCURE, INC.</w:t>
            </w:r>
          </w:p>
        </w:tc>
      </w:tr>
      <w:tr>
        <w:trPr>
          <w:trHeight w:val="365"/>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12, 2019</w:t>
            </w:r>
          </w:p>
        </w:tc>
        <w:tc>
          <w:tcPr>
            <w:tcW w:w="216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Richman</w:t>
            </w:r>
          </w:p>
        </w:tc>
      </w:tr>
      <w:tr>
        <w:trPr>
          <w:trHeight w:val="178"/>
        </w:trPr>
        <w:tc>
          <w:tcPr>
            <w:tcW w:w="3060" w:type="dxa"/>
            <w:vAlign w:val="bottom"/>
          </w:tcPr>
          <w:p>
            <w:pPr>
              <w:spacing w:after="0"/>
              <w:rPr>
                <w:sz w:val="15"/>
                <w:szCs w:val="15"/>
                <w:color w:val="auto"/>
              </w:rPr>
            </w:pPr>
          </w:p>
        </w:tc>
        <w:tc>
          <w:tcPr>
            <w:tcW w:w="2160" w:type="dxa"/>
            <w:vAlign w:val="bottom"/>
          </w:tcPr>
          <w:p>
            <w:pPr>
              <w:ind w:left="1520"/>
              <w:spacing w:after="0" w:line="178"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Michael Richman</w:t>
            </w:r>
          </w:p>
        </w:tc>
      </w:tr>
      <w:tr>
        <w:trPr>
          <w:trHeight w:val="234"/>
        </w:trPr>
        <w:tc>
          <w:tcPr>
            <w:tcW w:w="30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19"/>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12, 2019</w:t>
            </w:r>
          </w:p>
        </w:tc>
        <w:tc>
          <w:tcPr>
            <w:tcW w:w="216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P. Cobourn</w:t>
            </w:r>
          </w:p>
        </w:tc>
      </w:tr>
      <w:tr>
        <w:trPr>
          <w:trHeight w:val="178"/>
        </w:trPr>
        <w:tc>
          <w:tcPr>
            <w:tcW w:w="3060" w:type="dxa"/>
            <w:vAlign w:val="bottom"/>
          </w:tcPr>
          <w:p>
            <w:pPr>
              <w:spacing w:after="0"/>
              <w:rPr>
                <w:sz w:val="15"/>
                <w:szCs w:val="15"/>
                <w:color w:val="auto"/>
              </w:rPr>
            </w:pPr>
          </w:p>
        </w:tc>
        <w:tc>
          <w:tcPr>
            <w:tcW w:w="2160" w:type="dxa"/>
            <w:vAlign w:val="bottom"/>
          </w:tcPr>
          <w:p>
            <w:pPr>
              <w:ind w:left="1520"/>
              <w:spacing w:after="0" w:line="178"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Steven P. Cobourn</w:t>
            </w:r>
          </w:p>
        </w:tc>
      </w:tr>
      <w:tr>
        <w:trPr>
          <w:trHeight w:val="234"/>
        </w:trPr>
        <w:tc>
          <w:tcPr>
            <w:tcW w:w="30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851"/>
        </w:trPr>
        <w:tc>
          <w:tcPr>
            <w:tcW w:w="3060" w:type="dxa"/>
            <w:vAlign w:val="bottom"/>
          </w:tcPr>
          <w:p>
            <w:pPr>
              <w:spacing w:after="0"/>
              <w:rPr>
                <w:sz w:val="24"/>
                <w:szCs w:val="24"/>
                <w:color w:val="auto"/>
              </w:rPr>
            </w:pPr>
          </w:p>
        </w:tc>
        <w:tc>
          <w:tcPr>
            <w:tcW w:w="216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73</w:t>
            </w:r>
          </w:p>
        </w:tc>
        <w:tc>
          <w:tcPr>
            <w:tcW w:w="3840" w:type="dxa"/>
            <w:vAlign w:val="bottom"/>
          </w:tcPr>
          <w:p>
            <w:pPr>
              <w:spacing w:after="0"/>
              <w:rPr>
                <w:sz w:val="24"/>
                <w:szCs w:val="24"/>
                <w:color w:val="auto"/>
              </w:rPr>
            </w:pPr>
          </w:p>
        </w:tc>
      </w:tr>
      <w:tr>
        <w:trPr>
          <w:trHeight w:val="561"/>
        </w:trPr>
        <w:tc>
          <w:tcPr>
            <w:tcW w:w="30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Richman, certify that:</w:t>
      </w:r>
    </w:p>
    <w:p>
      <w:pPr>
        <w:spacing w:after="0" w:line="225" w:lineRule="exact"/>
        <w:rPr>
          <w:sz w:val="20"/>
          <w:szCs w:val="20"/>
          <w:color w:val="auto"/>
        </w:rPr>
      </w:pPr>
    </w:p>
    <w:p>
      <w:pPr>
        <w:ind w:left="640" w:hanging="317"/>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NextCure, Inc.;</w:t>
      </w:r>
    </w:p>
    <w:p>
      <w:pPr>
        <w:spacing w:after="0" w:line="225" w:lineRule="exact"/>
        <w:rPr>
          <w:rFonts w:ascii="Times New Roman" w:cs="Times New Roman" w:eastAsia="Times New Roman" w:hAnsi="Times New Roman"/>
          <w:sz w:val="18"/>
          <w:szCs w:val="18"/>
          <w:color w:val="auto"/>
        </w:rPr>
      </w:pPr>
    </w:p>
    <w:p>
      <w:pPr>
        <w:ind w:left="640" w:right="360" w:hanging="317"/>
        <w:spacing w:after="0" w:line="266" w:lineRule="auto"/>
        <w:tabs>
          <w:tab w:leader="none" w:pos="63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40" w:right="80" w:hanging="317"/>
        <w:spacing w:after="0" w:line="266" w:lineRule="auto"/>
        <w:tabs>
          <w:tab w:leader="none" w:pos="63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Times New Roman" w:cs="Times New Roman" w:eastAsia="Times New Roman" w:hAnsi="Times New Roman"/>
          <w:sz w:val="18"/>
          <w:szCs w:val="18"/>
          <w:color w:val="auto"/>
        </w:rPr>
      </w:pPr>
    </w:p>
    <w:p>
      <w:pPr>
        <w:ind w:left="640" w:right="180" w:hanging="317"/>
        <w:spacing w:after="0" w:line="282" w:lineRule="auto"/>
        <w:tabs>
          <w:tab w:leader="none" w:pos="62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980" w:right="120" w:hanging="8"/>
        <w:spacing w:after="0" w:line="266" w:lineRule="auto"/>
        <w:tabs>
          <w:tab w:leader="none" w:pos="131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980" w:right="440" w:hanging="8"/>
        <w:spacing w:after="0" w:line="266" w:lineRule="auto"/>
        <w:tabs>
          <w:tab w:leader="none" w:pos="132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Times New Roman" w:cs="Times New Roman" w:eastAsia="Times New Roman" w:hAnsi="Times New Roman"/>
          <w:sz w:val="18"/>
          <w:szCs w:val="18"/>
          <w:color w:val="auto"/>
        </w:rPr>
      </w:pPr>
    </w:p>
    <w:p>
      <w:pPr>
        <w:ind w:left="980" w:right="120" w:hanging="8"/>
        <w:spacing w:after="0" w:line="266" w:lineRule="auto"/>
        <w:tabs>
          <w:tab w:leader="none" w:pos="131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40" w:right="40" w:hanging="317"/>
        <w:spacing w:after="0" w:line="266" w:lineRule="auto"/>
        <w:tabs>
          <w:tab w:leader="none" w:pos="62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Times New Roman" w:cs="Times New Roman" w:eastAsia="Times New Roman" w:hAnsi="Times New Roman"/>
          <w:sz w:val="18"/>
          <w:szCs w:val="18"/>
          <w:color w:val="auto"/>
        </w:rPr>
      </w:pPr>
    </w:p>
    <w:p>
      <w:pPr>
        <w:ind w:left="980" w:right="20" w:hanging="8"/>
        <w:spacing w:after="0" w:line="266" w:lineRule="auto"/>
        <w:tabs>
          <w:tab w:leader="none" w:pos="130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Times New Roman" w:cs="Times New Roman" w:eastAsia="Times New Roman" w:hAnsi="Times New Roman"/>
          <w:sz w:val="18"/>
          <w:szCs w:val="18"/>
          <w:color w:val="auto"/>
        </w:rPr>
      </w:pPr>
    </w:p>
    <w:p>
      <w:pPr>
        <w:ind w:left="980" w:right="400" w:hanging="8"/>
        <w:spacing w:after="0" w:line="282" w:lineRule="auto"/>
        <w:tabs>
          <w:tab w:leader="none" w:pos="131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12, 2019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Richman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60" w:type="dxa"/>
            <w:vAlign w:val="bottom"/>
            <w:tcBorders>
              <w:top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Michael Richman</w:t>
            </w:r>
          </w:p>
        </w:tc>
        <w:tc>
          <w:tcPr>
            <w:tcW w:w="502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5020" w:type="dxa"/>
            <w:vAlign w:val="bottom"/>
          </w:tcPr>
          <w:p>
            <w:pPr>
              <w:spacing w:after="0"/>
              <w:rPr>
                <w:sz w:val="20"/>
                <w:szCs w:val="20"/>
                <w:color w:val="auto"/>
              </w:rPr>
            </w:pPr>
          </w:p>
        </w:tc>
      </w:tr>
      <w:tr>
        <w:trPr>
          <w:trHeight w:val="777"/>
        </w:trPr>
        <w:tc>
          <w:tcPr>
            <w:tcW w:w="58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17" w:right="91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P. Cobourn, certify that:</w:t>
      </w:r>
    </w:p>
    <w:p>
      <w:pPr>
        <w:spacing w:after="0" w:line="225" w:lineRule="exact"/>
        <w:rPr>
          <w:sz w:val="20"/>
          <w:szCs w:val="20"/>
          <w:color w:val="auto"/>
        </w:rPr>
      </w:pPr>
    </w:p>
    <w:p>
      <w:pPr>
        <w:ind w:left="640" w:hanging="317"/>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NextCure, Inc.;</w:t>
      </w:r>
    </w:p>
    <w:p>
      <w:pPr>
        <w:spacing w:after="0" w:line="225" w:lineRule="exact"/>
        <w:rPr>
          <w:rFonts w:ascii="Times New Roman" w:cs="Times New Roman" w:eastAsia="Times New Roman" w:hAnsi="Times New Roman"/>
          <w:sz w:val="18"/>
          <w:szCs w:val="18"/>
          <w:color w:val="auto"/>
        </w:rPr>
      </w:pPr>
    </w:p>
    <w:p>
      <w:pPr>
        <w:ind w:left="640" w:right="360" w:hanging="317"/>
        <w:spacing w:after="0" w:line="266" w:lineRule="auto"/>
        <w:tabs>
          <w:tab w:leader="none" w:pos="63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40" w:right="80" w:hanging="317"/>
        <w:spacing w:after="0" w:line="266" w:lineRule="auto"/>
        <w:tabs>
          <w:tab w:leader="none" w:pos="63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Times New Roman" w:cs="Times New Roman" w:eastAsia="Times New Roman" w:hAnsi="Times New Roman"/>
          <w:sz w:val="18"/>
          <w:szCs w:val="18"/>
          <w:color w:val="auto"/>
        </w:rPr>
      </w:pPr>
    </w:p>
    <w:p>
      <w:pPr>
        <w:ind w:left="640" w:right="180" w:hanging="317"/>
        <w:spacing w:after="0" w:line="282" w:lineRule="auto"/>
        <w:tabs>
          <w:tab w:leader="none" w:pos="62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980" w:right="120" w:hanging="8"/>
        <w:spacing w:after="0" w:line="266" w:lineRule="auto"/>
        <w:tabs>
          <w:tab w:leader="none" w:pos="131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980" w:right="440" w:hanging="8"/>
        <w:spacing w:after="0" w:line="266" w:lineRule="auto"/>
        <w:tabs>
          <w:tab w:leader="none" w:pos="132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Times New Roman" w:cs="Times New Roman" w:eastAsia="Times New Roman" w:hAnsi="Times New Roman"/>
          <w:sz w:val="18"/>
          <w:szCs w:val="18"/>
          <w:color w:val="auto"/>
        </w:rPr>
      </w:pPr>
    </w:p>
    <w:p>
      <w:pPr>
        <w:ind w:left="980" w:right="120" w:hanging="8"/>
        <w:spacing w:after="0" w:line="266" w:lineRule="auto"/>
        <w:tabs>
          <w:tab w:leader="none" w:pos="131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40" w:right="40" w:hanging="317"/>
        <w:spacing w:after="0" w:line="266" w:lineRule="auto"/>
        <w:tabs>
          <w:tab w:leader="none" w:pos="62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Times New Roman" w:cs="Times New Roman" w:eastAsia="Times New Roman" w:hAnsi="Times New Roman"/>
          <w:sz w:val="18"/>
          <w:szCs w:val="18"/>
          <w:color w:val="auto"/>
        </w:rPr>
      </w:pPr>
    </w:p>
    <w:p>
      <w:pPr>
        <w:ind w:left="980" w:right="20" w:hanging="8"/>
        <w:spacing w:after="0" w:line="266" w:lineRule="auto"/>
        <w:tabs>
          <w:tab w:leader="none" w:pos="130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Times New Roman" w:cs="Times New Roman" w:eastAsia="Times New Roman" w:hAnsi="Times New Roman"/>
          <w:sz w:val="18"/>
          <w:szCs w:val="18"/>
          <w:color w:val="auto"/>
        </w:rPr>
      </w:pPr>
    </w:p>
    <w:p>
      <w:pPr>
        <w:ind w:left="980" w:right="400" w:hanging="8"/>
        <w:spacing w:after="0" w:line="282" w:lineRule="auto"/>
        <w:tabs>
          <w:tab w:leader="none" w:pos="131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12, 2019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Steven P. Cobourn</w:t>
      </w:r>
    </w:p>
    <w:p>
      <w:pPr>
        <w:spacing w:after="0" w:line="2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Steven P. Cobourn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319849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0">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485775</wp:posOffset>
            </wp:positionV>
            <wp:extent cx="638873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7" w:right="91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NextCure, Inc. (the “Company”) for the quarter ended June 30, 2019, as filed with the Securities and Exchange Commission on the date hereof (the “Report”), the undersigned each hereby certifies pursuant to 18 U.S.C. Section 1350, as adopted pursuant to Section 906 of the Sarbanes-Oxley Act of 2002, that to the best of his knowledge, on the date hereof:</w:t>
      </w:r>
    </w:p>
    <w:p>
      <w:pPr>
        <w:spacing w:after="0" w:line="180" w:lineRule="exact"/>
        <w:rPr>
          <w:sz w:val="20"/>
          <w:szCs w:val="20"/>
          <w:color w:val="auto"/>
        </w:rPr>
      </w:pPr>
    </w:p>
    <w:p>
      <w:pPr>
        <w:ind w:left="1000" w:hanging="352"/>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right="720" w:hanging="332"/>
        <w:spacing w:after="0" w:line="282" w:lineRule="auto"/>
        <w:tabs>
          <w:tab w:leader="none" w:pos="100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12, 2019</w:t>
      </w:r>
    </w:p>
    <w:p>
      <w:pPr>
        <w:spacing w:after="0" w:line="22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/s/ Michael Richman</w:t>
      </w:r>
    </w:p>
    <w:p>
      <w:pPr>
        <w:spacing w:after="0" w:line="27" w:lineRule="exact"/>
        <w:rPr>
          <w:sz w:val="20"/>
          <w:szCs w:val="20"/>
          <w:color w:val="auto"/>
        </w:rPr>
      </w:pPr>
    </w:p>
    <w:p>
      <w:pPr>
        <w:ind w:left="5040"/>
        <w:spacing w:after="0"/>
        <w:tabs>
          <w:tab w:leader="none" w:pos="5660" w:val="left"/>
        </w:tabs>
        <w:rPr>
          <w:sz w:val="20"/>
          <w:szCs w:val="20"/>
          <w:color w:val="auto"/>
        </w:rPr>
      </w:pPr>
      <w:r>
        <w:rPr>
          <w:rFonts w:ascii="Times New Roman" w:cs="Times New Roman" w:eastAsia="Times New Roman" w:hAnsi="Times New Roman"/>
          <w:sz w:val="18"/>
          <w:szCs w:val="18"/>
          <w:color w:val="auto"/>
        </w:rPr>
        <w:t>Name:</w:t>
        <w:tab/>
        <w:t>Michael Richman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3201035</wp:posOffset>
            </wp:positionH>
            <wp:positionV relativeFrom="paragraph">
              <wp:posOffset>-130810</wp:posOffset>
            </wp:positionV>
            <wp:extent cx="319024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2">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 w:lineRule="exact"/>
        <w:rPr>
          <w:sz w:val="20"/>
          <w:szCs w:val="20"/>
          <w:color w:val="auto"/>
        </w:rPr>
      </w:pPr>
    </w:p>
    <w:p>
      <w:pPr>
        <w:ind w:left="5040"/>
        <w:spacing w:after="0"/>
        <w:tabs>
          <w:tab w:leader="none" w:pos="566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12, 2019</w:t>
      </w:r>
    </w:p>
    <w:p>
      <w:pPr>
        <w:spacing w:after="0" w:line="22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/s/ Steven P. Cobourn</w:t>
      </w:r>
    </w:p>
    <w:p>
      <w:pPr>
        <w:spacing w:after="0" w:line="27" w:lineRule="exact"/>
        <w:rPr>
          <w:sz w:val="20"/>
          <w:szCs w:val="20"/>
          <w:color w:val="auto"/>
        </w:rPr>
      </w:pPr>
    </w:p>
    <w:p>
      <w:pPr>
        <w:ind w:left="5040"/>
        <w:spacing w:after="0"/>
        <w:tabs>
          <w:tab w:leader="none" w:pos="566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Steven P. Cobourn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3201035</wp:posOffset>
            </wp:positionH>
            <wp:positionV relativeFrom="paragraph">
              <wp:posOffset>-130810</wp:posOffset>
            </wp:positionV>
            <wp:extent cx="319024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3">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 w:lineRule="exact"/>
        <w:rPr>
          <w:sz w:val="20"/>
          <w:szCs w:val="20"/>
          <w:color w:val="auto"/>
        </w:rPr>
      </w:pPr>
    </w:p>
    <w:p>
      <w:pPr>
        <w:ind w:left="5040"/>
        <w:spacing w:after="0"/>
        <w:tabs>
          <w:tab w:leader="none" w:pos="566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622935</wp:posOffset>
            </wp:positionV>
            <wp:extent cx="638873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7" w:right="919" w:bottom="1440" w:gutter="0" w:footer="0" w:header="0"/>
        </w:sectPr>
      </w:pPr>
    </w:p>
    <w:bookmarkStart w:id="78" w:name="page79"/>
    <w:bookmarkEnd w:id="7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decimal"/>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1)"/>
      <w:numFmt w:val="lowerRoman"/>
      <w:start w:val="4"/>
    </w:lvl>
  </w:abstractNum>
  <w:abstractNum w:abstractNumId="45">
    <w:nsid w:val="7644A45C"/>
    <w:multiLevelType w:val="hybridMultilevel"/>
    <w:lvl w:ilvl="0">
      <w:lvlJc w:val="left"/>
      <w:lvlText w:val="(%1)"/>
      <w:numFmt w:val="lowerRoman"/>
      <w:start w:val="3"/>
    </w:lvl>
  </w:abstractNum>
  <w:abstractNum w:abstractNumId="46">
    <w:nsid w:val="32FFF902"/>
    <w:multiLevelType w:val="hybridMultilevel"/>
    <w:lvl w:ilvl="0">
      <w:lvlJc w:val="left"/>
      <w:lvlText w:val="+"/>
      <w:numFmt w:val="bullet"/>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lvl w:ilvl="1">
      <w:lvlJc w:val="left"/>
      <w:lvlText w:val="(%2)"/>
      <w:numFmt w:val="lowerLetter"/>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98" Type="http://schemas.openxmlformats.org/officeDocument/2006/relationships/image" Target="media/image82.png"/><Relationship Id="rId99" Type="http://schemas.openxmlformats.org/officeDocument/2006/relationships/image" Target="media/image83.png"/><Relationship Id="rId100" Type="http://schemas.openxmlformats.org/officeDocument/2006/relationships/image" Target="media/image84.png"/><Relationship Id="rId101" Type="http://schemas.openxmlformats.org/officeDocument/2006/relationships/image" Target="media/image85.png"/><Relationship Id="rId102" Type="http://schemas.openxmlformats.org/officeDocument/2006/relationships/image" Target="media/image86.png"/><Relationship Id="rId103" Type="http://schemas.openxmlformats.org/officeDocument/2006/relationships/image" Target="media/image87.png"/><Relationship Id="rId104" Type="http://schemas.openxmlformats.org/officeDocument/2006/relationships/image" Target="media/image88.png"/><Relationship Id="rId89" Type="http://schemas.openxmlformats.org/officeDocument/2006/relationships/hyperlink" Target="http://www.sec.gov/Archives/edgar/data/1661059/000104746919003060/a2238817zex-3_1.htm" TargetMode="External"/><Relationship Id="rId90" Type="http://schemas.openxmlformats.org/officeDocument/2006/relationships/hyperlink" Target="http://www.sec.gov/Archives/edgar/data/1661059/000104746919003060/a2238817zex-3_2.htm" TargetMode="External"/><Relationship Id="rId91" Type="http://schemas.openxmlformats.org/officeDocument/2006/relationships/hyperlink" Target="http://www.sec.gov/Archives/edgar/data/1661059/000104746919002203/a2238441zex-10_5.htm" TargetMode="External"/><Relationship Id="rId92" Type="http://schemas.openxmlformats.org/officeDocument/2006/relationships/hyperlink" Target="http://www.sec.gov/Archives/edgar/data/1661059/000104746919002652/a2238596zex-10_8.htm" TargetMode="External"/><Relationship Id="rId93" Type="http://schemas.openxmlformats.org/officeDocument/2006/relationships/hyperlink" Target="http://www.sec.gov/Archives/edgar/data/1661059/000104746919002652/a2238596zex-10_9.htm" TargetMode="External"/><Relationship Id="rId94" Type="http://schemas.openxmlformats.org/officeDocument/2006/relationships/hyperlink" Target="http://www.sec.gov/Archives/edgar/data/1661059/000104746919002652/a2238596zex-10_10.htm" TargetMode="External"/><Relationship Id="rId95" Type="http://schemas.openxmlformats.org/officeDocument/2006/relationships/hyperlink" Target="http://www.sec.gov/Archives/edgar/data/1661059/000104746919002652/a2238596zex-10_11.htm" TargetMode="External"/><Relationship Id="rId96" Type="http://schemas.openxmlformats.org/officeDocument/2006/relationships/hyperlink" Target="http://www.sec.gov/Archives/edgar/data/1661059/000104746919002652/a2238596zex-10_12.htm" TargetMode="External"/><Relationship Id="rId97" Type="http://schemas.openxmlformats.org/officeDocument/2006/relationships/hyperlink" Target="http://www.sec.gov/Archives/edgar/data/1661059/000104746919002652/a2238596zex-10_1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2019-12-28T06:55:31Z</dcterms:created>
  <dcterms:modified xsi:type="dcterms:W3CDTF">2019-12-28T06:55:31Z</dcterms:modified>
</cp:coreProperties>
</file>