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92075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118110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38"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(Mark One)</w:t>
      </w:r>
    </w:p>
    <w:p>
      <w:pPr>
        <w:spacing w:after="0" w:line="53" w:lineRule="exact"/>
        <w:rPr>
          <w:sz w:val="24"/>
          <w:szCs w:val="24"/>
          <w:color w:val="auto"/>
        </w:rPr>
      </w:pPr>
    </w:p>
    <w:p>
      <w:pPr>
        <w:ind w:left="660" w:hanging="376"/>
        <w:spacing w:after="0"/>
        <w:tabs>
          <w:tab w:leader="none" w:pos="660" w:val="left"/>
        </w:tabs>
        <w:numPr>
          <w:ilvl w:val="0"/>
          <w:numId w:val="1"/>
        </w:numPr>
        <w:rPr>
          <w:rFonts w:ascii="Arial" w:cs="Arial" w:eastAsia="Arial" w:hAnsi="Arial"/>
          <w:sz w:val="13"/>
          <w:szCs w:val="13"/>
          <w:color w:val="auto"/>
          <w:highlight w:val="black"/>
        </w:rPr>
      </w:pPr>
      <w:r>
        <w:rPr>
          <w:rFonts w:ascii="Arial" w:cs="Arial" w:eastAsia="Arial" w:hAnsi="Arial"/>
          <w:sz w:val="13"/>
          <w:szCs w:val="13"/>
          <w:b w:val="1"/>
          <w:bCs w:val="1"/>
          <w:color w:val="auto"/>
        </w:rPr>
        <w:t>ANNUAL REPORT PURSUANT TO SECTION 13 OR 15(D) OF THE SECURITIES EXCHANGE ACT OF 1934</w:t>
      </w:r>
    </w:p>
    <w:p>
      <w:pPr>
        <w:spacing w:after="0" w:line="9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 the fiscal year ended December 31, 2022</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57" w:lineRule="exact"/>
        <w:rPr>
          <w:sz w:val="24"/>
          <w:szCs w:val="24"/>
          <w:color w:val="auto"/>
        </w:rPr>
      </w:pPr>
    </w:p>
    <w:p>
      <w:pPr>
        <w:ind w:left="660" w:hanging="376"/>
        <w:spacing w:after="0"/>
        <w:tabs>
          <w:tab w:leader="none" w:pos="660" w:val="left"/>
        </w:tabs>
        <w:numPr>
          <w:ilvl w:val="0"/>
          <w:numId w:val="2"/>
        </w:numPr>
        <w:rPr>
          <w:rFonts w:ascii="Arial" w:cs="Arial" w:eastAsia="Arial" w:hAnsi="Arial"/>
          <w:sz w:val="13"/>
          <w:szCs w:val="13"/>
          <w:color w:val="auto"/>
          <w:highlight w:val="black"/>
        </w:rPr>
      </w:pPr>
      <w:r>
        <w:rPr>
          <w:rFonts w:ascii="Arial" w:cs="Arial" w:eastAsia="Arial" w:hAnsi="Arial"/>
          <w:sz w:val="13"/>
          <w:szCs w:val="13"/>
          <w:b w:val="1"/>
          <w:bCs w:val="1"/>
          <w:color w:val="auto"/>
        </w:rPr>
        <w:t>TRANSITION REPORT PURSUANT TO SECTION 13 OR 15(D) OF THE SECURITIES EXCHANGE ACT OF 1934</w:t>
      </w:r>
    </w:p>
    <w:p>
      <w:pPr>
        <w:spacing w:after="0" w:line="97" w:lineRule="exact"/>
        <w:rPr>
          <w:sz w:val="24"/>
          <w:szCs w:val="24"/>
          <w:color w:val="auto"/>
        </w:rPr>
      </w:pPr>
    </w:p>
    <w:p>
      <w:pPr>
        <w:ind w:left="4100"/>
        <w:spacing w:after="0"/>
        <w:tabs>
          <w:tab w:leader="none" w:pos="5740" w:val="left"/>
          <w:tab w:leader="none" w:pos="6100" w:val="left"/>
        </w:tabs>
        <w:rPr>
          <w:sz w:val="20"/>
          <w:szCs w:val="20"/>
          <w:color w:val="auto"/>
        </w:rPr>
      </w:pPr>
      <w:r>
        <w:rPr>
          <w:rFonts w:ascii="Arial" w:cs="Arial" w:eastAsia="Arial" w:hAnsi="Arial"/>
          <w:sz w:val="11"/>
          <w:szCs w:val="11"/>
          <w:b w:val="1"/>
          <w:bCs w:val="1"/>
          <w:color w:val="auto"/>
        </w:rPr>
        <w:t>For the transition period from</w:t>
      </w:r>
      <w:r>
        <w:rPr>
          <w:sz w:val="20"/>
          <w:szCs w:val="20"/>
          <w:color w:val="auto"/>
        </w:rPr>
        <w:tab/>
      </w:r>
      <w:r>
        <w:rPr>
          <w:rFonts w:ascii="Arial" w:cs="Arial" w:eastAsia="Arial" w:hAnsi="Arial"/>
          <w:sz w:val="11"/>
          <w:szCs w:val="11"/>
          <w:b w:val="1"/>
          <w:bCs w:val="1"/>
          <w:color w:val="auto"/>
        </w:rPr>
        <w:t>to</w:t>
      </w:r>
      <w:r>
        <w:rPr>
          <w:sz w:val="20"/>
          <w:szCs w:val="20"/>
          <w:color w:val="auto"/>
        </w:rPr>
        <w:tab/>
      </w:r>
      <w:r>
        <w:rPr>
          <w:rFonts w:ascii="Arial" w:cs="Arial" w:eastAsia="Arial" w:hAnsi="Arial"/>
          <w:sz w:val="11"/>
          <w:szCs w:val="11"/>
          <w:b w:val="1"/>
          <w:bCs w:val="1"/>
          <w:color w:val="auto"/>
        </w:rPr>
        <w:t>.</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Commission File Number: 001-38905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40005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83" w:lineRule="exact"/>
        <w:rPr>
          <w:sz w:val="24"/>
          <w:szCs w:val="24"/>
          <w:color w:val="auto"/>
        </w:rPr>
      </w:pPr>
    </w:p>
    <w:tbl>
      <w:tblPr>
        <w:tblLayout w:type="fixed"/>
        <w:tblInd w:w="10" w:type="dxa"/>
        <w:tblCellMar>
          <w:top w:w="0" w:type="dxa"/>
          <w:left w:w="0" w:type="dxa"/>
          <w:bottom w:w="0" w:type="dxa"/>
          <w:right w:w="0" w:type="dxa"/>
        </w:tblCellMar>
      </w:tblPr>
      <w:tr>
        <w:trPr>
          <w:trHeight w:val="324"/>
        </w:trPr>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gridSpan w:val="3"/>
          </w:tcPr>
          <w:p>
            <w:pPr>
              <w:jc w:val="center"/>
              <w:ind w:right="620"/>
              <w:spacing w:after="0"/>
              <w:rPr>
                <w:sz w:val="20"/>
                <w:szCs w:val="20"/>
                <w:color w:val="auto"/>
              </w:rPr>
            </w:pPr>
            <w:r>
              <w:rPr>
                <w:rFonts w:ascii="Arial" w:cs="Arial" w:eastAsia="Arial" w:hAnsi="Arial"/>
                <w:sz w:val="27"/>
                <w:szCs w:val="27"/>
                <w:b w:val="1"/>
                <w:bCs w:val="1"/>
                <w:color w:val="auto"/>
                <w:w w:val="93"/>
              </w:rPr>
              <w:t>NextCure, Inc.</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40" w:type="dxa"/>
            <w:vAlign w:val="bottom"/>
            <w:gridSpan w:val="4"/>
          </w:tcPr>
          <w:p>
            <w:pPr>
              <w:jc w:val="center"/>
              <w:ind w:right="500"/>
              <w:spacing w:after="0"/>
              <w:rPr>
                <w:sz w:val="20"/>
                <w:szCs w:val="20"/>
                <w:color w:val="auto"/>
              </w:rPr>
            </w:pPr>
            <w:r>
              <w:rPr>
                <w:rFonts w:ascii="Arial" w:cs="Arial" w:eastAsia="Arial" w:hAnsi="Arial"/>
                <w:sz w:val="13"/>
                <w:szCs w:val="13"/>
                <w:color w:val="auto"/>
                <w:w w:val="87"/>
              </w:rPr>
              <w:t>(Exact name of registrant as specified in its charter)</w:t>
            </w: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3700" w:type="dxa"/>
            <w:vAlign w:val="bottom"/>
            <w:gridSpan w:val="2"/>
            <w:vMerge w:val="restart"/>
          </w:tcPr>
          <w:p>
            <w:pPr>
              <w:jc w:val="center"/>
              <w:ind w:left="1377"/>
              <w:spacing w:after="0"/>
              <w:rPr>
                <w:sz w:val="20"/>
                <w:szCs w:val="20"/>
                <w:color w:val="auto"/>
              </w:rPr>
            </w:pPr>
            <w:r>
              <w:rPr>
                <w:rFonts w:ascii="Arial" w:cs="Arial" w:eastAsia="Arial" w:hAnsi="Arial"/>
                <w:sz w:val="13"/>
                <w:szCs w:val="13"/>
                <w:b w:val="1"/>
                <w:bCs w:val="1"/>
                <w:color w:val="auto"/>
                <w:w w:val="87"/>
              </w:rPr>
              <w:t>Delaware</w:t>
            </w:r>
          </w:p>
        </w:tc>
        <w:tc>
          <w:tcPr>
            <w:tcW w:w="14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0" w:type="dxa"/>
            <w:vAlign w:val="bottom"/>
            <w:vMerge w:val="restart"/>
          </w:tcPr>
          <w:p>
            <w:pPr>
              <w:jc w:val="right"/>
              <w:ind w:right="2197"/>
              <w:spacing w:after="0"/>
              <w:rPr>
                <w:sz w:val="20"/>
                <w:szCs w:val="20"/>
                <w:color w:val="auto"/>
              </w:rPr>
            </w:pPr>
            <w:r>
              <w:rPr>
                <w:rFonts w:ascii="Arial" w:cs="Arial" w:eastAsia="Arial" w:hAnsi="Arial"/>
                <w:sz w:val="13"/>
                <w:szCs w:val="13"/>
                <w:b w:val="1"/>
                <w:bCs w:val="1"/>
                <w:color w:val="auto"/>
              </w:rPr>
              <w:t>47-5231247</w:t>
            </w:r>
          </w:p>
        </w:tc>
        <w:tc>
          <w:tcPr>
            <w:tcW w:w="0" w:type="dxa"/>
            <w:vAlign w:val="bottom"/>
          </w:tcPr>
          <w:p>
            <w:pPr>
              <w:spacing w:after="0"/>
              <w:rPr>
                <w:sz w:val="1"/>
                <w:szCs w:val="1"/>
                <w:color w:val="auto"/>
              </w:rPr>
            </w:pPr>
          </w:p>
        </w:tc>
      </w:tr>
      <w:tr>
        <w:trPr>
          <w:trHeight w:val="275"/>
        </w:trPr>
        <w:tc>
          <w:tcPr>
            <w:tcW w:w="3700" w:type="dxa"/>
            <w:vAlign w:val="bottom"/>
            <w:gridSpan w:val="2"/>
            <w:vMerge w:val="continue"/>
          </w:tcPr>
          <w:p>
            <w:pPr>
              <w:spacing w:after="0"/>
              <w:rPr>
                <w:sz w:val="23"/>
                <w:szCs w:val="23"/>
                <w:color w:val="auto"/>
              </w:rPr>
            </w:pPr>
          </w:p>
        </w:tc>
        <w:tc>
          <w:tcPr>
            <w:tcW w:w="14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3700" w:type="dxa"/>
            <w:vAlign w:val="bottom"/>
            <w:gridSpan w:val="2"/>
          </w:tcPr>
          <w:p>
            <w:pPr>
              <w:jc w:val="center"/>
              <w:ind w:left="1377"/>
              <w:spacing w:after="0"/>
              <w:rPr>
                <w:sz w:val="20"/>
                <w:szCs w:val="20"/>
                <w:color w:val="auto"/>
              </w:rPr>
            </w:pPr>
            <w:r>
              <w:rPr>
                <w:rFonts w:ascii="Arial" w:cs="Arial" w:eastAsia="Arial" w:hAnsi="Arial"/>
                <w:sz w:val="13"/>
                <w:szCs w:val="13"/>
                <w:color w:val="auto"/>
                <w:w w:val="89"/>
              </w:rPr>
              <w:t>(State or other jurisdiction of</w:t>
            </w:r>
          </w:p>
        </w:tc>
        <w:tc>
          <w:tcPr>
            <w:tcW w:w="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0" w:type="dxa"/>
            <w:vAlign w:val="bottom"/>
          </w:tcPr>
          <w:p>
            <w:pPr>
              <w:jc w:val="center"/>
              <w:ind w:right="1837"/>
              <w:spacing w:after="0"/>
              <w:rPr>
                <w:sz w:val="20"/>
                <w:szCs w:val="20"/>
                <w:color w:val="auto"/>
              </w:rPr>
            </w:pPr>
            <w:r>
              <w:rPr>
                <w:rFonts w:ascii="Arial" w:cs="Arial" w:eastAsia="Arial" w:hAnsi="Arial"/>
                <w:sz w:val="13"/>
                <w:szCs w:val="13"/>
                <w:color w:val="auto"/>
                <w:w w:val="90"/>
              </w:rPr>
              <w:t>(I.R.S. Employer</w:t>
            </w:r>
          </w:p>
        </w:tc>
        <w:tc>
          <w:tcPr>
            <w:tcW w:w="0" w:type="dxa"/>
            <w:vAlign w:val="bottom"/>
          </w:tcPr>
          <w:p>
            <w:pPr>
              <w:spacing w:after="0"/>
              <w:rPr>
                <w:sz w:val="1"/>
                <w:szCs w:val="1"/>
                <w:color w:val="auto"/>
              </w:rPr>
            </w:pPr>
          </w:p>
        </w:tc>
      </w:tr>
      <w:tr>
        <w:trPr>
          <w:trHeight w:val="162"/>
        </w:trPr>
        <w:tc>
          <w:tcPr>
            <w:tcW w:w="3700" w:type="dxa"/>
            <w:vAlign w:val="bottom"/>
            <w:gridSpan w:val="2"/>
          </w:tcPr>
          <w:p>
            <w:pPr>
              <w:jc w:val="center"/>
              <w:ind w:left="1417"/>
              <w:spacing w:after="0"/>
              <w:rPr>
                <w:sz w:val="20"/>
                <w:szCs w:val="20"/>
                <w:color w:val="auto"/>
              </w:rPr>
            </w:pPr>
            <w:r>
              <w:rPr>
                <w:rFonts w:ascii="Arial" w:cs="Arial" w:eastAsia="Arial" w:hAnsi="Arial"/>
                <w:sz w:val="13"/>
                <w:szCs w:val="13"/>
                <w:color w:val="auto"/>
                <w:w w:val="88"/>
              </w:rPr>
              <w:t>incorporation or organization)</w:t>
            </w:r>
          </w:p>
        </w:tc>
        <w:tc>
          <w:tcPr>
            <w:tcW w:w="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0" w:type="dxa"/>
            <w:vAlign w:val="bottom"/>
          </w:tcPr>
          <w:p>
            <w:pPr>
              <w:jc w:val="center"/>
              <w:ind w:right="1837"/>
              <w:spacing w:after="0"/>
              <w:rPr>
                <w:sz w:val="20"/>
                <w:szCs w:val="20"/>
                <w:color w:val="auto"/>
              </w:rPr>
            </w:pPr>
            <w:r>
              <w:rPr>
                <w:rFonts w:ascii="Arial" w:cs="Arial" w:eastAsia="Arial" w:hAnsi="Arial"/>
                <w:sz w:val="13"/>
                <w:szCs w:val="13"/>
                <w:color w:val="auto"/>
                <w:w w:val="92"/>
              </w:rPr>
              <w:t>Identification No.)</w:t>
            </w:r>
          </w:p>
        </w:tc>
        <w:tc>
          <w:tcPr>
            <w:tcW w:w="0" w:type="dxa"/>
            <w:vAlign w:val="bottom"/>
          </w:tcPr>
          <w:p>
            <w:pPr>
              <w:spacing w:after="0"/>
              <w:rPr>
                <w:sz w:val="1"/>
                <w:szCs w:val="1"/>
                <w:color w:val="auto"/>
              </w:rPr>
            </w:pPr>
          </w:p>
        </w:tc>
      </w:tr>
      <w:tr>
        <w:trPr>
          <w:trHeight w:val="227"/>
        </w:trPr>
        <w:tc>
          <w:tcPr>
            <w:tcW w:w="3700" w:type="dxa"/>
            <w:vAlign w:val="bottom"/>
            <w:gridSpan w:val="2"/>
          </w:tcPr>
          <w:p>
            <w:pPr>
              <w:jc w:val="center"/>
              <w:ind w:left="1397"/>
              <w:spacing w:after="0"/>
              <w:rPr>
                <w:sz w:val="20"/>
                <w:szCs w:val="20"/>
                <w:color w:val="auto"/>
              </w:rPr>
            </w:pPr>
            <w:r>
              <w:rPr>
                <w:rFonts w:ascii="Arial" w:cs="Arial" w:eastAsia="Arial" w:hAnsi="Arial"/>
                <w:sz w:val="13"/>
                <w:szCs w:val="13"/>
                <w:b w:val="1"/>
                <w:bCs w:val="1"/>
                <w:color w:val="auto"/>
                <w:w w:val="89"/>
              </w:rPr>
              <w:t>9000 Virginia Manor Road, Suite 200</w:t>
            </w:r>
          </w:p>
        </w:tc>
        <w:tc>
          <w:tcPr>
            <w:tcW w:w="1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700" w:type="dxa"/>
            <w:vAlign w:val="bottom"/>
            <w:gridSpan w:val="2"/>
          </w:tcPr>
          <w:p>
            <w:pPr>
              <w:jc w:val="center"/>
              <w:ind w:left="1377"/>
              <w:spacing w:after="0"/>
              <w:rPr>
                <w:sz w:val="20"/>
                <w:szCs w:val="20"/>
                <w:color w:val="auto"/>
              </w:rPr>
            </w:pPr>
            <w:r>
              <w:rPr>
                <w:rFonts w:ascii="Arial" w:cs="Arial" w:eastAsia="Arial" w:hAnsi="Arial"/>
                <w:sz w:val="13"/>
                <w:szCs w:val="13"/>
                <w:b w:val="1"/>
                <w:bCs w:val="1"/>
                <w:color w:val="auto"/>
                <w:w w:val="90"/>
              </w:rPr>
              <w:t>Beltsville, Maryland</w:t>
            </w:r>
          </w:p>
        </w:tc>
        <w:tc>
          <w:tcPr>
            <w:tcW w:w="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0" w:type="dxa"/>
            <w:vAlign w:val="bottom"/>
          </w:tcPr>
          <w:p>
            <w:pPr>
              <w:jc w:val="right"/>
              <w:ind w:right="2337"/>
              <w:spacing w:after="0"/>
              <w:rPr>
                <w:sz w:val="20"/>
                <w:szCs w:val="20"/>
                <w:color w:val="auto"/>
              </w:rPr>
            </w:pPr>
            <w:r>
              <w:rPr>
                <w:rFonts w:ascii="Arial" w:cs="Arial" w:eastAsia="Arial" w:hAnsi="Arial"/>
                <w:sz w:val="13"/>
                <w:szCs w:val="13"/>
                <w:b w:val="1"/>
                <w:bCs w:val="1"/>
                <w:color w:val="auto"/>
              </w:rPr>
              <w:t>20705</w:t>
            </w:r>
          </w:p>
        </w:tc>
        <w:tc>
          <w:tcPr>
            <w:tcW w:w="0" w:type="dxa"/>
            <w:vAlign w:val="bottom"/>
          </w:tcPr>
          <w:p>
            <w:pPr>
              <w:spacing w:after="0"/>
              <w:rPr>
                <w:sz w:val="1"/>
                <w:szCs w:val="1"/>
                <w:color w:val="auto"/>
              </w:rPr>
            </w:pPr>
          </w:p>
        </w:tc>
      </w:tr>
      <w:tr>
        <w:trPr>
          <w:trHeight w:val="162"/>
        </w:trPr>
        <w:tc>
          <w:tcPr>
            <w:tcW w:w="3700" w:type="dxa"/>
            <w:vAlign w:val="bottom"/>
            <w:gridSpan w:val="2"/>
          </w:tcPr>
          <w:p>
            <w:pPr>
              <w:jc w:val="center"/>
              <w:ind w:left="1397"/>
              <w:spacing w:after="0"/>
              <w:rPr>
                <w:sz w:val="20"/>
                <w:szCs w:val="20"/>
                <w:color w:val="auto"/>
              </w:rPr>
            </w:pPr>
            <w:r>
              <w:rPr>
                <w:rFonts w:ascii="Arial" w:cs="Arial" w:eastAsia="Arial" w:hAnsi="Arial"/>
                <w:sz w:val="13"/>
                <w:szCs w:val="13"/>
                <w:color w:val="auto"/>
                <w:w w:val="89"/>
              </w:rPr>
              <w:t>(Address of principal executive offices)</w:t>
            </w:r>
          </w:p>
        </w:tc>
        <w:tc>
          <w:tcPr>
            <w:tcW w:w="1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0" w:type="dxa"/>
            <w:vAlign w:val="bottom"/>
          </w:tcPr>
          <w:p>
            <w:pPr>
              <w:jc w:val="center"/>
              <w:ind w:right="1857"/>
              <w:spacing w:after="0"/>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230"/>
        </w:trPr>
        <w:tc>
          <w:tcPr>
            <w:tcW w:w="7040" w:type="dxa"/>
            <w:vAlign w:val="bottom"/>
            <w:gridSpan w:val="6"/>
          </w:tcPr>
          <w:p>
            <w:pPr>
              <w:jc w:val="center"/>
              <w:ind w:left="3137"/>
              <w:spacing w:after="0"/>
              <w:rPr>
                <w:sz w:val="20"/>
                <w:szCs w:val="20"/>
                <w:color w:val="auto"/>
              </w:rPr>
            </w:pPr>
            <w:r>
              <w:rPr>
                <w:rFonts w:ascii="Arial" w:cs="Arial" w:eastAsia="Arial" w:hAnsi="Arial"/>
                <w:sz w:val="13"/>
                <w:szCs w:val="13"/>
                <w:color w:val="auto"/>
                <w:w w:val="87"/>
              </w:rPr>
              <w:t xml:space="preserve">Registrant’s telephone number, including area code: </w:t>
            </w:r>
            <w:r>
              <w:rPr>
                <w:rFonts w:ascii="Arial" w:cs="Arial" w:eastAsia="Arial" w:hAnsi="Arial"/>
                <w:sz w:val="13"/>
                <w:szCs w:val="13"/>
                <w:b w:val="1"/>
                <w:bCs w:val="1"/>
                <w:color w:val="auto"/>
                <w:w w:val="87"/>
              </w:rPr>
              <w:t>(240) 399-4900</w:t>
            </w: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660"/>
              <w:spacing w:after="0"/>
              <w:rPr>
                <w:sz w:val="20"/>
                <w:szCs w:val="20"/>
                <w:color w:val="auto"/>
              </w:rPr>
            </w:pPr>
            <w:r>
              <w:rPr>
                <w:rFonts w:ascii="Arial" w:cs="Arial" w:eastAsia="Arial" w:hAnsi="Arial"/>
                <w:sz w:val="13"/>
                <w:szCs w:val="13"/>
                <w:color w:val="auto"/>
                <w:w w:val="91"/>
              </w:rPr>
              <w:t>Securities registered pursuant to Section 12(b) of the Act:</w:t>
            </w:r>
          </w:p>
        </w:tc>
        <w:tc>
          <w:tcPr>
            <w:tcW w:w="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3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3540" w:type="dxa"/>
            <w:vAlign w:val="bottom"/>
            <w:tcBorders>
              <w:left w:val="single" w:sz="8" w:color="auto"/>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Title of each class</w:t>
            </w: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80" w:type="dxa"/>
            <w:vAlign w:val="bottom"/>
            <w:tcBorders>
              <w:bottom w:val="single" w:sz="8" w:color="auto"/>
              <w:right w:val="single" w:sz="8" w:color="auto"/>
            </w:tcBorders>
            <w:gridSpan w:val="2"/>
          </w:tcPr>
          <w:p>
            <w:pPr>
              <w:jc w:val="center"/>
              <w:ind w:right="320"/>
              <w:spacing w:after="0" w:line="129" w:lineRule="exact"/>
              <w:rPr>
                <w:sz w:val="20"/>
                <w:szCs w:val="20"/>
                <w:color w:val="auto"/>
              </w:rPr>
            </w:pPr>
            <w:r>
              <w:rPr>
                <w:rFonts w:ascii="Arial" w:cs="Arial" w:eastAsia="Arial" w:hAnsi="Arial"/>
                <w:sz w:val="13"/>
                <w:szCs w:val="13"/>
                <w:color w:val="auto"/>
                <w:w w:val="90"/>
              </w:rPr>
              <w:t>Trading Symbol(s)</w:t>
            </w:r>
          </w:p>
        </w:tc>
        <w:tc>
          <w:tcPr>
            <w:tcW w:w="320" w:type="dxa"/>
            <w:vAlign w:val="bottom"/>
            <w:tcBorders>
              <w:bottom w:val="single" w:sz="8" w:color="auto"/>
            </w:tcBorders>
          </w:tcPr>
          <w:p>
            <w:pPr>
              <w:spacing w:after="0"/>
              <w:rPr>
                <w:sz w:val="11"/>
                <w:szCs w:val="11"/>
                <w:color w:val="auto"/>
              </w:rPr>
            </w:pPr>
          </w:p>
        </w:tc>
        <w:tc>
          <w:tcPr>
            <w:tcW w:w="3200" w:type="dxa"/>
            <w:vAlign w:val="bottom"/>
            <w:tcBorders>
              <w:bottom w:val="single" w:sz="8" w:color="auto"/>
              <w:right w:val="single" w:sz="8" w:color="auto"/>
            </w:tcBorders>
          </w:tcPr>
          <w:p>
            <w:pPr>
              <w:jc w:val="center"/>
              <w:ind w:right="277"/>
              <w:spacing w:after="0" w:line="129" w:lineRule="exact"/>
              <w:rPr>
                <w:sz w:val="20"/>
                <w:szCs w:val="20"/>
                <w:color w:val="auto"/>
              </w:rPr>
            </w:pPr>
            <w:r>
              <w:rPr>
                <w:rFonts w:ascii="Arial" w:cs="Arial" w:eastAsia="Arial" w:hAnsi="Arial"/>
                <w:sz w:val="13"/>
                <w:szCs w:val="13"/>
                <w:color w:val="auto"/>
                <w:w w:val="86"/>
              </w:rPr>
              <w:t>Name of each exchange on which registered:</w:t>
            </w:r>
          </w:p>
        </w:tc>
        <w:tc>
          <w:tcPr>
            <w:tcW w:w="0" w:type="dxa"/>
            <w:vAlign w:val="bottom"/>
          </w:tcPr>
          <w:p>
            <w:pPr>
              <w:spacing w:after="0"/>
              <w:rPr>
                <w:sz w:val="1"/>
                <w:szCs w:val="1"/>
                <w:color w:val="auto"/>
              </w:rPr>
            </w:pPr>
          </w:p>
        </w:tc>
      </w:tr>
      <w:tr>
        <w:trPr>
          <w:trHeight w:val="129"/>
        </w:trPr>
        <w:tc>
          <w:tcPr>
            <w:tcW w:w="3540" w:type="dxa"/>
            <w:vAlign w:val="bottom"/>
            <w:tcBorders>
              <w:left w:val="single" w:sz="8" w:color="auto"/>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Common Stock, $0.001 par value per share</w:t>
            </w: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880" w:type="dxa"/>
            <w:vAlign w:val="bottom"/>
            <w:tcBorders>
              <w:bottom w:val="single" w:sz="8" w:color="auto"/>
              <w:right w:val="single" w:sz="8" w:color="auto"/>
            </w:tcBorders>
            <w:gridSpan w:val="2"/>
          </w:tcPr>
          <w:p>
            <w:pPr>
              <w:jc w:val="center"/>
              <w:ind w:right="340"/>
              <w:spacing w:after="0" w:line="129" w:lineRule="exact"/>
              <w:rPr>
                <w:sz w:val="20"/>
                <w:szCs w:val="20"/>
                <w:color w:val="auto"/>
              </w:rPr>
            </w:pPr>
            <w:r>
              <w:rPr>
                <w:rFonts w:ascii="Arial" w:cs="Arial" w:eastAsia="Arial" w:hAnsi="Arial"/>
                <w:sz w:val="13"/>
                <w:szCs w:val="13"/>
                <w:color w:val="auto"/>
                <w:w w:val="95"/>
              </w:rPr>
              <w:t>NXTC</w:t>
            </w:r>
          </w:p>
        </w:tc>
        <w:tc>
          <w:tcPr>
            <w:tcW w:w="320" w:type="dxa"/>
            <w:vAlign w:val="bottom"/>
            <w:tcBorders>
              <w:bottom w:val="single" w:sz="8" w:color="auto"/>
            </w:tcBorders>
          </w:tcPr>
          <w:p>
            <w:pPr>
              <w:spacing w:after="0"/>
              <w:rPr>
                <w:sz w:val="11"/>
                <w:szCs w:val="11"/>
                <w:color w:val="auto"/>
              </w:rPr>
            </w:pPr>
          </w:p>
        </w:tc>
        <w:tc>
          <w:tcPr>
            <w:tcW w:w="3200" w:type="dxa"/>
            <w:vAlign w:val="bottom"/>
            <w:tcBorders>
              <w:bottom w:val="single" w:sz="8" w:color="auto"/>
              <w:right w:val="single" w:sz="8" w:color="auto"/>
            </w:tcBorders>
          </w:tcPr>
          <w:p>
            <w:pPr>
              <w:jc w:val="center"/>
              <w:ind w:right="297"/>
              <w:spacing w:after="0" w:line="129" w:lineRule="exact"/>
              <w:rPr>
                <w:sz w:val="20"/>
                <w:szCs w:val="20"/>
                <w:color w:val="auto"/>
              </w:rPr>
            </w:pPr>
            <w:r>
              <w:rPr>
                <w:rFonts w:ascii="Arial" w:cs="Arial" w:eastAsia="Arial" w:hAnsi="Arial"/>
                <w:sz w:val="13"/>
                <w:szCs w:val="13"/>
                <w:color w:val="auto"/>
                <w:w w:val="87"/>
              </w:rPr>
              <w:t>Nasdaq Global Select Market</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660"/>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80"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ind w:left="20"/>
        <w:spacing w:after="0" w:line="175" w:lineRule="exact"/>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4"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ind w:left="20"/>
        <w:spacing w:after="0" w:line="175" w:lineRule="exact"/>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4" w:lineRule="exact"/>
        <w:rPr>
          <w:sz w:val="24"/>
          <w:szCs w:val="24"/>
          <w:color w:val="auto"/>
        </w:rPr>
      </w:pPr>
    </w:p>
    <w:p>
      <w:pPr>
        <w:jc w:val="both"/>
        <w:ind w:left="20" w:right="20" w:firstLine="648"/>
        <w:spacing w:after="0" w:line="162"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 </w:t>
      </w:r>
      <w:r>
        <w:rPr>
          <w:rFonts w:ascii="Arial Unicode MS" w:cs="Arial Unicode MS" w:eastAsia="Arial Unicode MS" w:hAnsi="Arial Unicode MS"/>
          <w:sz w:val="12"/>
          <w:szCs w:val="12"/>
          <w:color w:val="auto"/>
        </w:rPr>
        <w:t>☐</w:t>
      </w:r>
    </w:p>
    <w:p>
      <w:pPr>
        <w:spacing w:after="0" w:line="56" w:lineRule="exact"/>
        <w:rPr>
          <w:sz w:val="24"/>
          <w:szCs w:val="24"/>
          <w:color w:val="auto"/>
        </w:rPr>
      </w:pPr>
    </w:p>
    <w:p>
      <w:pPr>
        <w:jc w:val="both"/>
        <w:ind w:left="20" w:firstLine="648"/>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56" w:lineRule="exact"/>
        <w:rPr>
          <w:sz w:val="24"/>
          <w:szCs w:val="24"/>
          <w:color w:val="auto"/>
        </w:rPr>
      </w:pPr>
    </w:p>
    <w:p>
      <w:pPr>
        <w:jc w:val="both"/>
        <w:ind w:left="20" w:firstLine="648"/>
        <w:spacing w:after="0" w:line="273"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5" w:right="839" w:bottom="1440" w:gutter="0" w:footer="0" w:header="0"/>
        </w:sectPr>
      </w:pPr>
    </w:p>
    <w:p>
      <w:pPr>
        <w:spacing w:after="0" w:line="26" w:lineRule="exact"/>
        <w:rPr>
          <w:sz w:val="24"/>
          <w:szCs w:val="24"/>
          <w:color w:val="auto"/>
        </w:rPr>
      </w:pPr>
    </w:p>
    <w:p>
      <w:pPr>
        <w:ind w:left="20"/>
        <w:spacing w:after="0" w:line="134" w:lineRule="exact"/>
        <w:rPr>
          <w:sz w:val="20"/>
          <w:szCs w:val="20"/>
          <w:color w:val="auto"/>
        </w:rPr>
      </w:pPr>
      <w:r>
        <w:rPr>
          <w:rFonts w:ascii="Arial" w:cs="Arial" w:eastAsia="Arial" w:hAnsi="Arial"/>
          <w:sz w:val="10"/>
          <w:szCs w:val="10"/>
          <w:color w:val="auto"/>
        </w:rPr>
        <w:t xml:space="preserve">Large accelerated filer </w:t>
      </w:r>
      <w:r>
        <w:rPr>
          <w:rFonts w:ascii="Arial Unicode MS" w:cs="Arial Unicode MS" w:eastAsia="Arial Unicode MS" w:hAnsi="Arial Unicode MS"/>
          <w:sz w:val="10"/>
          <w:szCs w:val="10"/>
          <w:color w:val="auto"/>
        </w:rPr>
        <w:t>☐</w:t>
      </w:r>
    </w:p>
    <w:p>
      <w:pPr>
        <w:spacing w:after="0" w:line="63" w:lineRule="exact"/>
        <w:rPr>
          <w:sz w:val="24"/>
          <w:szCs w:val="24"/>
          <w:color w:val="auto"/>
        </w:rPr>
      </w:pPr>
    </w:p>
    <w:p>
      <w:pPr>
        <w:ind w:left="20"/>
        <w:spacing w:after="0" w:line="161" w:lineRule="exact"/>
        <w:rPr>
          <w:sz w:val="20"/>
          <w:szCs w:val="20"/>
          <w:color w:val="auto"/>
        </w:rPr>
      </w:pPr>
      <w:r>
        <w:rPr>
          <w:rFonts w:ascii="Arial" w:cs="Arial" w:eastAsia="Arial" w:hAnsi="Arial"/>
          <w:sz w:val="12"/>
          <w:szCs w:val="12"/>
          <w:color w:val="auto"/>
        </w:rPr>
        <w:t xml:space="preserve">Non-accelerated filer </w:t>
      </w:r>
      <w:r>
        <w:rPr>
          <w:rFonts w:ascii="Arial Unicode MS" w:cs="Arial Unicode MS" w:eastAsia="Arial Unicode MS" w:hAnsi="Arial Unicode MS"/>
          <w:sz w:val="12"/>
          <w:szCs w:val="12"/>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540"/>
        <w:spacing w:after="0" w:line="134" w:lineRule="exact"/>
        <w:rPr>
          <w:sz w:val="20"/>
          <w:szCs w:val="20"/>
          <w:color w:val="auto"/>
        </w:rPr>
      </w:pPr>
      <w:r>
        <w:rPr>
          <w:rFonts w:ascii="Arial" w:cs="Arial" w:eastAsia="Arial" w:hAnsi="Arial"/>
          <w:sz w:val="10"/>
          <w:szCs w:val="10"/>
          <w:color w:val="auto"/>
        </w:rPr>
        <w:t xml:space="preserve">Accelerated filer </w:t>
      </w:r>
      <w:r>
        <w:rPr>
          <w:rFonts w:ascii="Arial Unicode MS" w:cs="Arial Unicode MS" w:eastAsia="Arial Unicode MS" w:hAnsi="Arial Unicode MS"/>
          <w:sz w:val="10"/>
          <w:szCs w:val="10"/>
          <w:color w:val="auto"/>
        </w:rPr>
        <w:t>☐</w:t>
      </w:r>
    </w:p>
    <w:p>
      <w:pPr>
        <w:spacing w:after="0" w:line="63" w:lineRule="exact"/>
        <w:rPr>
          <w:sz w:val="24"/>
          <w:szCs w:val="24"/>
          <w:color w:val="auto"/>
        </w:rPr>
      </w:pPr>
    </w:p>
    <w:p>
      <w:pPr>
        <w:spacing w:after="0" w:line="134" w:lineRule="exact"/>
        <w:rPr>
          <w:sz w:val="20"/>
          <w:szCs w:val="20"/>
          <w:color w:val="auto"/>
        </w:rPr>
      </w:pPr>
      <w:r>
        <w:rPr>
          <w:rFonts w:ascii="Arial" w:cs="Arial" w:eastAsia="Arial" w:hAnsi="Arial"/>
          <w:sz w:val="10"/>
          <w:szCs w:val="10"/>
          <w:color w:val="auto"/>
        </w:rPr>
        <w:t xml:space="preserve">Smaller reporting company </w:t>
      </w:r>
      <w:r>
        <w:rPr>
          <w:rFonts w:ascii="Arial Unicode MS" w:cs="Arial Unicode MS" w:eastAsia="Arial Unicode MS" w:hAnsi="Arial Unicode MS"/>
          <w:sz w:val="10"/>
          <w:szCs w:val="10"/>
          <w:color w:val="auto"/>
        </w:rPr>
        <w:t>☒</w:t>
      </w:r>
    </w:p>
    <w:p>
      <w:pPr>
        <w:spacing w:after="0" w:line="28" w:lineRule="exact"/>
        <w:rPr>
          <w:sz w:val="24"/>
          <w:szCs w:val="24"/>
          <w:color w:val="auto"/>
        </w:rPr>
      </w:pPr>
    </w:p>
    <w:p>
      <w:pPr>
        <w:spacing w:after="0" w:line="134" w:lineRule="exact"/>
        <w:rPr>
          <w:sz w:val="20"/>
          <w:szCs w:val="20"/>
          <w:color w:val="auto"/>
        </w:rPr>
      </w:pPr>
      <w:r>
        <w:rPr>
          <w:rFonts w:ascii="Arial" w:cs="Arial" w:eastAsia="Arial" w:hAnsi="Arial"/>
          <w:sz w:val="10"/>
          <w:szCs w:val="10"/>
          <w:color w:val="auto"/>
        </w:rPr>
        <w:t xml:space="preserve">Emerging growth company </w:t>
      </w:r>
      <w:r>
        <w:rPr>
          <w:rFonts w:ascii="Arial Unicode MS" w:cs="Arial Unicode MS" w:eastAsia="Arial Unicode MS" w:hAnsi="Arial Unicode MS"/>
          <w:sz w:val="10"/>
          <w:szCs w:val="10"/>
          <w:color w:val="auto"/>
        </w:rPr>
        <w:t>☒</w:t>
      </w:r>
    </w:p>
    <w:p>
      <w:pPr>
        <w:spacing w:after="0" w:line="113" w:lineRule="exact"/>
        <w:rPr>
          <w:sz w:val="24"/>
          <w:szCs w:val="24"/>
          <w:color w:val="auto"/>
        </w:rPr>
      </w:pPr>
    </w:p>
    <w:p>
      <w:pPr>
        <w:sectPr>
          <w:pgSz w:w="11900" w:h="16838" w:orient="portrait"/>
          <w:cols w:equalWidth="0" w:num="2">
            <w:col w:w="8000" w:space="720"/>
            <w:col w:w="1520"/>
          </w:cols>
          <w:pgMar w:left="820" w:top="665" w:right="839" w:bottom="1440" w:gutter="0" w:footer="0" w:header="0"/>
          <w:type w:val="continuous"/>
        </w:sectPr>
      </w:pPr>
    </w:p>
    <w:p>
      <w:pPr>
        <w:ind w:left="20" w:firstLine="648"/>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56" w:lineRule="exact"/>
        <w:rPr>
          <w:sz w:val="24"/>
          <w:szCs w:val="24"/>
          <w:color w:val="auto"/>
        </w:rPr>
      </w:pPr>
    </w:p>
    <w:p>
      <w:pPr>
        <w:ind w:left="20" w:firstLine="648"/>
        <w:spacing w:after="0" w:line="162"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 Oxley Act (15 U.S.C. 7262(b)) by the registered public accounting firm that prepared or issued its audit report.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 </w:t>
      </w:r>
      <w:r>
        <w:rPr>
          <w:rFonts w:ascii="Arial Unicode MS" w:cs="Arial Unicode MS" w:eastAsia="Arial Unicode MS" w:hAnsi="Arial Unicode MS"/>
          <w:sz w:val="12"/>
          <w:szCs w:val="12"/>
          <w:color w:val="auto"/>
        </w:rPr>
        <w:t>☒</w:t>
      </w:r>
    </w:p>
    <w:p>
      <w:pPr>
        <w:spacing w:after="0" w:line="56" w:lineRule="exact"/>
        <w:rPr>
          <w:sz w:val="24"/>
          <w:szCs w:val="24"/>
          <w:color w:val="auto"/>
        </w:rPr>
      </w:pPr>
    </w:p>
    <w:p>
      <w:pPr>
        <w:ind w:left="20" w:firstLine="648"/>
        <w:spacing w:after="0" w:line="16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15" w:lineRule="exact"/>
        <w:rPr>
          <w:sz w:val="24"/>
          <w:szCs w:val="24"/>
          <w:color w:val="auto"/>
        </w:rPr>
      </w:pPr>
    </w:p>
    <w:p>
      <w:pPr>
        <w:ind w:left="20" w:firstLine="648"/>
        <w:spacing w:after="0" w:line="162"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Arial" w:cs="Arial" w:eastAsia="Arial" w:hAnsi="Arial"/>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45" w:lineRule="exact"/>
        <w:rPr>
          <w:sz w:val="24"/>
          <w:szCs w:val="24"/>
          <w:color w:val="auto"/>
        </w:rPr>
      </w:pPr>
    </w:p>
    <w:p>
      <w:pPr>
        <w:ind w:left="660"/>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80" w:lineRule="exact"/>
        <w:rPr>
          <w:sz w:val="24"/>
          <w:szCs w:val="24"/>
          <w:color w:val="auto"/>
        </w:rPr>
      </w:pPr>
    </w:p>
    <w:p>
      <w:pPr>
        <w:ind w:left="20" w:right="20"/>
        <w:spacing w:after="0" w:line="236" w:lineRule="auto"/>
        <w:rPr>
          <w:sz w:val="20"/>
          <w:szCs w:val="20"/>
          <w:color w:val="auto"/>
        </w:rPr>
      </w:pPr>
      <w:r>
        <w:rPr>
          <w:rFonts w:ascii="Arial" w:cs="Arial" w:eastAsia="Arial" w:hAnsi="Arial"/>
          <w:sz w:val="13"/>
          <w:szCs w:val="13"/>
          <w:color w:val="auto"/>
        </w:rPr>
        <w:t>The aggregate market value of the registrant’s common stock held by non-affiliates as of June 30, 2022 the last business day of the registrant’s most recently completed second fiscal quarter, was approximately $115.5 million, as computed by reference to the closing price of the common stock on the Nasdaq Global Select Market on that date.</w:t>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3"/>
          <w:szCs w:val="13"/>
          <w:color w:val="auto"/>
        </w:rPr>
        <w:t>As of February 24, 2023, the registrant had 27,774,536 shares of common stock, par value $0.001 per share, issued and outstanding.</w:t>
      </w:r>
    </w:p>
    <w:p>
      <w:pPr>
        <w:spacing w:after="0" w:line="76" w:lineRule="exact"/>
        <w:rPr>
          <w:sz w:val="24"/>
          <w:szCs w:val="24"/>
          <w:color w:val="auto"/>
        </w:rPr>
      </w:pPr>
    </w:p>
    <w:p>
      <w:pPr>
        <w:ind w:left="36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84" w:lineRule="exact"/>
        <w:rPr>
          <w:sz w:val="24"/>
          <w:szCs w:val="24"/>
          <w:color w:val="auto"/>
        </w:rPr>
      </w:pPr>
    </w:p>
    <w:p>
      <w:pPr>
        <w:ind w:left="20"/>
        <w:spacing w:after="0" w:line="236" w:lineRule="auto"/>
        <w:rPr>
          <w:sz w:val="20"/>
          <w:szCs w:val="20"/>
          <w:color w:val="auto"/>
        </w:rPr>
      </w:pPr>
      <w:r>
        <w:rPr>
          <w:rFonts w:ascii="Arial" w:cs="Arial" w:eastAsia="Arial" w:hAnsi="Arial"/>
          <w:sz w:val="13"/>
          <w:szCs w:val="13"/>
          <w:color w:val="auto"/>
        </w:rPr>
        <w:t>Portions of the registrant’s definitive Proxy Statement for its 2023 Annual Meeting of Stockholders, which will be filed with the Commission within 120 days after December 31, 2022,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473710</wp:posOffset>
            </wp:positionV>
            <wp:extent cx="6497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45085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88265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20" w:type="dxa"/>
            <w:vAlign w:val="bottom"/>
            <w:gridSpan w:val="10"/>
          </w:tcPr>
          <w:p>
            <w:pPr>
              <w:jc w:val="center"/>
              <w:ind w:right="3280"/>
              <w:spacing w:after="0"/>
              <w:rPr>
                <w:sz w:val="20"/>
                <w:szCs w:val="20"/>
                <w:color w:val="auto"/>
              </w:rPr>
            </w:pPr>
            <w:r>
              <w:rPr>
                <w:rFonts w:ascii="Arial" w:cs="Arial" w:eastAsia="Arial" w:hAnsi="Arial"/>
                <w:sz w:val="18"/>
                <w:szCs w:val="18"/>
                <w:b w:val="1"/>
                <w:bCs w:val="1"/>
                <w:color w:val="auto"/>
                <w:w w:val="92"/>
              </w:rPr>
              <w:t>NextCure, Inc.</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20" w:type="dxa"/>
            <w:vAlign w:val="bottom"/>
            <w:gridSpan w:val="10"/>
          </w:tcPr>
          <w:p>
            <w:pPr>
              <w:jc w:val="center"/>
              <w:ind w:right="3260"/>
              <w:spacing w:after="0"/>
              <w:rPr>
                <w:sz w:val="20"/>
                <w:szCs w:val="20"/>
                <w:color w:val="auto"/>
              </w:rPr>
            </w:pPr>
            <w:r>
              <w:rPr>
                <w:rFonts w:ascii="Arial" w:cs="Arial" w:eastAsia="Arial" w:hAnsi="Arial"/>
                <w:sz w:val="18"/>
                <w:szCs w:val="18"/>
                <w:b w:val="1"/>
                <w:bCs w:val="1"/>
                <w:color w:val="auto"/>
                <w:w w:val="96"/>
              </w:rPr>
              <w:t>Form 10-K</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80" w:type="dxa"/>
            <w:vAlign w:val="bottom"/>
            <w:gridSpan w:val="12"/>
          </w:tcPr>
          <w:p>
            <w:pPr>
              <w:jc w:val="center"/>
              <w:ind w:right="2400"/>
              <w:spacing w:after="0"/>
              <w:rPr>
                <w:sz w:val="20"/>
                <w:szCs w:val="20"/>
                <w:color w:val="auto"/>
              </w:rPr>
            </w:pPr>
            <w:r>
              <w:rPr>
                <w:rFonts w:ascii="Arial" w:cs="Arial" w:eastAsia="Arial" w:hAnsi="Arial"/>
                <w:sz w:val="18"/>
                <w:szCs w:val="18"/>
                <w:b w:val="1"/>
                <w:bCs w:val="1"/>
                <w:color w:val="auto"/>
                <w:w w:val="90"/>
              </w:rPr>
              <w:t>For the Year Ended December 31, 2022</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80" w:type="dxa"/>
            <w:vAlign w:val="bottom"/>
            <w:gridSpan w:val="12"/>
          </w:tcPr>
          <w:p>
            <w:pPr>
              <w:jc w:val="center"/>
              <w:ind w:right="242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gridSpan w:val="2"/>
            <w:vMerge w:val="restart"/>
          </w:tcPr>
          <w:p>
            <w:pPr>
              <w:spacing w:after="0"/>
              <w:rPr>
                <w:sz w:val="20"/>
                <w:szCs w:val="20"/>
                <w:color w:val="auto"/>
              </w:rPr>
            </w:pPr>
            <w:r>
              <w:rPr>
                <w:rFonts w:ascii="Arial" w:cs="Arial" w:eastAsia="Arial" w:hAnsi="Arial"/>
                <w:sz w:val="18"/>
                <w:szCs w:val="18"/>
                <w:b w:val="1"/>
                <w:bCs w:val="1"/>
                <w:color w:val="0000EE"/>
                <w:w w:val="84"/>
              </w:rPr>
              <w:t>PART I</w:t>
            </w:r>
          </w:p>
        </w:tc>
        <w:tc>
          <w:tcPr>
            <w:tcW w:w="280" w:type="dxa"/>
            <w:vAlign w:val="bottom"/>
            <w:gridSpan w:val="4"/>
            <w:vMerge w:val="restart"/>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61"/>
        </w:trPr>
        <w:tc>
          <w:tcPr>
            <w:tcW w:w="540" w:type="dxa"/>
            <w:vAlign w:val="bottom"/>
            <w:tcBorders>
              <w:bottom w:val="single" w:sz="8" w:color="0000EE"/>
            </w:tcBorders>
            <w:gridSpan w:val="2"/>
            <w:vMerge w:val="continue"/>
          </w:tcPr>
          <w:p>
            <w:pPr>
              <w:spacing w:after="0"/>
              <w:rPr>
                <w:sz w:val="13"/>
                <w:szCs w:val="13"/>
                <w:color w:val="auto"/>
              </w:rPr>
            </w:pPr>
          </w:p>
        </w:tc>
        <w:tc>
          <w:tcPr>
            <w:tcW w:w="2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0" w:type="dxa"/>
            <w:vAlign w:val="bottom"/>
            <w:gridSpan w:val="6"/>
          </w:tcPr>
          <w:p>
            <w:pPr>
              <w:spacing w:after="0"/>
              <w:rPr>
                <w:sz w:val="20"/>
                <w:szCs w:val="20"/>
                <w:color w:val="auto"/>
              </w:rPr>
            </w:pPr>
            <w:r>
              <w:rPr>
                <w:rFonts w:ascii="Arial" w:cs="Arial" w:eastAsia="Arial" w:hAnsi="Arial"/>
                <w:sz w:val="18"/>
                <w:szCs w:val="18"/>
                <w:color w:val="0000EE"/>
              </w:rPr>
              <w:t>Item 1</w:t>
            </w:r>
          </w:p>
        </w:tc>
        <w:tc>
          <w:tcPr>
            <w:tcW w:w="7620" w:type="dxa"/>
            <w:vAlign w:val="bottom"/>
            <w:gridSpan w:val="22"/>
          </w:tcPr>
          <w:p>
            <w:pPr>
              <w:spacing w:after="0"/>
              <w:rPr>
                <w:sz w:val="20"/>
                <w:szCs w:val="20"/>
                <w:color w:val="auto"/>
              </w:rPr>
            </w:pPr>
            <w:r>
              <w:rPr>
                <w:rFonts w:ascii="Arial" w:cs="Arial" w:eastAsia="Arial" w:hAnsi="Arial"/>
                <w:sz w:val="18"/>
                <w:szCs w:val="18"/>
                <w:color w:val="0000EE"/>
              </w:rPr>
              <w:t>Business</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80"/>
              </w:rPr>
              <w:t>Item 1A</w:t>
            </w:r>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Risk Factors</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80"/>
              </w:rPr>
              <w:t>Item 1B</w:t>
            </w:r>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Unresolved Staff Comments</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99"/>
              </w:rPr>
              <w:t>Item 2</w:t>
            </w:r>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Properties</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sz w:val="20"/>
                <w:szCs w:val="20"/>
                <w:color w:val="auto"/>
              </w:rPr>
            </w:pPr>
            <w:r>
              <w:rPr>
                <w:rFonts w:ascii="Arial" w:cs="Arial" w:eastAsia="Arial" w:hAnsi="Arial"/>
                <w:sz w:val="18"/>
                <w:szCs w:val="18"/>
                <w:color w:val="0000EE"/>
              </w:rPr>
              <w:t>Item 3</w:t>
            </w: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Legal Proceedings</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sz w:val="20"/>
                <w:szCs w:val="20"/>
                <w:color w:val="auto"/>
              </w:rPr>
            </w:pPr>
            <w:r>
              <w:rPr>
                <w:rFonts w:ascii="Arial" w:cs="Arial" w:eastAsia="Arial" w:hAnsi="Arial"/>
                <w:sz w:val="18"/>
                <w:szCs w:val="18"/>
                <w:color w:val="0000EE"/>
              </w:rPr>
              <w:t>Item 4</w:t>
            </w: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Mine Safety Disclosures</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gridSpan w:val="6"/>
          </w:tcPr>
          <w:p>
            <w:pPr>
              <w:spacing w:after="0"/>
              <w:rPr>
                <w:sz w:val="20"/>
                <w:szCs w:val="20"/>
                <w:color w:val="auto"/>
              </w:rPr>
            </w:pPr>
            <w:r>
              <w:rPr>
                <w:rFonts w:ascii="Arial" w:cs="Arial" w:eastAsia="Arial" w:hAnsi="Arial"/>
                <w:sz w:val="18"/>
                <w:szCs w:val="18"/>
                <w:b w:val="1"/>
                <w:bCs w:val="1"/>
                <w:color w:val="0000EE"/>
              </w:rPr>
              <w:t>PART II</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Item 5</w:t>
            </w:r>
          </w:p>
        </w:tc>
        <w:tc>
          <w:tcPr>
            <w:tcW w:w="180" w:type="dxa"/>
            <w:vAlign w:val="bottom"/>
            <w:gridSpan w:val="3"/>
          </w:tcPr>
          <w:p>
            <w:pPr>
              <w:spacing w:after="0"/>
              <w:rPr>
                <w:sz w:val="17"/>
                <w:szCs w:val="17"/>
                <w:color w:val="auto"/>
              </w:rPr>
            </w:pP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w w:val="93"/>
              </w:rPr>
              <w:t>Market for Registrant’s Common Equity, Related Stockholder Matters, and Issuer Purchases of Equity</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Securities</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sz w:val="20"/>
                <w:szCs w:val="20"/>
                <w:color w:val="auto"/>
              </w:rPr>
            </w:pPr>
            <w:r>
              <w:rPr>
                <w:rFonts w:ascii="Arial" w:cs="Arial" w:eastAsia="Arial" w:hAnsi="Arial"/>
                <w:sz w:val="18"/>
                <w:szCs w:val="18"/>
                <w:color w:val="0000EE"/>
              </w:rPr>
              <w:t>Item 6</w:t>
            </w: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Selected Financial Data</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sz w:val="20"/>
                <w:szCs w:val="20"/>
                <w:color w:val="auto"/>
              </w:rPr>
            </w:pPr>
            <w:r>
              <w:rPr>
                <w:rFonts w:ascii="Arial" w:cs="Arial" w:eastAsia="Arial" w:hAnsi="Arial"/>
                <w:sz w:val="18"/>
                <w:szCs w:val="18"/>
                <w:color w:val="0000EE"/>
              </w:rPr>
              <w:t>Item 7</w:t>
            </w: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80"/>
              </w:rPr>
              <w:t>Item 7A</w:t>
            </w:r>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99"/>
              </w:rPr>
              <w:t>Item 8</w:t>
            </w:r>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Financial Statements and Supplementary Data</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sz w:val="20"/>
                <w:szCs w:val="20"/>
                <w:color w:val="auto"/>
              </w:rPr>
            </w:pPr>
            <w:r>
              <w:rPr>
                <w:rFonts w:ascii="Arial" w:cs="Arial" w:eastAsia="Arial" w:hAnsi="Arial"/>
                <w:sz w:val="18"/>
                <w:szCs w:val="18"/>
                <w:color w:val="0000EE"/>
              </w:rPr>
              <w:t>Item 9</w:t>
            </w: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80"/>
              </w:rPr>
              <w:t>Item 9A</w:t>
            </w:r>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Controls and Procedures</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80"/>
              </w:rPr>
              <w:t>Item 9B</w:t>
            </w:r>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Other Information</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gridSpan w:val="6"/>
          </w:tcPr>
          <w:p>
            <w:pPr>
              <w:spacing w:after="0" w:line="196" w:lineRule="exact"/>
              <w:rPr>
                <w:sz w:val="20"/>
                <w:szCs w:val="20"/>
                <w:color w:val="auto"/>
              </w:rPr>
            </w:pPr>
            <w:r>
              <w:rPr>
                <w:rFonts w:ascii="Arial" w:cs="Arial" w:eastAsia="Arial" w:hAnsi="Arial"/>
                <w:sz w:val="18"/>
                <w:szCs w:val="18"/>
                <w:color w:val="0000EE"/>
              </w:rPr>
              <w:t>Item 9C</w:t>
            </w: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b w:val="1"/>
                <w:bCs w:val="1"/>
                <w:color w:val="0000EE"/>
              </w:rPr>
              <w:t>PART III</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83"/>
              </w:rPr>
              <w:t>Item 10</w:t>
            </w:r>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Directors, Executive Officers, and Corporate Governance</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83"/>
              </w:rPr>
              <w:t>Item 11</w:t>
            </w:r>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Executive Compensation</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83"/>
              </w:rPr>
              <w:t>Item 12</w:t>
            </w:r>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w w:val="94"/>
              </w:rPr>
              <w:t>Security Ownership of Certain Beneficial Owners and Management and Related Stockholder Matters</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83"/>
              </w:rPr>
              <w:t>Item 13</w:t>
            </w:r>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83"/>
              </w:rPr>
              <w:t>Item 14</w:t>
            </w:r>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Principal Accounting Fees and Services</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gridSpan w:val="6"/>
          </w:tcPr>
          <w:p>
            <w:pPr>
              <w:spacing w:after="0"/>
              <w:rPr>
                <w:sz w:val="20"/>
                <w:szCs w:val="20"/>
                <w:color w:val="auto"/>
              </w:rPr>
            </w:pPr>
            <w:r>
              <w:rPr>
                <w:rFonts w:ascii="Arial" w:cs="Arial" w:eastAsia="Arial" w:hAnsi="Arial"/>
                <w:sz w:val="18"/>
                <w:szCs w:val="18"/>
                <w:b w:val="1"/>
                <w:bCs w:val="1"/>
                <w:color w:val="0000EE"/>
              </w:rPr>
              <w:t>PART IV</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3"/>
              </w:rPr>
              <w:t>Item 15</w:t>
            </w:r>
          </w:p>
        </w:tc>
        <w:tc>
          <w:tcPr>
            <w:tcW w:w="160" w:type="dxa"/>
            <w:vAlign w:val="bottom"/>
            <w:tcBorders>
              <w:top w:val="single" w:sz="8" w:color="0000EE"/>
            </w:tcBorders>
            <w:gridSpan w:val="2"/>
          </w:tcPr>
          <w:p>
            <w:pPr>
              <w:spacing w:after="0"/>
              <w:rPr>
                <w:sz w:val="17"/>
                <w:szCs w:val="17"/>
                <w:color w:val="auto"/>
              </w:rPr>
            </w:pPr>
          </w:p>
        </w:tc>
        <w:tc>
          <w:tcPr>
            <w:tcW w:w="120" w:type="dxa"/>
            <w:vAlign w:val="bottom"/>
            <w:gridSpan w:val="2"/>
          </w:tcPr>
          <w:p>
            <w:pPr>
              <w:spacing w:after="0"/>
              <w:rPr>
                <w:sz w:val="17"/>
                <w:szCs w:val="17"/>
                <w:color w:val="auto"/>
              </w:rPr>
            </w:pP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Exhibits, Financial Statement Schedules</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4720" w:type="dxa"/>
            <w:vAlign w:val="bottom"/>
            <w:gridSpan w:val="1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0000EE"/>
                <w:w w:val="83"/>
              </w:rPr>
              <w:t>Item 16</w:t>
            </w:r>
          </w:p>
        </w:tc>
        <w:tc>
          <w:tcPr>
            <w:tcW w:w="280" w:type="dxa"/>
            <w:vAlign w:val="bottom"/>
            <w:gridSpan w:val="4"/>
          </w:tcPr>
          <w:p>
            <w:pPr>
              <w:spacing w:after="0"/>
              <w:rPr>
                <w:sz w:val="17"/>
                <w:szCs w:val="17"/>
                <w:color w:val="auto"/>
              </w:rPr>
            </w:pP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0000EE"/>
              </w:rPr>
              <w:t>Form 10-K Summary</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6080" w:type="dxa"/>
            <w:vAlign w:val="bottom"/>
            <w:gridSpan w:val="1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2"/>
              </w:rPr>
              <w:t>SIGNATURES</w:t>
            </w:r>
          </w:p>
        </w:tc>
        <w:tc>
          <w:tcPr>
            <w:tcW w:w="7340" w:type="dxa"/>
            <w:vAlign w:val="bottom"/>
            <w:gridSpan w:val="2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This Annual Report contains forward-looking statements, including with respect to our plans, objectives and expectations for our business, operations and financial performance and condition. Any statements contained herein that are not statements of historical facts may be deemed to be forward-looking statements. The forward-looking statements are contained principally in the sections entitled “Business,” “Risk Factors” and “Management’s Discussion and Analysis of Financial Condition and Results of Operations,” but are also contained elsewhere in this Annual Report. In some cases, you can identify forward-looking statements by terminology such as “aim,” “anticipate,” “assume,” “believe,” “continue,” “could,” “due,” “estimate,” “expect,” “intend,” “may,” “objective,” “plan,” “predict,” “potential,” “positioned,” “seek,” “should,” “target,” “will,” “would” and other similar expressions that are predictions of or indicate future events and future trends, or the negative of these terms or similar language. Forward-looking statements include, but are not limited to, statements about:</w:t>
      </w:r>
    </w:p>
    <w:p>
      <w:pPr>
        <w:spacing w:after="0" w:line="185" w:lineRule="exact"/>
        <w:rPr>
          <w:sz w:val="20"/>
          <w:szCs w:val="20"/>
          <w:color w:val="auto"/>
        </w:rPr>
      </w:pPr>
    </w:p>
    <w:p>
      <w:pPr>
        <w:jc w:val="both"/>
        <w:ind w:left="380" w:right="79" w:hanging="330"/>
        <w:spacing w:after="0" w:line="254"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progress and results of preclinical studies and clinical trials for NC410, NC762, NC525 and any other product candidates we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2" w:lineRule="exact"/>
        <w:rPr>
          <w:rFonts w:ascii="Arial" w:cs="Arial" w:eastAsia="Arial" w:hAnsi="Arial"/>
          <w:sz w:val="18"/>
          <w:szCs w:val="18"/>
          <w:color w:val="auto"/>
        </w:rPr>
      </w:pPr>
    </w:p>
    <w:p>
      <w:pPr>
        <w:ind w:left="380" w:right="79" w:hanging="330"/>
        <w:spacing w:after="0" w:line="265"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or likelihood of regulatory filings for NC410, NC762, NC525 and any other product candidates we develop and our ability to obtain and maintain regulatory approvals for such product candidates for any indication;</w:t>
      </w: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identification, analysis and use of biomarkers and biomarker data;</w:t>
      </w:r>
    </w:p>
    <w:p>
      <w:pPr>
        <w:spacing w:after="0" w:line="9" w:lineRule="exact"/>
        <w:rPr>
          <w:rFonts w:ascii="Arial" w:cs="Arial" w:eastAsia="Arial" w:hAnsi="Arial"/>
          <w:sz w:val="18"/>
          <w:szCs w:val="18"/>
          <w:color w:val="auto"/>
        </w:rPr>
      </w:pPr>
    </w:p>
    <w:p>
      <w:pPr>
        <w:jc w:val="both"/>
        <w:ind w:left="380" w:right="79" w:hanging="330"/>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impact of the COVID-19 pandemic on the initiation, progress or expected timing of our clinical trials and the timing of related data, our efforts to adjust trial-related activities to address the impact of the COVID-19 pandemic, and other future impacts of the COVID-19 pandemic on the economy, our industry and our financial condition and results of operations;</w:t>
      </w:r>
    </w:p>
    <w:p>
      <w:pPr>
        <w:spacing w:after="0" w:line="1" w:lineRule="exact"/>
        <w:rPr>
          <w:rFonts w:ascii="Arial" w:cs="Arial" w:eastAsia="Arial" w:hAnsi="Arial"/>
          <w:sz w:val="18"/>
          <w:szCs w:val="18"/>
          <w:color w:val="auto"/>
        </w:rPr>
      </w:pPr>
    </w:p>
    <w:p>
      <w:pPr>
        <w:ind w:left="380" w:right="79" w:hanging="330"/>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of patient selection assays and companion or complimentary diagnostics for NC410, NC762 or any other product candidates we develop;</w:t>
      </w:r>
    </w:p>
    <w:p>
      <w:pPr>
        <w:ind w:left="380" w:hanging="330"/>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manufacturing capabilities and strategy, including the scalability of our manufacturing methods and processes;</w:t>
      </w:r>
    </w:p>
    <w:p>
      <w:pPr>
        <w:spacing w:after="0" w:line="20" w:lineRule="exact"/>
        <w:rPr>
          <w:rFonts w:ascii="Arial" w:cs="Arial" w:eastAsia="Arial" w:hAnsi="Arial"/>
          <w:sz w:val="17"/>
          <w:szCs w:val="17"/>
          <w:color w:val="auto"/>
        </w:rPr>
      </w:pPr>
    </w:p>
    <w:p>
      <w:pPr>
        <w:ind w:left="380" w:right="79" w:hanging="330"/>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NC410, NC762, NC525 and any other product candidates we develop;</w:t>
      </w: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intentions and ability to successfully commercialize our product candidates;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nature of the biological pathways we are targeting;</w:t>
      </w:r>
    </w:p>
    <w:p>
      <w:pPr>
        <w:spacing w:after="0" w:line="9" w:lineRule="exact"/>
        <w:rPr>
          <w:rFonts w:ascii="Arial" w:cs="Arial" w:eastAsia="Arial" w:hAnsi="Arial"/>
          <w:sz w:val="18"/>
          <w:szCs w:val="18"/>
          <w:color w:val="auto"/>
        </w:rPr>
      </w:pPr>
    </w:p>
    <w:p>
      <w:pPr>
        <w:ind w:left="380" w:right="79" w:hanging="330"/>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our FIND-IO platform, including our ability to discover and advance product candidates using our FIND-IO platform;</w:t>
      </w: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and our ability to maintain our relationship with Yale University;</w:t>
      </w:r>
    </w:p>
    <w:p>
      <w:pPr>
        <w:spacing w:after="0" w:line="9" w:lineRule="exact"/>
        <w:rPr>
          <w:rFonts w:ascii="Arial" w:cs="Arial" w:eastAsia="Arial" w:hAnsi="Arial"/>
          <w:sz w:val="18"/>
          <w:szCs w:val="18"/>
          <w:color w:val="auto"/>
        </w:rPr>
      </w:pPr>
    </w:p>
    <w:p>
      <w:pPr>
        <w:jc w:val="both"/>
        <w:ind w:left="380" w:right="79" w:hanging="330"/>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capital requirements, needs for or ability to obtain additional financing and the period over which we expect our current cash, cash equivalents and marketable securities to be sufficient to fund our operations;</w:t>
      </w:r>
    </w:p>
    <w:p>
      <w:pPr>
        <w:spacing w:after="0" w:line="1" w:lineRule="exact"/>
        <w:rPr>
          <w:rFonts w:ascii="Arial" w:cs="Arial" w:eastAsia="Arial" w:hAnsi="Arial"/>
          <w:sz w:val="18"/>
          <w:szCs w:val="18"/>
          <w:color w:val="auto"/>
        </w:rPr>
      </w:pPr>
    </w:p>
    <w:p>
      <w:pPr>
        <w:ind w:left="380" w:right="79" w:hanging="330"/>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intended reliance on and the performance of third parties, including collaborators, contract research organizations and third-party manufacturers;</w:t>
      </w:r>
    </w:p>
    <w:p>
      <w:pPr>
        <w:ind w:left="380" w:hanging="330"/>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protect and enforce our intellectual property protection and the scope and duration of such protection;</w:t>
      </w:r>
    </w:p>
    <w:p>
      <w:pPr>
        <w:spacing w:after="0" w:line="32" w:lineRule="exact"/>
        <w:rPr>
          <w:rFonts w:ascii="Arial" w:cs="Arial" w:eastAsia="Arial" w:hAnsi="Arial"/>
          <w:sz w:val="16"/>
          <w:szCs w:val="16"/>
          <w:color w:val="auto"/>
        </w:rPr>
      </w:pPr>
    </w:p>
    <w:p>
      <w:pPr>
        <w:ind w:left="380" w:hanging="330"/>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developments and projections relating to our competitors and our industry, including competing therapies; and</w:t>
      </w:r>
    </w:p>
    <w:p>
      <w:pPr>
        <w:spacing w:after="0" w:line="20" w:lineRule="exact"/>
        <w:rPr>
          <w:rFonts w:ascii="Arial" w:cs="Arial" w:eastAsia="Arial" w:hAnsi="Arial"/>
          <w:sz w:val="17"/>
          <w:szCs w:val="17"/>
          <w:color w:val="auto"/>
        </w:rPr>
      </w:pPr>
    </w:p>
    <w:p>
      <w:pPr>
        <w:ind w:left="380" w:hanging="330"/>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and future laws and regulations.</w:t>
      </w:r>
    </w:p>
    <w:p>
      <w:pPr>
        <w:spacing w:after="0" w:line="21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These statements, and other forward-looking statements, are based on management’s current expectations, estimates, forecasts and projections about our business and industry, are not guarantees of future performance and involve known and unknown risks, uncertainties and other factors that are in some cases beyond our control, and that may cause our actual results, levels of activity, performance or achievements to be materially different from those anticipated by the forward-looking statements. Forward-looking statements contained in this Annual Report should be considered in light of these factors and the factors set forth under “Risk Factor Summary” below and the factors described elsewhere in this Annual Report, including in the sections entitled “Risk Factors” and “Management’s Discussion and Analysis of Financial Condition and Results of Operations.” These factors, and the other cautionary statements made in this Annual Report, are applicable to all related forward-looking statements wherever they appear in this Annual Report. If one or more of these factors materialize, or if any underlying assumptions prove incorrect, our actual results, levels of activity, performance, or achievements may vary materially from any future results, activity, performance, or achievements expressed or implied by these forward-looking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caution readers not to place undue reliance on any forward-looking statements made by us, which speak only as of the date of this Annual Report. We undertake no obligation to publicly update any forward-looking statements after the date of this Annual Report, whether as a result of new information, future events or otherwise, except as required by law. We qualify all of our forward-looking statements by the foregoing cautionary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following is a summary of the principal risk factors that make an investment in our common stock speculative or risky. Before you invest in our securities, you should read the following summary together with the more detailed description of material risks described under "Risk Factors" in Item 1A of this Annual Report and the other information contained in this Annual Report.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7" w:lineRule="exact"/>
        <w:rPr>
          <w:sz w:val="20"/>
          <w:szCs w:val="20"/>
          <w:color w:val="auto"/>
        </w:rPr>
      </w:pPr>
    </w:p>
    <w:p>
      <w:pPr>
        <w:jc w:val="both"/>
        <w:ind w:left="380" w:right="79" w:hanging="330"/>
        <w:spacing w:after="0" w:line="265" w:lineRule="auto"/>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a limited operating history and no products approved for commercial sale. We have a history of significant losses, expect to continue to incur significant losses for the foreseeable future and may never achieve or maintain profitability. We have never generated revenue from product sales and may never be profitable.</w:t>
      </w:r>
    </w:p>
    <w:p>
      <w:pPr>
        <w:ind w:left="380" w:right="79" w:hanging="330"/>
        <w:spacing w:after="0" w:line="260"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pursue our business objectives, which may not be available on acceptable terms, or at all.</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27"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impacts of the COVID-19 pandemic could continue to adversely affect our business.</w:t>
      </w:r>
    </w:p>
    <w:p>
      <w:pPr>
        <w:spacing w:after="0" w:line="9" w:lineRule="exact"/>
        <w:rPr>
          <w:rFonts w:ascii="Arial" w:cs="Arial" w:eastAsia="Arial" w:hAnsi="Arial"/>
          <w:sz w:val="18"/>
          <w:szCs w:val="18"/>
          <w:color w:val="auto"/>
        </w:rPr>
      </w:pPr>
    </w:p>
    <w:p>
      <w:pPr>
        <w:ind w:left="380" w:right="79" w:hanging="330"/>
        <w:spacing w:after="0" w:line="265"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is dependent on our ability to advance our current and future product candidates through preclinical studies and clinical trials, marketing approval and ultimately commercialization, each of which is uncertain.</w:t>
      </w:r>
    </w:p>
    <w:p>
      <w:pPr>
        <w:ind w:left="380" w:hanging="33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approval processes are lengthy and inherently unpredictable.</w:t>
      </w:r>
    </w:p>
    <w:p>
      <w:pPr>
        <w:spacing w:after="0" w:line="9" w:lineRule="exact"/>
        <w:rPr>
          <w:rFonts w:ascii="Arial" w:cs="Arial" w:eastAsia="Arial" w:hAnsi="Arial"/>
          <w:sz w:val="18"/>
          <w:szCs w:val="18"/>
          <w:color w:val="auto"/>
        </w:rPr>
      </w:pPr>
    </w:p>
    <w:p>
      <w:pPr>
        <w:jc w:val="both"/>
        <w:ind w:left="380" w:right="79" w:hanging="330"/>
        <w:spacing w:after="0" w:line="265"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Clinical development involves a lengthy and expensive process with uncertain outcomes, and as an organization we have limited experience designing and implementing clinical trials. Failure to adequately design a trial, or incorrect assumptions about the design of the trial, could result in delays in product development and in additional costs, delays or the inability to develop, obtain regulatory approval for or commercialize our products.</w:t>
      </w:r>
    </w:p>
    <w:p>
      <w:pPr>
        <w:jc w:val="both"/>
        <w:ind w:left="380" w:right="79" w:hanging="330"/>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Preclinical development is uncertain. Our preclinical programs may experience delays or may never advance to clinical trials, which would adversely affect our ability to obtain regulatory approvals or commercialize these programs on a timely basis or at all.</w:t>
      </w:r>
    </w:p>
    <w:p>
      <w:pPr>
        <w:spacing w:after="0" w:line="1" w:lineRule="exact"/>
        <w:rPr>
          <w:rFonts w:ascii="Arial" w:cs="Arial" w:eastAsia="Arial" w:hAnsi="Arial"/>
          <w:sz w:val="18"/>
          <w:szCs w:val="18"/>
          <w:color w:val="auto"/>
        </w:rPr>
      </w:pPr>
    </w:p>
    <w:p>
      <w:pPr>
        <w:ind w:left="380" w:right="79" w:hanging="330"/>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Initial positive trial results and positive results from preclinical studies and early-stage clinical trials may not be predictive or indicative of results obtained when the trial is completed or in later stage trials.</w:t>
      </w:r>
    </w:p>
    <w:p>
      <w:pPr>
        <w:ind w:left="380" w:right="79" w:hanging="330"/>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or our collaborators, could continue to encounter difficulties enrolling patients in our clinical trials due to the COVID-19 pandemic or otherwise.</w:t>
      </w:r>
    </w:p>
    <w:p>
      <w:pPr>
        <w:ind w:left="380" w:right="79" w:hanging="330"/>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the numbers of subjects in our Phase 1/2 and Phase 1 clinical trials are small, the results from each of these trials, once completed, may be less reliable than results achieved in larger clinical trials.</w:t>
      </w:r>
    </w:p>
    <w:p>
      <w:pPr>
        <w:jc w:val="both"/>
        <w:ind w:left="380" w:right="79" w:hanging="330"/>
        <w:spacing w:after="0" w:line="255"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or future product candidates may cause undesirable side effects or have other properties that could halt their clinical development, delay or prevent their regulatory approval, limit their commercial potential or result in significant negative consequences.</w:t>
      </w:r>
    </w:p>
    <w:p>
      <w:pPr>
        <w:spacing w:after="0" w:line="186" w:lineRule="exact"/>
        <w:rPr>
          <w:sz w:val="20"/>
          <w:szCs w:val="20"/>
          <w:color w:val="auto"/>
        </w:rPr>
      </w:pPr>
    </w:p>
    <w:p>
      <w:pPr>
        <w:ind w:left="60" w:right="819"/>
        <w:spacing w:after="0" w:line="261" w:lineRule="auto"/>
        <w:rPr>
          <w:sz w:val="20"/>
          <w:szCs w:val="20"/>
          <w:color w:val="auto"/>
        </w:rPr>
      </w:pPr>
      <w:r>
        <w:rPr>
          <w:rFonts w:ascii="Arial" w:cs="Arial" w:eastAsia="Arial" w:hAnsi="Arial"/>
          <w:sz w:val="18"/>
          <w:szCs w:val="18"/>
          <w:b w:val="1"/>
          <w:bCs w:val="1"/>
          <w:color w:val="auto"/>
        </w:rPr>
        <w:t>Risks Related to the Regulatory Approval and Commercialization of Product Candidates and Other Legal Compliance Matters</w:t>
      </w:r>
    </w:p>
    <w:p>
      <w:pPr>
        <w:ind w:left="380" w:right="79" w:hanging="330"/>
        <w:spacing w:after="0" w:line="25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obtain regulatory approval of our product candidates. The denial or delay of any such approval would prevent or delay commercialization of our product candidates and harm our business.</w:t>
      </w:r>
    </w:p>
    <w:p>
      <w:pPr>
        <w:jc w:val="both"/>
        <w:ind w:left="380" w:right="79" w:hanging="330"/>
        <w:spacing w:after="0" w:line="265"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Even if a current or future product candidate receives marketing approval, it may fail to achieve the degree of market acceptance by physicians, patients, third-party payors and others in the medical community necessary for commercial success, and the market opportunities for any such product candidate may be limited.</w:t>
      </w:r>
    </w:p>
    <w:p>
      <w:pPr>
        <w:ind w:left="380" w:hanging="330"/>
        <w:spacing w:after="0"/>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Development of product candidates, in combination with other therapies, exposes us to additional regulatory risks.</w:t>
      </w:r>
    </w:p>
    <w:p>
      <w:pPr>
        <w:spacing w:after="0" w:line="20" w:lineRule="exact"/>
        <w:rPr>
          <w:rFonts w:ascii="Arial" w:cs="Arial" w:eastAsia="Arial" w:hAnsi="Arial"/>
          <w:sz w:val="17"/>
          <w:szCs w:val="17"/>
          <w:color w:val="auto"/>
        </w:rPr>
      </w:pPr>
    </w:p>
    <w:p>
      <w:pPr>
        <w:ind w:left="380" w:right="79" w:hanging="330"/>
        <w:spacing w:after="0" w:line="26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depend on data and our information technology systems, and any failure of these systems or any related security breaches, loss of data, or other disruptions could harm our business.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Manufacturing</w:t>
      </w:r>
    </w:p>
    <w:p>
      <w:pPr>
        <w:spacing w:after="0" w:line="27" w:lineRule="exact"/>
        <w:rPr>
          <w:sz w:val="20"/>
          <w:szCs w:val="20"/>
          <w:color w:val="auto"/>
        </w:rPr>
      </w:pPr>
    </w:p>
    <w:p>
      <w:pPr>
        <w:jc w:val="both"/>
        <w:ind w:left="380" w:right="79" w:hanging="330"/>
        <w:spacing w:after="0" w:line="255"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Given our limited operating history, our manufacturing experience, as an organization and with our manufacturing facility, is limited. We are subject to multiple manufacturing risks, any of which could substantially increase our costs and limit supply of our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9" w:hanging="330"/>
        <w:spacing w:after="0" w:line="291"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be unable to successfully scale-up manufacturing of our product candidates in sufficient quality and quantity, which would delay or prevent us from developing and, if approved, commercializing our product candidates.</w:t>
      </w:r>
    </w:p>
    <w:p>
      <w:pPr>
        <w:jc w:val="both"/>
        <w:ind w:left="380" w:right="79" w:hanging="330"/>
        <w:spacing w:after="0" w:line="250"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our third-party manufacturing partners or our or our partners' failure to comply with applicable regulatory requirements or ability to supply sufficient quantities at acceptable quality levels or prices, or at all, would materially and adversely affect our business.</w:t>
      </w:r>
    </w:p>
    <w:p>
      <w:pPr>
        <w:spacing w:after="0" w:line="1" w:lineRule="exact"/>
        <w:rPr>
          <w:rFonts w:ascii="Arial" w:cs="Arial" w:eastAsia="Arial" w:hAnsi="Arial"/>
          <w:sz w:val="18"/>
          <w:szCs w:val="18"/>
          <w:color w:val="auto"/>
        </w:rPr>
      </w:pPr>
    </w:p>
    <w:p>
      <w:pPr>
        <w:ind w:left="380" w:right="79" w:hanging="330"/>
        <w:spacing w:after="0" w:line="260"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on third-party suppliers for key materials used in our manufacturing process, and the loss of these third-party suppliers or their inability to supply us with adequate materials could harm our business.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7" w:lineRule="exact"/>
        <w:rPr>
          <w:sz w:val="20"/>
          <w:szCs w:val="20"/>
          <w:color w:val="auto"/>
        </w:rPr>
      </w:pPr>
    </w:p>
    <w:p>
      <w:pPr>
        <w:jc w:val="both"/>
        <w:ind w:left="380" w:right="79" w:hanging="330"/>
        <w:spacing w:after="0" w:line="281"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filed patent applications for our product candidates, but we have to-date obtained only a small number of patents from these applications. If we are unable to obtain and maintain patent protection, or if the scope of the patent protection obtained is not sufficiently robust, our competitors could develop and commercialize products similar or identical to ours, and our ability to successfully commercialize our product candidates may be adversely affected.</w:t>
      </w:r>
    </w:p>
    <w:p>
      <w:pPr>
        <w:spacing w:after="0" w:line="2" w:lineRule="exact"/>
        <w:rPr>
          <w:rFonts w:ascii="Arial" w:cs="Arial" w:eastAsia="Arial" w:hAnsi="Arial"/>
          <w:sz w:val="16"/>
          <w:szCs w:val="16"/>
          <w:color w:val="auto"/>
        </w:rPr>
      </w:pPr>
    </w:p>
    <w:p>
      <w:pPr>
        <w:jc w:val="both"/>
        <w:ind w:left="380" w:right="79" w:hanging="330"/>
        <w:spacing w:after="0" w:line="250"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party to a license agreement with Yale University under which we acquired rights to intellectual property related to certain of our product candidates. If we breach our obligations under this agreement, the agreement could be terminated, which would adversely affect our business and prospects.</w:t>
      </w:r>
    </w:p>
    <w:p>
      <w:pPr>
        <w:spacing w:after="0" w:line="1" w:lineRule="exact"/>
        <w:rPr>
          <w:rFonts w:ascii="Arial" w:cs="Arial" w:eastAsia="Arial" w:hAnsi="Arial"/>
          <w:sz w:val="18"/>
          <w:szCs w:val="18"/>
          <w:color w:val="auto"/>
        </w:rPr>
      </w:pPr>
    </w:p>
    <w:p>
      <w:pPr>
        <w:jc w:val="both"/>
        <w:ind w:left="380" w:right="79" w:hanging="330"/>
        <w:spacing w:after="0" w:line="250"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9" w:lineRule="exact"/>
        <w:rPr>
          <w:rFonts w:ascii="Arial" w:cs="Arial" w:eastAsia="Arial" w:hAnsi="Arial"/>
          <w:sz w:val="18"/>
          <w:szCs w:val="18"/>
          <w:color w:val="auto"/>
        </w:rPr>
      </w:pPr>
    </w:p>
    <w:p>
      <w:pPr>
        <w:jc w:val="both"/>
        <w:ind w:left="380" w:right="79" w:hanging="330"/>
        <w:spacing w:after="0" w:line="255"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claims, or we may become involved in lawsuits to protect or enforce our intellectual property, which could be expensive, time-consuming and unsuccessful; our intellectual property could be found invalid or unenforceable.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7" w:lineRule="exact"/>
        <w:rPr>
          <w:sz w:val="20"/>
          <w:szCs w:val="20"/>
          <w:color w:val="auto"/>
        </w:rPr>
      </w:pPr>
    </w:p>
    <w:p>
      <w:pPr>
        <w:jc w:val="both"/>
        <w:ind w:left="380" w:right="79" w:hanging="330"/>
        <w:spacing w:after="0" w:line="265"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rely on third parties to help conduct our ongoing and planned preclinical studies and clinical trials. If these third parties do not successfully carry out their contractual duties, comply with regulatory requirements or meet expected deadlines, we may not be able to obtain marketing approval for our product candidates.</w:t>
      </w:r>
    </w:p>
    <w:p>
      <w:pPr>
        <w:jc w:val="both"/>
        <w:ind w:left="380" w:right="79" w:hanging="330"/>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depend on other third-party collaborators for the discovery, development and commercialization of certain of our current and future product candidates. If our collaborations are not successful, we may not be able to capitalize on the market potential of these product candidates.</w:t>
      </w:r>
    </w:p>
    <w:p>
      <w:pPr>
        <w:spacing w:after="0" w:line="1" w:lineRule="exact"/>
        <w:rPr>
          <w:rFonts w:ascii="Arial" w:cs="Arial" w:eastAsia="Arial" w:hAnsi="Arial"/>
          <w:sz w:val="18"/>
          <w:szCs w:val="18"/>
          <w:color w:val="auto"/>
        </w:rPr>
      </w:pPr>
    </w:p>
    <w:p>
      <w:pPr>
        <w:ind w:left="380" w:right="79" w:hanging="330"/>
        <w:spacing w:after="0" w:line="26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seek to establish additional collaborations and, if we are not able to establish them on commercially reasonable terms, we may have to alter our development and commercialization plans.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7" w:lineRule="exact"/>
        <w:rPr>
          <w:sz w:val="20"/>
          <w:szCs w:val="20"/>
          <w:color w:val="auto"/>
        </w:rPr>
      </w:pPr>
    </w:p>
    <w:p>
      <w:pPr>
        <w:ind w:left="380" w:right="79" w:hanging="330"/>
        <w:spacing w:after="0" w:line="25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ind w:left="380" w:right="79" w:hanging="330"/>
        <w:spacing w:after="0" w:line="25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 and our operating results will suffer if we fail to compete effectively.</w:t>
      </w:r>
    </w:p>
    <w:p>
      <w:pPr>
        <w:ind w:left="380" w:hanging="330"/>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will need to grow the size of our organization, and we may experience difficulties in managing this growth.</w:t>
      </w:r>
    </w:p>
    <w:p>
      <w:pPr>
        <w:spacing w:after="0" w:line="20" w:lineRule="exact"/>
        <w:rPr>
          <w:rFonts w:ascii="Arial" w:cs="Arial" w:eastAsia="Arial" w:hAnsi="Arial"/>
          <w:sz w:val="17"/>
          <w:szCs w:val="17"/>
          <w:color w:val="auto"/>
        </w:rPr>
      </w:pPr>
    </w:p>
    <w:p>
      <w:pPr>
        <w:ind w:left="380" w:right="79" w:hanging="330"/>
        <w:spacing w:after="0" w:line="26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establish marketing, sales and distribution capabilities for any product candidate that may receive regulatory approval, we may not be successful in commercializing those product candidates.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7" w:lineRule="exact"/>
        <w:rPr>
          <w:sz w:val="20"/>
          <w:szCs w:val="20"/>
          <w:color w:val="auto"/>
        </w:rPr>
      </w:pPr>
    </w:p>
    <w:p>
      <w:pPr>
        <w:ind w:left="380" w:hanging="330"/>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price of our common stock has been and may in the future be volatile and fluctuate substantially.</w:t>
      </w:r>
    </w:p>
    <w:p>
      <w:pPr>
        <w:spacing w:after="0" w:line="9" w:lineRule="exact"/>
        <w:rPr>
          <w:rFonts w:ascii="Arial" w:cs="Arial" w:eastAsia="Arial" w:hAnsi="Arial"/>
          <w:sz w:val="18"/>
          <w:szCs w:val="18"/>
          <w:color w:val="auto"/>
        </w:rPr>
      </w:pPr>
    </w:p>
    <w:p>
      <w:pPr>
        <w:ind w:left="380" w:right="79" w:hanging="330"/>
        <w:spacing w:after="0" w:line="250"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now and may in the future be subject to securities litigation, which can be expensive and could divert management's attention.</w:t>
      </w:r>
    </w:p>
    <w:p>
      <w:pPr>
        <w:ind w:left="380" w:right="79" w:hanging="330"/>
        <w:spacing w:after="0" w:line="250"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securities analysts do not publish research or reports about our business or if they publish inaccurate or unfavorable research about our business, the price of our stock could decline.</w:t>
      </w:r>
    </w:p>
    <w:p>
      <w:pPr>
        <w:ind w:left="380" w:right="79" w:hanging="330"/>
        <w:spacing w:after="0" w:line="260"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a substantial number of shares of our common stock in the public market could cause our stock price to fall, even if our business is doing well.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w:t>
      </w:r>
    </w:p>
    <w:p>
      <w:pPr>
        <w:spacing w:after="0" w:line="18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product candidate NC410 is a fusion protein of LAIR-2, a naturally occurring soluble version of and decoy protein for LAIR-1 and is designed to block immune suppression mediated by LAIR-1. In June 2020, we initiated a Phase 1/2 clinical trial of NC410 in patients with advanced or metastatic solid tumors. The Phase 1 dose-escalation portion of this open-label trial was designed to evaluate the safety and tolerability of NC410 and determine its pharmacologically active and/or maximum tolerated dose. In October 2022, we announced the initiation of a Phase 1b/2 clinical trial to evaluate NC410 in combination with KEYTRUDA® (pembrolizumab), Merck’s anti-PD-1 therapy, in immune checkpoint refractory patients (colorectal, esophageal, endometrial and head and neck cancers) or immune checkpoint naïve solid tumor patients (colorectal and ovarian cancers).</w:t>
      </w:r>
    </w:p>
    <w:p>
      <w:pPr>
        <w:spacing w:after="0" w:line="17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product candidate NC762 is a monoclonal antibody that binds specifically to human B7 homolog 4 protein, or “B7-H4”, a protein expressed on multiple tumor types. In July 2021, we initiated a Phase 1/2 clinical trial of NC762 in patients with lung cancer, breast cancer, ovarian cancer or potentially other tumor types. The Phase 1 dose-escalation portion of this open-label trial was designed to evaluate the safety and tolerability of NC762 and determine its pharmacologically active and/or maximum tolerated dose. In November 2022, we announced initial data from the Phase 1 portion of this trial which indicate that NC762 appears to be well tolerated. Safety expansion studies are ongoing with the intent of selecting a recommended Phase 2 dose.</w:t>
      </w:r>
    </w:p>
    <w:p>
      <w:pPr>
        <w:spacing w:after="0" w:line="19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product candidate NC525 (LAIR-1 mAb) is a novel LAIR-1 antibody that selectively targets Acute Myeloid Leukemia, or “AML”, blast cells and leukemic stem cells, or “LSCs”. Preclinical data show that NC525 kills AML blast cells and LSCs while sparing hematopoietic stem and progenitor cells, or “HSPCs”. In February 2023 we initiated a Phase 1 trial for NC525 to evaluate the safety and preliminary efficacy of NC525 in AML, high-risk myelodysplastic syndrome, and chronic myelomonocytic leukemia (CMML).</w:t>
      </w:r>
    </w:p>
    <w:p>
      <w:pPr>
        <w:spacing w:after="0" w:line="188"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In November 2022, we announced that based on the current efficacy data, we decided to discontinue our clinical development of our product candidate NC318 (S15 mAb). We will, however, continue to provide Yale University with drug product for its ongoing investigator-initiated trial of NC318 in combination with pembrolizumab in lung cancer patients.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approach to identifying targets for new immunomedicines is based on our FIND-IO platform. FIND-IO embodies a rational approach to the discovery of novel cell surface and secretory molecules that drive functional immune responses. We use our immunology knowledge, experience and capabilities and tools we have developed, including our FIND-IO platform, to support our discovery efforts. We are working to discover novel targets that play a key role in mediating immune dysfunctions that allow tumors to evade the immune system. We seek to identify and develop immunomedicines that counteract these outcomes and to further validate and advance our product candidates. We have identified multiple novel targets using our FIND-IO platform, including those for which certain of our research programs are being designed to target.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leverage our understanding of biological pathways and our FIND-IO platform to discover, validate and build a proprietary pipeline of immunomedicine candidates. The figure below details our pipeline of product candidates and principal discovery and research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125730</wp:posOffset>
            </wp:positionV>
            <wp:extent cx="5554980" cy="31203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5498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strategy is to use our fully integrated discovery and product development infrastructure to build a sustainable pipeline of product candidates to treat cancer patients who are not adequately served by currently available therapies. The key elements of our strategy include:</w:t>
      </w:r>
    </w:p>
    <w:p>
      <w:pPr>
        <w:spacing w:after="0" w:line="184" w:lineRule="exact"/>
        <w:rPr>
          <w:sz w:val="20"/>
          <w:szCs w:val="20"/>
          <w:color w:val="auto"/>
        </w:rPr>
      </w:pPr>
    </w:p>
    <w:p>
      <w:pPr>
        <w:jc w:val="both"/>
        <w:ind w:left="1040" w:right="79" w:hanging="315"/>
        <w:spacing w:after="0" w:line="282"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Advancing the clinical development of our product candidates, NC410, NC762, and NC525. </w:t>
      </w:r>
      <w:r>
        <w:rPr>
          <w:rFonts w:ascii="Arial" w:cs="Arial" w:eastAsia="Arial" w:hAnsi="Arial"/>
          <w:sz w:val="16"/>
          <w:szCs w:val="16"/>
          <w:color w:val="auto"/>
        </w:rPr>
        <w:t>For NC410,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initiated the Phase 1 portion of a Phase 1/2 clinical trial in June 2020 and reported that NC410 was shown to be well tolerated. In October 2022, we announced the initiation of a Phase 1b/2 clinical trial to evaluate NC410 in combination with KEYTRUDA® (pembrolizumab), Merck’s anti-PD-1 therapy, in immune checkpoint refractory patients (colorectal, esophageal, endometrial and head and neck cancers) or immune checkpoint naïve solid tumor patients (colorectal and ovarian cancers). For NC762, we initiated a Phase 1/2 clinical trial in patients with lung cancer, breast cancer, ovarian cancer or potentially other tumor types in July 2021, and previously announced that NC762 was well tolerated. In October 2022, we initiated NC762 into a Phase 1b expansion cohort study dosing at 10 mg and 20 mg using a CLIA-validated assay to select patients with B7-H4 expression in tumor types including NSCLC, ovarian, endometrial, hepatocellular and breast. For NC525, an IND was submitted with the FDA, we have received clearance to proceed, and we initiated a Phase 1 trial in February 2023 to evaluate the safety and preliminary efficacy of NC525. Additionally, while we announced in November 2022 that we would not be moving forward in our amended Phase 2 monotherapy clinical trial for NC318, we believe scientific evidence supports a combination of NC318 with anti-PD-1 therapy and continue to provide NC318 drug product to Yale in support of the Yale investigator initiated Phase 2 clinical trial of NC318 in combination with pembrolizumab in patients with</w:t>
      </w:r>
    </w:p>
    <w:p>
      <w:pPr>
        <w:spacing w:after="0" w:line="11"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8"/>
          <w:szCs w:val="18"/>
          <w:color w:val="auto"/>
        </w:rPr>
        <w:t>NSCLC.</w:t>
      </w:r>
    </w:p>
    <w:p>
      <w:pPr>
        <w:spacing w:after="0" w:line="210" w:lineRule="exact"/>
        <w:rPr>
          <w:rFonts w:ascii="Arial" w:cs="Arial" w:eastAsia="Arial" w:hAnsi="Arial"/>
          <w:sz w:val="16"/>
          <w:szCs w:val="16"/>
          <w:color w:val="auto"/>
        </w:rPr>
      </w:pPr>
    </w:p>
    <w:p>
      <w:pPr>
        <w:jc w:val="both"/>
        <w:ind w:left="1040" w:right="79" w:hanging="315"/>
        <w:spacing w:after="0" w:line="263"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Building an oncology pipeline of novel targets for new immunomedicines focused on non-responders</w:t>
      </w:r>
      <w:r>
        <w:rPr>
          <w:rFonts w:ascii="Arial" w:cs="Arial" w:eastAsia="Arial" w:hAnsi="Arial"/>
          <w:sz w:val="18"/>
          <w:szCs w:val="18"/>
          <w:color w:val="auto"/>
        </w:rPr>
        <w: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leverage our immunological expertise and our FIND-IO platform to identify novel targets relevant to overcoming immune suppression.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9"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Leveraging our fully integrated development, quality systems and cGMP manufacturing capabilities.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 is to integrate key aspects of product development within our organization. We have assembled a team with extensive experience in identifying, characterizing and developing novel immunomedicines. We seek to couple discovery of important targets with the capability to rapidly streamline target validation and conduct key IND-enabling studies, leading to clinical development of product candidates. Our purpose-built, dedicated, state-of-the-art cGMP manufacturing facility utilizes single-use technology to support development of our pipeline and advancement of our product candidates into and through clinical development. The facility has production capacity of 2,000 liters and is designed to operate as a multi-product facility. Compared to working with third-party manufacturers, we believe our facility provides better quality assurance, greater control in scheduling and prioritizing manufacturing activities and enhanced capital efficiency.</w:t>
      </w:r>
    </w:p>
    <w:p>
      <w:pPr>
        <w:spacing w:after="0" w:line="181" w:lineRule="exact"/>
        <w:rPr>
          <w:rFonts w:ascii="Arial" w:cs="Arial" w:eastAsia="Arial" w:hAnsi="Arial"/>
          <w:sz w:val="17"/>
          <w:szCs w:val="17"/>
          <w:color w:val="auto"/>
        </w:rPr>
      </w:pPr>
    </w:p>
    <w:p>
      <w:pPr>
        <w:jc w:val="both"/>
        <w:ind w:left="1040" w:right="79" w:hanging="315"/>
        <w:spacing w:after="0" w:line="255"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Expanding our current focus and creating new opportunities outside of the oncology field</w:t>
      </w:r>
      <w:r>
        <w:rPr>
          <w:rFonts w:ascii="Arial" w:cs="Arial" w:eastAsia="Arial" w:hAnsi="Arial"/>
          <w:sz w:val="18"/>
          <w:szCs w:val="18"/>
          <w:color w:val="auto"/>
        </w:rPr>
        <w:t>. While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primary focus is oncology, the functional screening approach and proprietary technology of our FIND-IO platform are broadly applicable to the identification of positive and negative immune modulators, and therefore can be used and expanded to discover novel targets in other inflammatory diseases. Our goal is to enable next-generation immunomedicines for other serious inflammatory diseases with significant unmet medical needs in fields beyond oncology.</w:t>
      </w:r>
    </w:p>
    <w:p>
      <w:pPr>
        <w:spacing w:after="0" w:line="192" w:lineRule="exact"/>
        <w:rPr>
          <w:rFonts w:ascii="Arial" w:cs="Arial" w:eastAsia="Arial" w:hAnsi="Arial"/>
          <w:sz w:val="18"/>
          <w:szCs w:val="18"/>
          <w:color w:val="auto"/>
        </w:rPr>
      </w:pPr>
    </w:p>
    <w:p>
      <w:pPr>
        <w:jc w:val="both"/>
        <w:ind w:left="1040" w:right="79" w:hanging="315"/>
        <w:spacing w:after="0" w:line="254"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Extending the reach of our product candidates through strategic partnerships and collaborations</w:t>
      </w:r>
      <w:r>
        <w:rPr>
          <w:rFonts w:ascii="Arial" w:cs="Arial" w:eastAsia="Arial" w:hAnsi="Arial"/>
          <w:sz w:val="18"/>
          <w:szCs w:val="18"/>
          <w:color w:val="auto"/>
        </w:rPr>
        <w:t>.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worldwide rights to our current product candidates and our FIND-IO platform. We expect to explore a variety of market opportunities for our current and future product candidates and our platforms, including through the pursuit of strategic partnerships or other collaborations with regard to selected indications or geographical areas, such as Asia. We intend for our product candidates to be developed and commercialized globally, by us in key markets and in collaboration with other companies for other geographies.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Immuno-Oncology Background</w:t>
      </w:r>
    </w:p>
    <w:p>
      <w:pPr>
        <w:spacing w:after="0" w:line="12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immune system has powerful biological mechanisms to defend and protect the body from pathogens, such as viruses, parasites and bacteria. It also provides surveillance against cancers by recognizing and responding to antigens that are uniquely or highly expressed on cancer cells. In cancer, complex interactions between immune cells and growing tumor cells can prevent an immune response by blocking cellular interactions, resulting in immunosuppression in the TME. This phenomenon, referred to as immune evasion, is a hallmark of cancer where the tumor can prevent tumor-specific immune cells called T-cells from functioning within the TME or gaining access to the tumor site, which allows the tumor to continue to grow, leading to disease progression. Tumors in advanced cancer have multiple mechanisms of evasion in the TME that can differ from tumor to tumor.</w:t>
      </w:r>
    </w:p>
    <w:p>
      <w:pPr>
        <w:spacing w:after="0" w:line="17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Remodeling the TME and overcoming its immunosuppressive properties is a major focus of cancer research and drug development. Checkpoint inhibitors are a drug class designed to counteract certain tumor defenses against the immune system. Currently approved checkpoint inhibitors were developed based on the belief that an immune system inactivated by co-inhibitory proteins, known as checkpoints, could be reactivated to recognize and attack the tumor. Therapies against checkpoints, such as PD-L1, PD-1 and Cytotoxic T-Lymphocyte Antigen, or “CTLA”-4, have produced impressive results in the clinic across an array of cancers and have been approved for several malignancies. However, despite the recent success of these checkpoint inhibitors, it is estimated that up to 60% to 70% of cancer patients do not respond to single-agent therapy with checkpoint inhibitors. This limited efficacy highlights the importance of our effort to identify novel targets and molecular pathways responsible for tumor immune evasion mechanisms that we believe will work independently from current targets for cancer immunotherapy.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Approach to Developing Immunomedicines for Cancer</w:t>
      </w:r>
    </w:p>
    <w:p>
      <w:pPr>
        <w:spacing w:after="0" w:line="12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approach to identifying targets for new immunomedicines in cancer is based on the combination of our FIND-IO platform, our immunological expertise and our belief in the importance of understanding biological pathways and the normal function of the immune system in the TME. Rather than focusing on a specific type of immune cell, we are targeting molecules that modulate the immune system in ways that we believe may provide new treatment opportunities for patients that are differentiated from currently marketed targeted therapies as well as those in development. Our primary goal is to develop immunomedicines that increase response rates, efficacy and durable overall survival among patients who do not respond to current therapies, patients whose cancer progresses despite treatment and patients with cancer types that are not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adequately addressed by currently available therapies. We design our product candidates either to restore the normal effects of the immune system to promote elimination of the tumors or to counteract tumor immune evasion mechanisms.</w:t>
      </w:r>
    </w:p>
    <w:p>
      <w:pPr>
        <w:spacing w:after="0" w:line="124"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FIND-IO platform applies a function-based screening approach to identify human proteins and to determine whether those proteins alter or stop an immune response resulting in immune evasion. The platform is designed to identify novel cell surface molecular interactions that drive functional immune responses. Our FIND-IO platform broadly and quantitatively evaluates interactions between relevant protein components and different T-cellular types over time in order to identify novel targets that either increase or decrease immune-related functional responses associated with desired immune responses against tumors. By identifying novel immune modulators through the FIND-IO platform, we aim to develop next-generation immunomedicines that restore normal immune function in the TME.</w:t>
      </w:r>
    </w:p>
    <w:p>
      <w:pPr>
        <w:spacing w:after="0" w:line="16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To create our FIND-IO platform, we industrialized, expanded and optimized the T-cell Activity Array, or “TCAA”, a predecessor of the FIND-IO platform that Dr. Chen used to discover the immunosuppressive properties of multiple checkpoint molecules, including PD-L1 and S15. Our work in developing the FIND-IO platform beyond the TCAA includes using different and expanded gene libraries, adding biological pathways and reporters, expanding immune cell types and, most importantly, increasing the repertoire of functional assay readouts. We also broadened the platform to look at signaling within both the immune cell and the cell expressing the library gene. By transfecting cells with library genes, which encode membrane-bound or soluble proteins, FIND-IO is designed to determine whether the genes have signaling functions when interacting with an immune cell.</w:t>
      </w:r>
    </w:p>
    <w:p>
      <w:pPr>
        <w:spacing w:after="0" w:line="17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FIND-IO technology includes proprietary approaches to functionally assess immune pathways in both primary immune cells and established cell lines from immune lineages, including T-cell subsets, monocytes, macrophage subpopulations, dendritic cells, cancer cell lines and cells isolated from diseased patients. This platform allows us to identify proteins that can be targeted with novel immunomedicines to repair and maintain anti-tumor immunity. By focusing on understanding the TME in oncology, we believe we can identify multiple new positive and negative modulators of immune cells, including T-cells, NK cells, macrophages and myeloid-derived suppressor cells.</w:t>
      </w:r>
    </w:p>
    <w:p>
      <w:pPr>
        <w:spacing w:after="0" w:line="178"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Our product candidates target or are affected by a variety of cell types in the immune system. For example, NC410 targets the negative signaling from dendritic cells, macrophages and T-cells mediated by the binding of LAIR-1 to its ligands collagen and C1q. NC762, on the other hand, is enhanced by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142875</wp:posOffset>
            </wp:positionV>
            <wp:extent cx="4166235" cy="2271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6623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Programs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NC410</w:t>
      </w:r>
    </w:p>
    <w:p>
      <w:pPr>
        <w:spacing w:after="0" w:line="225"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NC410 is a fusion protein of LAIR-2, a naturally occurring soluble version of and decoy protein for LAIR-1 and is designed to block immune suppression mediated by LAIR-1. Multiple preclinical studies support our understanding that eliminating or blocking the binding of LAIR-1 restores normal immune function in multiple immune cells. Our translational work has shown that NC410 blocks the interaction of LAIR-1 with its binding partners, thereby promoting</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T-cell function and dendritic cell activity to contribute to restoring anti-tumor immune activity. Consistent with our strategy, we believe NC410 has the potential to address the needs of patients who are not adequately addressed by currently available therapies. We have exclusive worldwide rights to NC410.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Background of LAIR Pathway in Solid Tumor Cancer</w:t>
      </w:r>
    </w:p>
    <w:p>
      <w:pPr>
        <w:spacing w:after="0" w:line="19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LAIR-1 is a co-inhibitory receptor expressed on T-cells and several other immune cell subsets, including monocytes, macrophages and dendritic cells. Its binding partners include certain types of collagen and complement component 1q, or C1q.</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Under normal conditions, collagen forms a scaffold to provide strength and structure to tissues. C1q is part of the innate immune system to protect the host from infection and other foreign agents. Both collagen and C1q are highly upregulated and expressed under pathologic conditions, such as in the TME and in the immune organelles close to the tumor site known as lymph nodes, which are important sites for mounting immune responses to the tumor. However, binding of LAIR-1 to collagen or C1q leads to immune suppression. Our preclinical studies have shown that LAIR-1 and LAIR-2 bind to similar ligands, including collagen and C1q. LAIR-2, which is a secreted protein as opposed to a membrane-bound protein like LAIR-1, binds to the same regions of these ligands with stronger affinity than LAIR-1. However, because LAIR-2 does not induce immune suppression when binding to these ligands, LAIR-2 functions as an efficient decoy for LAIR-1.</w:t>
      </w:r>
    </w:p>
    <w:p>
      <w:pPr>
        <w:spacing w:after="0" w:line="19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Under the harsh conditions of the TME, collagen and C1q are overexpressed as a membrane protein on many types of tumor cells and in the ECM surrounding the tumor. This increased expression of collagen and C1q, combined with insufficient levels of natural LAIR-2, leads to increased binding of LAIR-1, resulting in immune suppression, tumor immune evasion and tumor growth.</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NC410 is a novel immunotherapeutic protein that was developed to block LAIR-1-mediated immune suppression by mimicking the natural decoy effects of LAIR-2. Our approach of using NC410 as a therapeutic is intended to take advantage of the natural LAIR-2 regulatory system in humans, which maintains human immune function under normal non-pathologic conditions.</w:t>
      </w:r>
    </w:p>
    <w:p>
      <w:pPr>
        <w:spacing w:after="0" w:line="187" w:lineRule="exact"/>
        <w:rPr>
          <w:sz w:val="20"/>
          <w:szCs w:val="20"/>
          <w:color w:val="auto"/>
        </w:rPr>
      </w:pPr>
    </w:p>
    <w:p>
      <w:pPr>
        <w:jc w:val="both"/>
        <w:ind w:left="60" w:right="79" w:firstLine="648"/>
        <w:spacing w:after="0" w:line="255" w:lineRule="auto"/>
        <w:rPr>
          <w:sz w:val="20"/>
          <w:szCs w:val="20"/>
          <w:color w:val="auto"/>
        </w:rPr>
      </w:pPr>
      <w:r>
        <w:rPr>
          <w:rFonts w:ascii="Arial" w:cs="Arial" w:eastAsia="Arial" w:hAnsi="Arial"/>
          <w:sz w:val="18"/>
          <w:szCs w:val="18"/>
          <w:color w:val="auto"/>
        </w:rPr>
        <w:t>The mechanism of action of NC410 prevents immune suppression caused by LAIR-1 binding to collagen or C1q and promotes anti-tumor immune activity. As the figure below shows, when LAIR-2 and NC410 are present in the TME, they bind to collagen or C1q preferentially compared to LAIR-1 given their higher binding affinity. This has the effect of blocking the collagen or C1q from binding to LAIR-1, which otherwise would have resulted in an immunosuppressive effect. By blocking this interaction with LAIR-1 and its binding partners, T-cell function and dendritic cell activity is promoted in order to restore anti-tumor immune activity.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NC410 is Designed to Prevent Immune Suppression Caused by LAIR-1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5349240" cy="26060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Clinical Development Plan for NC410</w:t>
      </w:r>
    </w:p>
    <w:p>
      <w:pPr>
        <w:spacing w:after="0" w:line="19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and others have analyzed genomic and protein databases and observed that LAIR-1 expression levels negatively correlate with survival rates for several cancers, including brain, renal, colorectal, glioma, lung, urothelial and ovarian cancers. These analyses support possible targeting of these tumor types as primary indications for therapeutic treatment with NC410. We have conducted expansive screening efforts on tumor samples from different solid tumor types to identify tumors that express LAIR-1 on immune cells and varying levels of collagen in the TME, to guide our ultimate selection of patients for the Phase 2 portion of the Phase 1/2 clinical trial. We plan to develop a CLIA-certified assay to select patients for the Phase 2 study.</w:t>
      </w:r>
    </w:p>
    <w:p>
      <w:pPr>
        <w:spacing w:after="0" w:line="19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June 2020, we initiated a Phase 1/2 clinical trial of NC410 in patients with advanced or metastatic solid tumors. The Phase 1 clinical trial enrolled a total of 40 patients across 7 cohorts ranging from 3 mg up to 200 mg. NC410 has been shown to be well-tolerated up to 200 mg once every 2 weeks (Q2W). Notable treatment-related adverse events included infusion reactions, anemia and a worsening of a baseline lymphopenia. The best response achieved was stable disease greater than 12 weeks in 8 patients across different doses and indications. Based on the preclinical and clinical data to date, we determined that a combination strategy was more likely to achieve clinical response in a Phase 1b/2 instead of a monotherapy approach.</w:t>
      </w:r>
    </w:p>
    <w:p>
      <w:pPr>
        <w:spacing w:after="0" w:line="17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October 2022, we announced the initiation of a Phase 1b/2 clinical trial to evaluate NC410 in combination with KEYTRUDA® (pembrolizumab), Merck &amp; Co., Inc.’s (Merck) anti-PD-1 therapeutic, in immune checkpoint refractory patients (colorectal, esophageal, endometrial and head and neck cancers) or immune checkpoint naïve solid tumor patients (colorectal and ovarian cancers). The rationale for moving directly into a combination trial for NC410 is based on NC410’s mechanism of action, as seen in preclinical modeling and also during the NC410 Phase 1 dose escalation study readouts. It has been shown that elevated collagen levels in the extracellular matrix (ECM), the tissue matrix surrounding the tumor, are associated with resistance to PD-1 and PD-L1 therapies. In non-clinical colorectal models and early-stage monotherapy clinical studies conducted by NextCure, we have demonstrated that NC410 can remodel collagen in the ECM, which enhances T cell infiltration into the tumor. This results in immune activation, enhanced immune function in the TME and significantly enhances anti-PD-1 activity in multiple preclinical tumors models. We believe that this may translate to improved responses in patients with immune checkpoint refractory or immune checkpoint naïve solid tumors.</w:t>
      </w:r>
    </w:p>
    <w:p>
      <w:pPr>
        <w:spacing w:after="0" w:line="17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entered into a supply agreement for KEYTRUDA with Merck &amp; Co., Inc. (known as MSD outside the United States and Canada) for the Phase 1b/2 clinical combination trial.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NC762</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NC762 is a monoclonal antibody that binds specifically to human B7 homolog 4 protein, or “B7-H4”, a protein expressed on multiple tumor types. We believe NC762 acts by inhibiting tumor cell growth. While the inhibitory effect on tumor growth does not appear to be dependent upon T-cells, we believe NK cells may contribute to enhanced anti-tumor activity mediated by NC762. We have observed in preclinical studies that NC762 inhibits the growth of human melanoma tumors in mice, and we believe that NC762 has the potential to treat multiple tumor types. In July 2021, we initiated a Phase 1/2 clinical trial of NC762 in patients with lung cancer, breast cancer, ovarian cancer, or potentially other tumor types. The Phase 1 dose-escalation portion of this open-label trial is being designed to evaluate the safety and tolerability of NC762 and determine its pharmacologically active and/or maximum tolerated dose. After a recommended dose for the Phase 2 portion of the trial is determined, the efficacy of NC762 will be evaluated in select tumor types. We have exclusive worldwide rights to NC762.</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B7-H4 Background</w:t>
      </w:r>
    </w:p>
    <w:p>
      <w:pPr>
        <w:spacing w:after="0" w:line="19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B7-H4 is a cell surface protein expressed on multiple tumor types, including non-small cell lung cancer, ovarian cancer, breast cancer and hepatocellular carcinoma, and on tumor-associated macrophages, and shows limited expression in most normal tissues. B7-H4 was initially discovered in 2003 in the Mayo Clinic lab of our scientific co-founder Dr. Lieping Chen. It is a member of the same family of co-inhibitory checkpoint proteins as B7-H1, known as PD-L1, which was also discovered by Dr. Chen's laboratory (see "Immuno-Oncology Background"). B7-H4 has been shown in published articles to negatively regulate T-cell immune response, inhibit cytokine production, suppress antigen-presenting cells, promote immune escape and play a role in tumorigenesis and tumor development. Expression of B7-H4 in tumor cells has been shown in preclinical research and published articles to be correlated with reduced overall survival, and B7-H4 has generally non-overlapping expression with both PD-L1 and S15. Given the low expression of B7-H4 on healthy cells and the results of our preclinical cross-tissue reactivity studies, we believe that anti-B7-H4 treatment is unlikely to inadvertently cause adverse effects of tissues and pathways outside of B7-H4 positive tumors and tumor-associated macrophages.</w:t>
      </w:r>
    </w:p>
    <w:p>
      <w:pPr>
        <w:spacing w:after="0" w:line="17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NC762 is a novel immunotherapeutic protein that binds to B7-H4 on the cell surface of tumors. We believe NC762 acts by inhibiting tumor cell growth and killing tumor cells, including by enhancing immune response. Preclinical research indicates that the primary mechanism of action of NC762 inhibits tumor cell growth independently of immune cell infiltration into the TME. NC762 was also designed to enhance immune response by allowing for enhanced binding to CD16a/FcγRIIIa, a receptor found on the surface of natural killer, or NK cells, in order to increase antibody-dependent T-cell-mediated cytotoxicity, or “ADCC”, activity. ADCC is a process by which effector cells such as NK cells interact with and kill antibody-coated target T-cells such as tumor cells. Extensive in vivo modeling data using human melanoma in mouse models expressing B7-H4 indicate that NC762's anti-tumor effect may be enhanced in the presence of NK cells, but that it has an anti-tumor impact even in the absence of peripheral blood mononuclear cells (comprising several types of white blood cells including NK cells), and that the primary mechanism by which NC762 inhibits tumor growth is therefore ADCC-independent.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124460</wp:posOffset>
            </wp:positionV>
            <wp:extent cx="3669030" cy="1748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6903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Preclinical studies did not raise any significant safety concerns with NC762. Specifically, dosage of cynomolgus monkeys at doses up to 100 mg/kg did not result in any observed adverse effects. A tissue cross-reactivity study of 37 tissues from three individuals found no signals that NC762 binds to tissues other than tumor tissue, which indicates that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 xml:space="preserve">NC762 is not expected to bind off target and harm cells, tissues and pathways outside of B7-H4 positive tumors and tumor-associated macrophages. In addition, an analysis of changes in serum cytokines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leads us to believe that treatment with NC762 is unlikely to trigger overactive immune responses known as cytokine storms that can have harmful effects.</w:t>
      </w:r>
    </w:p>
    <w:p>
      <w:pPr>
        <w:spacing w:after="0" w:line="14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have developed an IHC assay using a commercially purchased antibody to test tumors for B7-H4 positivity and have performed screening of multiple tumor types. We intend to use this assay to select patients for treatment through patient biopsies, including in the Phase 1 dose expansion portion of our planned Phase 1/2 clinical trial, and have validated the assay for use in clinical trials. We also intend to retroactively use immunophenotyping and serum analysis as part of our clinical trials to determine the types of cells present after treatment in order to identify biomarkers, to look for signs of clinical activity, and to help determine the likelihood of responsiveness to treatment with NC762.</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Clinical Development Plan for NC762</w:t>
      </w:r>
    </w:p>
    <w:p>
      <w:pPr>
        <w:spacing w:after="0" w:line="19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and others have observed that B7-H4 is widely expressed on a number of cancers, including non-small cell lung cancer, ovarian cancer, breast cancer and hepatocellular carcinoma. These analyses support possible targeting of these tumor types as primary indications for therapeutic treatment with NC762. Using a B7-H4-specific antibody that we identified and optimized for IHC analyses, we are currently staining various cancer tissues to gain a more comprehensive and definitive understanding of B7-H4 prevalence in both primary and metastatic lesions.</w:t>
      </w:r>
    </w:p>
    <w:p>
      <w:pPr>
        <w:spacing w:after="0" w:line="176" w:lineRule="exact"/>
        <w:rPr>
          <w:sz w:val="20"/>
          <w:szCs w:val="20"/>
          <w:color w:val="auto"/>
        </w:rPr>
      </w:pPr>
    </w:p>
    <w:p>
      <w:pPr>
        <w:jc w:val="both"/>
        <w:ind w:left="100" w:right="119" w:firstLine="583"/>
        <w:spacing w:after="0" w:line="268" w:lineRule="auto"/>
        <w:rPr>
          <w:sz w:val="20"/>
          <w:szCs w:val="20"/>
          <w:color w:val="auto"/>
        </w:rPr>
      </w:pPr>
      <w:r>
        <w:rPr>
          <w:rFonts w:ascii="Arial" w:cs="Arial" w:eastAsia="Arial" w:hAnsi="Arial"/>
          <w:sz w:val="18"/>
          <w:szCs w:val="18"/>
          <w:color w:val="auto"/>
        </w:rPr>
        <w:t>In July 2021, we initiated a Phase 1/2 clinical trial of NC762 in patients with lung cancer, breast cancer, ovarian cancer or potentially other tumor types. The Phase 1 dose-escalation portion of this open-label trial was designed to evaluate the safety and tolerability of NC762 and determine its pharmacologically active and/or maximum tolerated dose. The Phase 1 clinical trial enrolled a total of 18 patients across 5 cohorts ranging from 0.5 mg up to 20 mg. NC762 was well-tolerated.</w:t>
      </w:r>
    </w:p>
    <w:p>
      <w:pPr>
        <w:spacing w:after="0" w:line="208" w:lineRule="exact"/>
        <w:rPr>
          <w:sz w:val="20"/>
          <w:szCs w:val="20"/>
          <w:color w:val="auto"/>
        </w:rPr>
      </w:pPr>
    </w:p>
    <w:p>
      <w:pPr>
        <w:jc w:val="both"/>
        <w:ind w:left="100" w:right="119" w:firstLine="583"/>
        <w:spacing w:after="0" w:line="279" w:lineRule="auto"/>
        <w:rPr>
          <w:sz w:val="20"/>
          <w:szCs w:val="20"/>
          <w:color w:val="auto"/>
        </w:rPr>
      </w:pPr>
      <w:r>
        <w:rPr>
          <w:rFonts w:ascii="Arial" w:cs="Arial" w:eastAsia="Arial" w:hAnsi="Arial"/>
          <w:sz w:val="18"/>
          <w:szCs w:val="18"/>
          <w:color w:val="auto"/>
        </w:rPr>
        <w:t>In October 2022, we initiated NC762 into a Phase 1b expansion cohort study dosing at 10 mg and 20 mg using a CLIA-validated assay to select patients with B7-H4 expression in tumor types including NSCLC, ovarian, endometrial, hepatocellular and breast.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NC525</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 xml:space="preserve">NC525 is a novel LAIR-1 antibody that selectively targets Acute Myeloid Leukemia (AML), blast cells and leukemic stem cells (LSCs). Preclinical data show that NC525 kills AML blast cells and LSCs while sparing hematopoietic stem and progenitor cells (HSPCs). Preclinical data were presented at the ASH Meeting in December 2021. The data showed that NC525 (i) inhibits colony formation of AML LSCs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(ii) inhibits AML growth in the MV4-11 derived xenographs (CDX) animal model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(iii) restricts AML progression in patient-derived xenografts (PDX) </w:t>
      </w:r>
      <w:r>
        <w:rPr>
          <w:rFonts w:ascii="Arial" w:cs="Arial" w:eastAsia="Arial" w:hAnsi="Arial"/>
          <w:sz w:val="18"/>
          <w:szCs w:val="18"/>
          <w:i w:val="1"/>
          <w:iCs w:val="1"/>
          <w:color w:val="auto"/>
        </w:rPr>
        <w:t>in vivo</w:t>
      </w:r>
      <w:r>
        <w:rPr>
          <w:rFonts w:ascii="Arial" w:cs="Arial" w:eastAsia="Arial" w:hAnsi="Arial"/>
          <w:sz w:val="18"/>
          <w:szCs w:val="18"/>
          <w:color w:val="auto"/>
        </w:rPr>
        <w:t>. We have exclusive worldwide rights to NC525.</w:t>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Background of LAIR-1 and AML</w:t>
      </w:r>
    </w:p>
    <w:p>
      <w:pPr>
        <w:spacing w:after="0" w:line="185"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A significant unmet need exists for patients with AML whose disease relapses after, or is primarily refractory to, standard of care treatments. In such patients, relapse is mediated by the persistence of chemotherapy-resistant LSCs. NC525 is a humanized immunoglobulin gamma 1, kappa (IgG1κ) monoclonal antibody specific for Leukocyte Associated Immunoglobulin Like Receptor 1 (LAIR-1) protein. While LAIR-1 is exclusively expressed on immune cells, its expression is elevated on AML cells. LAIR-1 is highly expressed on leukemic stem cells from AML patients but its relatively low expression on normal hematopoietic stem cells (HSCs) makes it a unique and attractive target for a novel AML therapy. Based on the non-clinical studies performed with NC525 and its parent molecule 11B3.IgG1 to date, NC525 binds human LAIR-1 with an affinity of approximately 3 nM. NC525 induces anti-leukemic activity primarily by modulating LAIR-1 signaling in the AML cells, and to some extent, inducing IgG1 antibody-dependent cellular cytotoxicity (ADCC). In multiple humanized cell lines (CDX) and patient derived (PDX) mouse models, NC525 exhibited potent anti-leukemic activity. NC525 potently restricted leukemic tumor growth of MV4-11 and THP-1 cells in the humanized murine CDX models. In PDX models, the disease progression and tumor burden of the patient-derived AML bone marrow transplanted in NSG-SGM3 mice was significantly abolished by NC525 treatment. This anti-tumor activity was observed in at least four independent experiments utilizing bone marrows derived from different AML patients. NC525 also inhibited colony formation of patient-derived leukemic stem cells in an in vitro assay but did not affect colony formation of normal HSCs. Likewise, NC525 did not affect normal immune cells from CD34+ cord blood cells reconstituted in an NSG-SGM3 murine model.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Clinical Development Plan for NC525</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initiated a Phase 1 trial in February 2023 to evaluate the safety and preliminary efficacy of NC525 in patients with AML, high-risk myelodyplastic syndrome, and chronic myelomonocytic leukemia (CMML). This open-label trial is being designed to evaluate the safety and tolerability of NC525 and determine its pharmacologically active and/or maximum tolerated dose.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NC318</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NC318 is a monoclonal antibody that binds specifically to human S15 with high affinity. S15 is a member of the sialic acid-binding immunoglobulin lectins, or Siglec, family, a distinct subgroup of the immunoglobulin superfamily of proteins. Siglecs are expressed on most white blood cells of the immune system, except for T-cells. We have exclusive worldwide rights to NC318.</w:t>
      </w:r>
    </w:p>
    <w:p>
      <w:pPr>
        <w:spacing w:after="0" w:line="18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October 2018, we initiated the Phase 1 portion of a Phase 1/2 clinical trial to evaluate NC318 as a monotherapy in patients with advanced or metastatic solid tumors. This open-label Phase 1/2 clinical trial was designed to assess the safety and tolerability of NC318, to define the maximum tolerable dose and/or pharmacologically active dose and to assess preliminary efficacy. Based on the results of the Phase 1 portion of that Phase 1/2 clinical trial, we began enrolling patients in the Phase 2 portion of the trial in October 2019. In April 2021, Yale University commenced a Phase 2 investigator-initiated clinical trial of NC318 in combination with pembrolizumab in patients with non-small cell lung cancer (NSCLC).</w:t>
      </w:r>
    </w:p>
    <w:p>
      <w:pPr>
        <w:spacing w:after="0" w:line="16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November 2022, we announced that we would not continue to move NC318 forward in the Phase 2 monotherapy clinical trial. Although NC318 has been shown to be well-tolerated in patients, based on the totality of the NC318 monotherapy efficacy data we decided to wind down that clinical study. Patient dosing has been completed in our Phase 2 monotherapy clinical trial for NC318, and we expect patient follow up to be completed in first quarter of 2023. The Company will continue to support Yale University’s ongoing Phase 2 investigator initiated trial (IIT) of NC318 in combination with pembrolizumab in NSCLC patients by providing NC318 drug product to Yale.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Research Programs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In addition to advancing our clinical trials for NC410, NC762 and NC525, we are also pursuing preclinical evaluation of other potential novel immunomodulatory molecules.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FIND-IO Platform</w:t>
      </w:r>
    </w:p>
    <w:p>
      <w:pPr>
        <w:spacing w:after="0" w:line="12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FIND-IO platform uses proprietary approaches to functionally assess immune pathways in both primary immune cells and established cell lines from immune lineages, including T-cell subsets, monocytes, macrophage subpopulations, dendritic cells, cancer cell lines, and cells isolated from diseased patients. This platform allows us to identify proteins that can be targeted with novel immunomedicines to repair and maintain anti-tumor immunity. We have identified multiple novel targets using our FIND-IO platform, including those for which certain of our research programs are being designed to target.</w:t>
      </w:r>
    </w:p>
    <w:p>
      <w:pPr>
        <w:spacing w:after="0" w:line="192" w:lineRule="exact"/>
        <w:rPr>
          <w:sz w:val="20"/>
          <w:szCs w:val="20"/>
          <w:color w:val="auto"/>
        </w:rPr>
      </w:pPr>
    </w:p>
    <w:p>
      <w:pPr>
        <w:jc w:val="both"/>
        <w:ind w:left="100" w:right="119" w:firstLine="583"/>
        <w:spacing w:after="0" w:line="265" w:lineRule="auto"/>
        <w:rPr>
          <w:sz w:val="20"/>
          <w:szCs w:val="20"/>
          <w:color w:val="auto"/>
        </w:rPr>
      </w:pPr>
      <w:r>
        <w:rPr>
          <w:rFonts w:ascii="Arial" w:cs="Arial" w:eastAsia="Arial" w:hAnsi="Arial"/>
          <w:sz w:val="18"/>
          <w:szCs w:val="18"/>
          <w:color w:val="auto"/>
        </w:rPr>
        <w:t>The goal of our FIND-IO platform is to sustain a pipeline of novel immunomedicines that restore normal immune function to treat cancer and other immune-related diseases. While we are primarily focused on cancer treatment, we believe that our proprietary technology, our approach, our understanding of biological pathways and the convergence of immunology and inflammation provide us with opportunity to explore novel immunomedicines for other significant unmet medical needs. To maximize the full potential of our platform and expertise, we are expanding the functional screening approach of our FIND-IO platform to the identification of novel targets in autoimmunity and inflammation, as well as in neuro-inflammatory diseases.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Collaboration Agreements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Agreements with Yale University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 with Yale</w:t>
      </w:r>
    </w:p>
    <w:p>
      <w:pPr>
        <w:spacing w:after="0" w:line="185"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We entered into a license agreement with Yale, or the Yale Agreement, in December 2015 pursuant to which we obtained an exclusive, royalty-bearing, sublicensable worldwide license to products that either incorporate certain licensed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patents used in the discovery of targets or arise out of research and development of Dr. Chen’s laboratory at Yale, including S15, and subsequently amended the Yale Agreement in January 2020 and October 2021. We are obligated to pay Yale low single-digit royalties on sales of products, including NC318, that are either covered by the patents licensed to us under the Yale Agreement or arise out of Dr. Chen’s laboratory as a result of research under the corporate sponsored research agreement described below, subject to minimum annual royalty payments in the low to mid hundreds of thousands of dollars. Until we are required to pay royalties under the Yale Agreement, we must pay an annual license maintenance fee to Yale in the mid to high tens of thousands of dollars. In addition, with respect to each product covered by licenses under the Yale Agreement, we are obligated to pay Yale milestone payments upon (i) the initiation of each of a Phase 1 clinical trial, Phase 2 clinical trial and Phase 3 clinical trial or a pivotal trial, (ii) first commercial sale in the United States and (iii) first commercial sale in China, Japan or a major European country, in an aggregate amount of up to $2,975,000. The term of the license agreement with Yale runs, on a country-by-country basis, until the later of the expiration of all licensed patents or 10 years from the first commercial sale in such country, unless Yale has cause to terminate earlier for our material breach of the license, bankruptcy or if we or any sublicensee bring a challenge against Yale in relation to the licensed patents. We have the right to terminate the Yale Agreement for Yale’s material breach or at any time during the term with six months’ prior written notice to Yale.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Sponsored Research Agreement with Yale</w:t>
      </w:r>
    </w:p>
    <w:p>
      <w:pPr>
        <w:spacing w:after="0" w:line="19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connection with the Yale Agreement, we also entered into a corporate sponsored research agreement, or “SRA”, with Yale, pursuant to which we had agreed to provide an aggregate of up to $15 million to fund a research program aimed at discovering new targets for immunomedicines. The SRA was subsequently amended in January 2020, October 2021 and September 2022 and will expire on March 31, 2023.</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have a purpose-built, dedicated, state-of-the-art cGMP manufacturing facility that utilizes single-use technology to support our pipeline and advance our product candidates into and through clinical development. The facility has a production capacity of 2,000 liters in order to support multiple product candidates. The investment in our manufacturing facility is a critical element of our ability to quickly identify whether a candidate is likely to be successful and to facilitate an efficient development path. While other companies may need to work with third parties for antibody production, we can do so in our own facility. Compared to working with third-party manufacturers, we believe our facility provides better quality assurance, greater control in scheduling and prioritizing manufacturing activities and enhanced capital efficiency. We are currently manufacturing all of the drug supply for our ongoing preclinical studies and our Phase 1/2 clinical trials of NC410 and NC762, and Phase 1 clinical trial of NC525, and intend to provide the drug supply for our future clinical trials of NC410, NC762 and NC525 and for the Yale IIT combination trial for NC318. As we advance the development of our growing pipeline of product candidates, we will continue to evaluate the merits of further expanding our internal manufacturing capabilities, including for the production of commercial drug supply, as compared to collaborating with third-party manufacturers.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The biotechnology and pharmaceutical industries, and the immuno-oncology subsector, are characterized by rapid evolution of technologies, fierce competition and strong defense of intellectual property. We believe that our programs, platforms, technology, knowledge, experience and scientific resources provide us with competitive advantages, but we also face competition from pharmaceutical and biotechnology companies, academic institutions, governmental agencies and public and private research institutions, among others. Our competitors include larger and better funded biopharmaceutical, biotechnology and therapeutics companies, including companies focused on cancer immunotherapies. Moreover, we may also compete with smaller or earlier-stage companies, universities and other research institutions that have developed, are developing or may be developing current and future cancer therapeutics.</w:t>
      </w:r>
    </w:p>
    <w:p>
      <w:pPr>
        <w:spacing w:after="0" w:line="16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Product candidates that we successfully develop and commercialize will compete with a range of therapies that are currently approved and any new therapies that may become available in the future. Key product features that would affect our ability to effectively compete with other therapeutics include the efficacy, safety and convenience of our products. Currently marketed oncology drugs and therapeutics range from traditional cancer therapies, including chemotherapy, to antibody-drug conjugates, such as Genentech Inc.’s Kadcyla, to immune checkpoint inhibitors targeting CTLA-4, such as BMS’ Yervoy, and PD-1/PD-L1, such as BMS’ Opdivo, Merck &amp; Co.’s Keytruda and Genentech’s Tecentriq, to T-cell-engager immunotherapies, such as Amgen’s Blincyto. In addition to these marketed therapies, numerous compounds are in clinical development for the potential treatment of cancer.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Our commercial success depends in part on our ability to obtain and maintain proprietary protection for our products, methods and manufacturing processes, to operate without infringing on the proprietary rights of others and to prevent others from infringing on our proprietary rights. We rely on a combination of patents, patent applications and trade secrets, as well as contractual protections, to establish and protect our intellectual property rights. We seek to protect our proprietary position by, among other things, filing patent applications in the United States and internationally. Our patent estate includes patents and patent applications with claims relating to our product candidates, methods of use and manufacturing processes, and claims for potential future products and developments. As of December 31, 2022, our intellectual property portfolio includes, on a worldwide basis, 20 pending foreign patent applications relating to NC318, NC410, NC762 and NC525, two pending U.S. patent application relating to NC318, one pending U.S. patent application relating to NC410, two pending U.S. patent applications relating to NC762, one U.S. patent application relating to NC525 and additional pending patent applications for other discovery and research programs. Patents resulting from our patent applications for NC318, NC410 and NC525, if issued, are expected to expire beginning in 2037 absent any patent term adjustments or extensions and for NC762, if issued, are expected to expire beginning in 2039 absent any patent term adjustments or extensions.</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addition, as described above, under the Yale Agreement, we have an exclusive, royalty-bearing, sublicensable worldwide license from Yale for an intellectual property portfolio, including among other things a patent relating to methods of use for S15 that covers the use of NC318 and a patent relating to FIND-IO. These and any other patents that might issue from these licensed patent applications are expected to expire no earlier than 2036 absent any patent term adjustments or extensions.</w:t>
      </w:r>
    </w:p>
    <w:p>
      <w:pPr>
        <w:spacing w:after="0" w:line="188"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For all patent applications, we determine strategy for claim scope on a case-by-case basis, taking into account advice of counsel and our business model and needs. We file patents containing claims for protection of all useful applications of our proprietary technologies and any products, as well as all new applications and/or uses we discover for existing technologies and products, based on our assessment of their strategic value. We continuously reassess the number and type of patent applications, as well as the pending and issued patent claims to ensure that maximum coverage and value are obtained for our processes and compositions, given existing patent office rules and regulations. Further, claims may be modified during patent prosecution to meet our intellectual property and business needs.</w:t>
      </w:r>
    </w:p>
    <w:p>
      <w:pPr>
        <w:spacing w:after="0" w:line="166" w:lineRule="exact"/>
        <w:rPr>
          <w:sz w:val="20"/>
          <w:szCs w:val="20"/>
          <w:color w:val="auto"/>
        </w:rPr>
      </w:pPr>
    </w:p>
    <w:p>
      <w:pPr>
        <w:jc w:val="both"/>
        <w:ind w:left="100" w:right="119" w:firstLine="583"/>
        <w:spacing w:after="0" w:line="303" w:lineRule="auto"/>
        <w:rPr>
          <w:sz w:val="20"/>
          <w:szCs w:val="20"/>
          <w:color w:val="auto"/>
        </w:rPr>
      </w:pPr>
      <w:r>
        <w:rPr>
          <w:rFonts w:ascii="Arial" w:cs="Arial" w:eastAsia="Arial" w:hAnsi="Arial"/>
          <w:sz w:val="16"/>
          <w:szCs w:val="16"/>
          <w:color w:val="auto"/>
        </w:rPr>
        <w:t>We also rely upon trade secrets, know-how and continuing technological innovation to develop and maintain our competitive position, including with respect to our FIND-IO platform. We seek to protect our proprietary technology and processes, in part, by confidentiality and invention assignment agreements with our employees, consultants, scientific advisors and other contractors. In addition, in the ordinary course of our business, we enter into agreements with other third parties for non-exclusive rights to intellectual property directed to other technologies that are ancillary to our business, including laboratory information management software and research and development tools. In addition, we have trademark registrations with the U.S. Patent and Trademark Office, or the USPTO, for “NextCure” and our logo.</w:t>
      </w:r>
    </w:p>
    <w:p>
      <w:pPr>
        <w:spacing w:after="0" w:line="2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Regulation and Product Approval</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biological products. Along with third-party contractors, we will be required to navigate the various preclinical, clinical and commercial approval requirements of the governing regulatory agencies of the countries in which we intend to conduct studies or seek approval or licensure of our product candidates. The processes for obtaining regulatory approvals in the United States and in foreign jurisdictions, along with subsequent compliance with applicable laws and regulations and other regulatory authorities, require the expenditure of substantial time and financial resources.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Government policies may change, and additional government regulations may be enacted, that may prevent or delay further development or regulatory approval of any product candidates, product or manufacturing changes, additional disease indications or label changes. We cannot predict the likelihood, nature or extent of government regulation that might arise from future legislative or administrative action.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Review and Approval for Licensing Biologics in the United States</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the United States, the FDA regulates our current product candidates as biological products, or biologics, under the Federal Food, Drug, and Cosmetic Act, or “FDCA”, the Public Health Service Act and associated implementing regulations. Biologics, like other drugs, are used for the treatment, prevention or cure of disease in humans. In contrast to small molecular weight drugs, which have a well-defined structure and can be thoroughly characterized, biologics are generally derived from living material (human, animal or microorganism) are complex in structure, and thus are usually not fully characterized. Biologics include immunomedicines for cancer and other diseases.</w:t>
      </w:r>
    </w:p>
    <w:p>
      <w:pPr>
        <w:spacing w:after="0" w:line="16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Biologics are also subject to other federal, state and local statutes and regulations. The failure to comply with applicable statutory and regulatory requirements at any time during the product development process, approval process or after approval may subject a sponsor or applicant to administrative or judicial enforcement actions. These actions could include the suspension or termination of clinical trials by the FDA, the FDA’s refusal to approve pending applications or supplemental applications, withdrawal of an approval, Warning Letters or Untitled Letters, product recalls, product seizures, total or partial suspension of production or distribution, import detention, injunctions, fines, refusals of government contracts, restitution, disgorgement of profits, or civil or criminal investigations and penalties brought by the FDA, the Department of Justice, or the DOJ, or other governmental entities.</w:t>
      </w:r>
    </w:p>
    <w:p>
      <w:pPr>
        <w:spacing w:after="0" w:line="178"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An applicant seeking approval to market and distribute a biologic in the United States must typically undertake the following:</w:t>
      </w:r>
    </w:p>
    <w:p>
      <w:pPr>
        <w:spacing w:after="0" w:line="170" w:lineRule="exact"/>
        <w:rPr>
          <w:sz w:val="20"/>
          <w:szCs w:val="20"/>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performed in accordance with the FDA’s good laboratory practice, or “GLP”, regulations;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manufacture, labeling and distribution of investigational drug in compliance with cGMP;</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must become effective before clinical trials may begin and must be updated annually or when significant changes are made;</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each clinical trial may be initiated;</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the FDA’s current Good Clinical Practices requirements, or “cGCP”, to establish the safety, purity and potency of the proposed biological product candidate for its intended purpose;</w:t>
      </w:r>
    </w:p>
    <w:p>
      <w:pPr>
        <w:spacing w:after="0" w:line="183"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preparation of and submission to the FDA of a biologics license application, or “BLA”, after completion of all pivotal clinical trials requesting marketing approval for one or more proposed indications;</w:t>
      </w:r>
    </w:p>
    <w:p>
      <w:pPr>
        <w:spacing w:after="0" w:line="14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satisfactory completion of an FDA Advisory Committee review, where appropriate, as may be requested by the FDA to assist with its review;</w:t>
      </w:r>
    </w:p>
    <w:p>
      <w:pPr>
        <w:spacing w:after="0" w:line="170"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at which the proposed product, or certain components thereof, are produced to assess compliance with cGMP and data integrity requirements to assure that the facilities, methods and controls are adequate to preserve the biologic’s identity, safety, quality, purity and potency;</w:t>
      </w:r>
    </w:p>
    <w:p>
      <w:pPr>
        <w:spacing w:after="0" w:line="186"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FDA audits of selected clinical investigation sites to assure compliance with cGCP requirements and the integrity of the clinical data;</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of user fees under the Prescription Drug User Fee Act for the relevant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FDA review and approval of the BLA to permit commercial marketing of the licensed biologic for particular indications for use in the United States; and</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post-approval requirements, including the potential requirements to implement a Risk Evaluation and Mitigation Strategy, or “REMS”, adverse event and biological product deviation reporting and to complete any post-approval studies.</w:t>
      </w:r>
    </w:p>
    <w:p>
      <w:pPr>
        <w:spacing w:after="0" w:line="18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 xml:space="preserve">Before an applicant can begin testing the potential candidate in human subjects, the applicant must first conduct preclinical studies. Preclinical studies include laboratory evaluations of product chemistry, toxicity and formulation, as well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potential safety and activity of the drug for initial testing in humans and to establish a rationale for therapeutic use. Preclinical studies are subject to federal regulations and requirements, including GLP regulations. The results of an applicant’s preclinical studies are submitted to the FDA as part of an IND.</w:t>
      </w:r>
    </w:p>
    <w:p>
      <w:pPr>
        <w:spacing w:after="0" w:line="161"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An IND is a request for authorization from the FDA to administer an investigational new drug product to humans. An IND is an exemption from the FDCA that allows an unapproved drug to be shipped in interstate commerce for use in an investigational clinical trial. Such authorization must be secured prior to interstate shipment and administration of a biologic that is not the subject of an approved BLA. In support of a request for an IND, applicants must submit a protocol for each clinical trial. Any subsequent protocol amendments must be submitted to the FDA as part of the IND.</w:t>
      </w:r>
    </w:p>
    <w:p>
      <w:pPr>
        <w:spacing w:after="0" w:line="16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Human clinical trials cannot begin until an IND is effective. The IND automatically becomes effective 30 days after receipt by the FDA, unless the FDA raises safety concerns or questions about the proposed clinical trial within the 30-day time period.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FDA may also place a clinical hold or partial clinical hold on such trial following commencement of a clinical trial under an IND.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18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cGCP regulations, which include the requirement that all research subjects provide their informed consent for their participation in any clinical trial. Clinical trials are conducted under protocols detailing, among other things, the objectives of the trial, the parameters to be used in monitoring safety and the effectiveness criteria to be evaluated. A separate submission to the existing IND must be made for each successive clinical trial conducted during product development and for any subsequent protocol amendments.</w:t>
      </w:r>
    </w:p>
    <w:p>
      <w:pPr>
        <w:spacing w:after="0" w:line="17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A sponsor may choose, but is not required, to conduct a foreign clinical study under an IND. When a foreign clinical study is conducted under an IND, all FDA IND requirements must be met unless waived. When the foreign clinical study is not conducted under an IND, the sponsor must ensure that the study complies with cGCP regulations in order to use the study as support for an IND or application for marketing approval, including cGCP regulations, including review and approval by an independent ethics committee and informed consent from subjects.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Some trials also include oversight by an independent group of qualified experts organized by the clinical trial sponsor, known as a data safety monitoring board, or “DSMB”. DSMBs provide recommendations for whether or not a trial may move forward at designated check points based on access to certain data from the trial and may recommend halting the clinical trial if it determines that there is an unacceptable safety risk for subjects or other grounds, such as no demonstration of efficacy. Other grounds for suspension or termination may be made based on evolving business objectives and/or competitive climate. There are also requirements governing the reporting of ongoing clinical trials and clinical trial results to public registries.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purposes of BLA approval, clinical trials are typically conducted in the following sequential phases:</w:t>
      </w:r>
    </w:p>
    <w:p>
      <w:pPr>
        <w:spacing w:after="0" w:line="225" w:lineRule="exact"/>
        <w:rPr>
          <w:sz w:val="20"/>
          <w:szCs w:val="20"/>
          <w:color w:val="auto"/>
        </w:rPr>
      </w:pPr>
    </w:p>
    <w:p>
      <w:pPr>
        <w:jc w:val="both"/>
        <w:ind w:left="1040" w:right="79" w:hanging="315"/>
        <w:spacing w:after="0" w:line="279"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Phase 1: The investigational product is initially introduced into healthy human subjects or patients with the target disease or condition. These trials are designed to test the safety, dosage tolerance, absorption, metabolism and distribution of the investigational product in humans and the side effects associated with increasing doses. These trials may also yield early evidence of effectiveness.</w:t>
      </w:r>
    </w:p>
    <w:p>
      <w:pPr>
        <w:spacing w:after="0" w:line="171" w:lineRule="exact"/>
        <w:rPr>
          <w:rFonts w:ascii="Arial" w:cs="Arial" w:eastAsia="Arial" w:hAnsi="Arial"/>
          <w:sz w:val="17"/>
          <w:szCs w:val="17"/>
          <w:color w:val="auto"/>
        </w:rPr>
      </w:pPr>
    </w:p>
    <w:p>
      <w:pPr>
        <w:jc w:val="both"/>
        <w:ind w:left="1040" w:right="79" w:hanging="315"/>
        <w:spacing w:after="0" w:line="279"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1" w:lineRule="exact"/>
        <w:rPr>
          <w:rFonts w:ascii="Arial" w:cs="Arial" w:eastAsia="Arial" w:hAnsi="Arial"/>
          <w:sz w:val="17"/>
          <w:szCs w:val="17"/>
          <w:color w:val="auto"/>
        </w:rPr>
      </w:pPr>
    </w:p>
    <w:p>
      <w:pPr>
        <w:jc w:val="both"/>
        <w:ind w:left="1040" w:right="79" w:hanging="315"/>
        <w:spacing w:after="0" w:line="255"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generate sufficient data to statistically evaluate the efficacy and safety of the product for approval, to establish the overall risk/benefit ratio of the investigational product and to provide an adequate basis for product approval by the FDA.</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These phases may overlap or be combined. In some cases, the FDA may require, or companies may voluntarily pursue, additional clinical trials, after a product is approved, to gain more information about the product, referred to as Phase 4 trials. Such post-approval trials, when applicable, are conducted following initial approval, typically to develop additional data and information relating to the biological characteristics of the product and treatment of patients in the intended therapeutic indication.</w:t>
      </w:r>
    </w:p>
    <w:p>
      <w:pPr>
        <w:spacing w:after="0" w:line="18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suspected serious and unexpected adverse reactions; findings from epidemiological studies, pooled analysis of multiple studies,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or other clinical studies, whether or not conducted under an IND, and whether or not conducted by the sponsor, that suggest a significant risk in humans exposed to the drug; and any clinically important increase in the rate of a serious suspected adverse reaction over such rate listed in the protocol or investigator brochure.</w:t>
      </w:r>
    </w:p>
    <w:p>
      <w:pPr>
        <w:spacing w:after="0" w:line="16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Our planned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cGCP and the integrity of the clinical data submitted.</w:t>
      </w:r>
    </w:p>
    <w:p>
      <w:pPr>
        <w:spacing w:after="0" w:line="164"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During clinical development, the sponsor often refines the indication and endpoints on which the BLA will be based. For endpoints based on patient-reported outcomes, or “PROs”, and outcome reported outcomes, or “OROs”,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process typically is an iterative one. The FDA has issued guidance on the framework it uses to evaluate PRO instruments. Although the agency may offer advice on optimizing PRO and ORO instruments during the clinical development process, the FDA usually reserves final judgment until it reviews the BLA.</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Concurrent with clinical trials, companies often complete additional animal studies, and develop additional information about the chemistry and physical characteristics of the drug and finalize a process for manufacturing the product in commercial quantities in accordance with cGMP.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If an applicant successfully completes all required clinical testing in accordance with all applicable regulatory requirements, an applicant may submit a BLA requesting licensing to market the biologic for one or more indications in the United States. The BLA must include the results of product development, nonclinical studies and clinical trials; detailed information on the product’s chemistry, manufacture, controls and proposed labeling. Under the Prescription Drug User Fee Amendments, a BLA submission is subject to an application user fee, unless a waiver or exemption applies. The cost of preparing and submitting a BLA is substantial. The submission of most BLAs is additionally subject to a substantial application user fee, currently for 2023 exceeding $3.2 million, and the manufacturer and sponsor under an approved BLA are also subject to annual program fees, currently $393,933 for each prescription product. These fees are typically increased annually.</w:t>
      </w:r>
    </w:p>
    <w:p>
      <w:pPr>
        <w:spacing w:after="0" w:line="19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FDA will initially review the BLA for completeness before accepting it for filing. Under the FDA’s procedures, the agency has 60 days from its receipt of a BLA to determine whether the application will be accepted for filing and substantive review. If the agency determines that the application does not meet this initial threshold standard, the FDA may refuse to file the application and request additional information, in which case the application must be resubmitted with the requested information and review of the application delayed.</w:t>
      </w:r>
    </w:p>
    <w:p>
      <w:pPr>
        <w:spacing w:after="0" w:line="18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With certain exceptions, BLAs must include a pediatric assessment, generally based on clinical trial data, of the safety and effectiveness of the biologic in relevant pediatric populations. Under certain circumstances, the FDA may waive or defer the requirement for a pediatric assessment, either at the sponsor’s request or by the agency’s initiative.</w:t>
      </w:r>
    </w:p>
    <w:p>
      <w:pPr>
        <w:spacing w:after="0" w:line="14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After the BLA is accepted for filing, the FDA reviews the BLA to determine, among other things, whether a product is safe, pure and potent and if the facility in which it is manufactured, processed, packed or held meets standards designed to assure the product’s continued identity, strength, quality,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comply with cGMP and are adequate to assure consistent production of the product within required specifications. In addition, the FDA expects that all data be reliable and accurate and requires sponsors to implement meaningful and effective strategies to manage data integrity risks. Data integrity is an important component of the sponsor’s responsibility to ensure the safety, efficacy and quality of its product or products.</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FDA will typically inspect one or more clinical sites to assure compliance with cGCP regulations before approving a BLA.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FDA performance goals generally provide for action on a BLA within 10 months of filing, which (as discussed above) typically occurs within 60 days of submission, but that deadline is extended in certain circumstances. Furthermore, the review process is often significantly extended by the FDA’s requests for additional information or clarification.</w:t>
      </w:r>
    </w:p>
    <w:p>
      <w:pPr>
        <w:spacing w:after="0" w:line="149"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The FDA may refer applications for novel products or products that present difficult questions of safety or efficacy to an advisory committee. Typically, an advisory committee consists of a panel that includes clinicians and other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experts who will review, evaluate and provide a recommendation as to whether the application should be approved and, if so, under what conditions. The FDA is not bound by the recommendations of an advisory committee, but it considers such recommendations carefully when making decisions and usually has followed such recommendations.</w:t>
      </w:r>
    </w:p>
    <w:p>
      <w:pPr>
        <w:spacing w:after="0" w:line="16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After the FDA evaluates a BLA and conducts inspections of manufacturing facilities where the investigational product and/or its components will be produced, the FDA may issue an approval letter or a Complete Response Letter, or “CRL”. An approval letter authorizes commercial marketing of the biologic with specific prescribing information for specific indications.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If the deficiencies have been addressed to the FDA’s satisfaction in a resubmission of the BLA, the FDA will issue an approval letter. In issuing the CRL, the FDA may recommend actions that the applicant might take to place the BLA in condition for approval, including requests for additional data, information or clarification. The FDA may delay or refuse approval of a BLA if applicable regulatory criteria are not satisfied and may require additional testing or information and/or require post-marketing studies and clinical trials. Even with submission of this additional information, the FDA ultimately may decide that the application does not satisfy the regulatory criteria for approval.</w:t>
      </w:r>
    </w:p>
    <w:p>
      <w:pPr>
        <w:spacing w:after="0" w:line="17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During the approval process, the FDA will determine whether a REMS is necessary to assure the safe use of the biologic.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If the FDA concludes that a REMS is needed, the BLA sponsor must submit a proposed REMS and the FDA will not approve the BLA without a REMS that the agency has determined is acceptable.</w:t>
      </w:r>
    </w:p>
    <w:p>
      <w:pPr>
        <w:spacing w:after="0" w:line="164"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If the FDA approves a product, it may limit the approved indications for use for the product, or require that contraindications, warnings or precautions be included in the product labeling. The FDA may also require that post-approval studies, including Phase 4 clinical trials, be conducted to further assess the drug’s safety after approval. The FDA may prevent or limit further marketing of a product based on the results of post-market studies or surveillance programs.</w:t>
      </w:r>
    </w:p>
    <w:p>
      <w:pPr>
        <w:spacing w:after="0" w:line="15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FDA may also require testing and surveillance programs to monitor the product after commercialization. For biologics, such testing may include official lot release, which requires the manufacturer to perform certain tests on each lot of the product before it is released for distribution. The manufacturer then typically must submit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itself, before releasing the lots for distribution by the manufacturer.</w:t>
      </w:r>
    </w:p>
    <w:p>
      <w:pPr>
        <w:spacing w:after="0" w:line="178"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After approval, many types of changes to the approved product, such as adding new indications, manufacturing changes and additional labeling claims, are often subject to further testing requirements and FDA review and approval, depending on the nature of the post-approval change. The FDA may withdraw the product approval if compliance with pre-and post-marketing requirements is not maintained or if problems occur after the product reaches the marketplace.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Any products manufactured or distributed pursuant to FDA approvals are subject to pervasive and continuing regulation by the FDA, including, among other things, requirements relating to recordkeeping, periodic reporting, reporting of certain deviations and adverse experiences, product sampling and distribution and advertising and promotion of the product. After approval, most changes to the approved product, such as adding new indications or other labeling claims, are subject to FDA review and approval. Biologic manufacturers and their third-party contractors are required to register their facilities with the FDA and certain state agencies. These facilities are subject to routine and periodic unannounced inspections by the FDA and certain state agencies for compliance with cGMP, post-marketing safety reporting and data integrity requirements, which impose certain procedural and documentation requirements to assure quality of manufacturing and product. FDA has increasingly observed cGMP violations involving data integrity during site inspections and is a significant focus of its oversight. Requirements with respect to data integrity include, among other things, controls to ensure data are complete and secure; activities documented at the time of performance; audit trail functionality; authorized access and limitations; validated computer systems; and review of records for accuracy, completeness and compliance with established standards.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Post-approval changes to the manufacturing process are strictly regulated, and, depending on the significance of the change, may require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data integrity, pharmacovigilance and other aspects of regulatory compliance.</w:t>
      </w:r>
    </w:p>
    <w:p>
      <w:pPr>
        <w:spacing w:after="0" w:line="192"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post-approval studies or clinical trials to assess new safety risks; or imposition of distribution or other restrictions under a REMS. Other potential consequences include, among other things:</w:t>
      </w:r>
    </w:p>
    <w:p>
      <w:pPr>
        <w:spacing w:after="0" w:line="178" w:lineRule="exact"/>
        <w:rPr>
          <w:sz w:val="20"/>
          <w:szCs w:val="20"/>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fines, Warning Letters, Untitled Letters or holds on post-approval clinical studies;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 Import Alert; or</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permanent injunctions and consent decrees, including the imposition of civil or criminal penalties.</w:t>
      </w:r>
    </w:p>
    <w:p>
      <w:pPr>
        <w:spacing w:after="0" w:line="22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FDA strictly regulates the marketing, labeling, advertising and promotion of prescription drug and biological products placed on the market. A company can make only those claims relating to safety and efficacy, purity and potency that are approved by the FDA and in accordance with the provisions of the approved label. The FDA’s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relating to a product’s safety or effectiveness are prohibited before the drug is approved. After approval, a product generally may not be promoted for uses that are not approved by the FDA, as reflected in the product’s prescribing information. In the United States, healthcare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18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If a company is found to have promoted off-label uses, it may become subject to adverse public relations and administrative and judicial enforcement by the FDA, the DOJ or the Office of the Inspector General of the Department of Health and Human Services, or “HHS”, as well as other federal and state authorities. This could subject a company to a range of penalties that could have a significant commercial impact, including civil, administrative, and criminal fines, penalties, and agreements that materially restrict the manner in which a company promotes or distributes products. The federal government has levied large civil, administrative, and criminal fines and penalties against companies for alleged improper promotion and has also requested that companies enter into consent decrees and permanent injunctions under which specified promotional conduct is changed or curtailed.</w:t>
      </w:r>
    </w:p>
    <w:p>
      <w:pPr>
        <w:spacing w:after="0" w:line="17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distribution of prescription drug and biological products are subject to the Drug Supply Chain Security Act, or “DSCSA”, which requires manufacturers and other stakeholders to comply with product identification, tracing, verification, detection and response, notification and licensing requirements. In addition, the Prescription Drug Marketing Act and its implementing regulations and state laws limit the distribution of prescription pharmaceutical product samples, and the DSCSA imposes requirements to ensure accountability in distribution and to identify and remove prescription drug and biological products that may be counterfeit, stolen, contaminated, or otherwise harmful from the market.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 Term Restoration</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After approval, owners of relevant drug or biological product patents may apply for up to a five-year patent extension to restore a portion of patent term lost during product development and FDA review of a BLA under the Drug Price Competition and Patent Term Restoration Act of 1984, referred to as the Hatch-Waxman Act. The allowable patent term extension is calculated as one-half of the product’s testing phase, which is the time between IND and BLA submission, and all of the review phase, which is the time between BLA submission and approval, up to a maximum of five years. The time can be shortened if the FDA determines that the applicant did not pursue approval with due diligence. The total patent term after the extension may not exceed more than 14 years from the date of FDA approval of the product. Only one patent claiming each approved product is eligible for restoration and the patent holder must apply for restoration within 60 days of approval. The USPTO, in consultation with the FDA, reviews and approves the application for patent term restoration.</w:t>
      </w:r>
    </w:p>
    <w:p>
      <w:pPr>
        <w:spacing w:after="0" w:line="19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product candidate covered by the patent for which a patent extension is being sought is likely. Interim patent extensions are not available for a product candidate for which a BLA has not been submitted.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Biosimilars and Marketing Exclusivities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Biologics Price Competition and Innovation Act, or “BPCIA,” created an abbreviated approval pathway for biological product candidates shown to be highly similar to or interchangeable with an FDA licensed biological product. A biological product on which another biological product candidate’s BLA relies to establish biosimilarity is known as a reference product. Biosimilarity sufficient to reference a prior FDA-approved product requires that the biological product candidate be highly similar to the reference product not withstanding minor differences in clinically inactive components, and there be no clinically meaningful differences between the biological product candidate and the reference product in terms of safety, purity and potency. Biosimilarity must be shown through analytical trials, animal trials and at least one clinical trial, unless the FDA waives a required element. A biosimilar product candidate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Complexities associated with the larger, and often more complex, structures of biologics, as well as the process by which such products are manufactured, pose significant hurdles to implementation of the abbreviated approval pathway that are still being worked out by the FDA.</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 reference biologic is granted 12 years of exclusivity from the time of first licensure of the reference product, and no application for a biosimilar can be submitted for four years from the date of licensure of the reference product. The first interchangeable biosimilar biological product has exclusivity against a finding of interchangeability for other biologics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 month period. State pharmacy laws and regulations govern whether products deemed “interchangeable” by the FDA will, in fact, be readily substituted by pharmacies, and may impose additional requirements such as notification of prescriber and/or patient, documentation and recordkeeping.</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If a biologic is designated and approved for an orphan indication, it will be granted seven years of orphan drug exclusivity. An orphan indication is granted to biological products and drugs designated and approved to treat diseases or conditions affecting fewer than 200,000 individuals in the United States, or if there is no reasonable expectation that the sponsor will be able to recover the costs of developing and marketing the drug or biological product in the United States. During the seven-year exclusivity period, the FDA may not approve any other applications to market the same drug or biological product for the same disease, except in limited circumstances, such as a showing of clinical superiority to the product with orphan drug exclusivity. A biosimilar may not be licensed by FDA for the protected orphan indication until after the expiration of the seven-year orphan drug exclusivity period or the 12-year reference product exclusivity, whichever is later.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Pediatric exclusivity adds an additional six-month exclusivity period to any marketing exclusivities and patents that a biological product has obtained. In order to obtain pediatric exclusivity, a BLA sponsor must conduct pediatric studies as requested by the FDA in a Written Request.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While pediatric exclusivity is not an actual extension on a patent term, it effectively extends the preclusive effect of the patent on FDA’s authority to approve another application that relies on the product with pediatric exclusivity.</w:t>
      </w:r>
    </w:p>
    <w:p>
      <w:pPr>
        <w:spacing w:after="0" w:line="16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 BPCIA is complex and continues to be interpreted and implemented by the FDA. On December 20, 2019, President Trump signed into law H.R. 1865, the Further Consolidated Appropriations Act of 2020. The law includes significant provisions concerning the FDA’s implementation of the BPCIA, such as clarifying that “chemically synthesized polypeptides” are no longer excluded from being regulated as biologics, while “peptides” (polymers composed of 40 or fewer amino acids) will continue to be regulated as drugs unless they otherwise meet the statutory definition of biological products. In addition, the Further Consolidated Appropriations Act of 2020 clarifies exclusivity and procedural issues related to certain biologics approved as drugs pursuant to new drug applications, or “NDAs”, to be the subject of an approved BLA, or transition biological products. The law also incorporates provisions intended to reduce price and increase competitiveness in the pharmaceutical industry. The law amends the FDCA to create a private right of action against NDA or BLA holders that refuse to provide sufficient quantities of samples of an approved reference product to generic and biosimilar developers. In July 2018, the FDA released its Biosimilars Action Plan to improve the efficiency of the biosimilar and interchangeable product development and approval process. The Further Consolidated Appropriations Act of 2020 is consistent with FDA guidance documents issued in December 2018 that were intended to advance the agency’s biosimilars policy framework. The implementation of the Further Consolidated Appropriations Act of 2020 and the ultimate impact of the agency’s Biosimilars Action Plan are uncertain and may evolve over time through future laws and regulations and guidance provided by regulatory and governing bodies. In addition, there has been discussion of whether Congress should reduce the 12-year reference product exclusivity period. Other aspects of the BPCIA, some of which may impact the BPCIA exclusivity provisions, have been the subject of recent litigation. As a result, the ultimate implementation of the BPCIA is subject to significant uncertainty.</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Regulation of Companion Diagnostics and Laboratory Developed Tests</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 xml:space="preserve">A companion diagnostic is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that can: identify the patients most likely to benefit from a particular therapeutic product; identify those likely to be at an increased risk for serious side effects; or monitor responses to treatment with a particular therapeutic product for the purpose of adjusting treatment to achieve improved safety or effectiveness. Under the FDCA,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are generally regulated as medical devices. The FDA has generally classified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diagnostics as high-risk, Class III devices, which require FDA approval of a premarket approval application, or “PMA”, but recognizes the possibility of a moderate-risk IVD companion diagnostic (</w:t>
      </w:r>
      <w:r>
        <w:rPr>
          <w:rFonts w:ascii="Arial" w:cs="Arial" w:eastAsia="Arial" w:hAnsi="Arial"/>
          <w:sz w:val="17"/>
          <w:szCs w:val="17"/>
          <w:i w:val="1"/>
          <w:iCs w:val="1"/>
          <w:color w:val="auto"/>
        </w:rPr>
        <w:t>i.e</w:t>
      </w:r>
      <w:r>
        <w:rPr>
          <w:rFonts w:ascii="Arial" w:cs="Arial" w:eastAsia="Arial" w:hAnsi="Arial"/>
          <w:sz w:val="17"/>
          <w:szCs w:val="17"/>
          <w:color w:val="auto"/>
        </w:rPr>
        <w:t xml:space="preserve">., Class II device), which would require clearance of a 510(k) premarket notification or grant of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Approval or clearance of the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 will ensure that the device has been adequately evaluated and has adequate performance characteristics in the intended population.</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 xml:space="preserve">For those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that require PMA approval, the process involves gathering and submitting clinical and preclinical data on the device for review by the FDA. It involves a rigorous premarket review, during which the applicant must provide the FDA with reasonable assurance of the device’s safety and effectiveness, as well as information regarding the device’s design, manufacturing and labeling. In addition, the FDA will typically inspect the device manufacturer’s facilities for compliance with the Quality System Regulation, which imposes testing, control, documentation and other quality assurance requirements.</w:t>
      </w:r>
    </w:p>
    <w:p>
      <w:pPr>
        <w:spacing w:after="0" w:line="192"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 xml:space="preserve">The FDA has issued guidance on the approval of therapeutic products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devices. According to the FDA’s guidance, for novel therapeutic products including biologics,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device and its corresponding therapeutic should be approved or cleared contemporaneously by the FDA for the use indicated in the therapeutic product’s labeling.</w:t>
      </w:r>
    </w:p>
    <w:p>
      <w:pPr>
        <w:spacing w:after="0" w:line="187"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 xml:space="preserve">In some cases, information from a diagnostic test may be useful to a prescriber, but not necessary for the safe and effective administration of the therapeutic product. In those cases, health care providers may employ information derived from a complementary diagnostic test such as a laboratory developed test, or “LDT”, when administering a therapeutic product. An LDT is a type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test that is designed, manufactured and used within a single laboratory.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LDTs can be used to measure or detect a wide variety of analytes (substances such as proteins, chemical compounds like glucose or cholesterol, or DNA), in a sample taken from a human body.</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Centers for Medicare and Medicaid Services, or “CMS”, regulates LDTs and the laboratories that develop them, and enforces the Clinical Laboratories Improvement Amendments, or “CLIA”. CMS evaluates whether there is clinical utility for each specific test, and also performs post-market oversight of laboratory operational processes. CMS’s oversight through the CLIA program is designed to confirm that a lab assesses analytical validity but does not confirm whether it had results from an analytical validity assessment that were sufficient to support the claimed intended use of the test.</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 xml:space="preserve">Historically, the FDA has generally not enforced premarket review and other FDA requirements on LDTs because LDTs were relatively simple lab tests and generally available on a limited basis. Due to advances in technology, however, some LDTs are now much more complex, have a nationwide reach and present higher risks, such as detection of risk for breast cancer and Alzheimer’s disease, which are similar to those of other IV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that have undergone premarket review.</w:t>
      </w:r>
    </w:p>
    <w:p>
      <w:pPr>
        <w:spacing w:after="0" w:line="188"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The FDA has announced that in the future it intends to assert jurisdiction over LDTs and proposed increasing regulatory requirements for LDTs through a risk-based framework. The FDA received considerable resistance to its proposal, and to date generally exercises enforcement discretion with respect to LDTs, leaving responsibility to CMS.</w:t>
      </w:r>
    </w:p>
    <w:p>
      <w:pPr>
        <w:spacing w:after="0" w:line="16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 xml:space="preserve">New laws, regulations or changes to existing laws, regulations and policies may result in changes to the requirements for LDTs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devices and to the FDA’s compliance and enforcement policies.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Regulation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Pharmaceutical Coverage and Reimbursement</w:t>
      </w:r>
    </w:p>
    <w:p>
      <w:pPr>
        <w:spacing w:after="0" w:line="19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ability to successfully commercialize any of our product candidates for which we may receive regulatory approval will depend in significant part on the availability of coverage and reimbursement from third-party payors, including governmental healthcare programs, such as the Medicare and Medicaid programs in the U.S., private health insurers, managed care organizations, and other entities. Third-party payors may limit coverage to specific products on an approved list, or formulary, which might not include one or more of our product candidates. Third-party payors, together with regulators and others, are increasingly challenging the prices charged for pharmaceutical products and related services, in addition to their cost-effectiveness, safety and efficacy.</w:t>
      </w:r>
    </w:p>
    <w:p>
      <w:pPr>
        <w:spacing w:after="0" w:line="17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No uniform policy for coverage and reimbursement exists in the United States. Though we expect our initial product offering to be covered under Medicare Part B, and third-party payors often rely upon Medicare coverage policy and payment limitations in setting their own coverage and reimbursement policies, payors have their own methods and approval processes apart from Medicare determinations. Therefore, the availability and scope of coverage, as well as reimbursement rates can vary significantly from payor to payor. The marketability of any products for which we may receive regulatory approval for commercial sale depends on these payors’ coverage policies and reimbursement rates.</w:t>
      </w:r>
    </w:p>
    <w:p>
      <w:pPr>
        <w:spacing w:after="0" w:line="16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Moreover, obtaining coverage and adequate reimbursement is a time-consuming and costly process. We may be required to provide scientific and clinical support for the use of any product to each third-party payor separately with no assurance that approval will be obtained, and we may need to conduct expensive pharmacoeconomic studies in order to demonstrate the cost-effectiveness of our products. We cannot be certain that our product candidates will be considered cost-effective by third-party payors. This process could delay the market acceptance of any product candidates for which we may receive approval and could have a negative effect on our future revenues and operating results.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U.S. Healthcare Laws and Compliance Requirements</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the United States, our business is subject to healthcare fraud and abuse regulation and enforcement by both the federal government and the states in which we conduct our business, particularly once third-party reimbursement becomes available for one or more of our products. The healthcare fraud and abuse laws and regulations that may affect our ability to operate include but are not limited to: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84"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any person or entity from, among other things, knowingly and willfully soliciting, receiving, offering or paying any remuneration (including any kickback or bribe), directly or indirectly, overtly or covertly, in cash or in kind, to induce, or in return for, either the referral of an individual, or the purchase, lease, order, arranging for or recommending the purchase, lease, or order of any item or service for which payment may be made, in whole or in part, under federal healthcare programs, like Medicare or Medicaid. A person or entity can be found guilty of violating the statute without actual knowledge of the statute or specific intent to violate it. The federal Anti-Kickback Statute has been interpreted to apply, for example, to arrangements between pharmaceutical manufacturers on the one hand and prescribers, purchasers, and formulary managers on the other, including, for example, consulting/speaking arrangements, discount and rebate offers, grants, charitable contributions, and patient support offerings, among others. A conviction for violation of the federal Anti-Kickback Statute can result in criminal fines and/or imprisonment and requires mandatory exclusion from participation in federal health care programs. Exclusion may also be imposed if the government determines that an entity has committed acts that are prohibited by the federal Anti-Kickback Statute. Although there are a number of statutory exceptions and regulatory safe harbors to the federal Anti-Kickback Statute protecting certain common business arrangements and activities from prosecution or regulatory sanctions, the exceptions and safe harbors are drawn narrowly and practices that involve remuneration to those who prescribe, purchase, or recommend pharmaceutical and biological products, may be subject to scrutiny if such arrangements are not designed to fit squarely within an exception or safe harbor. Our practices may not in all cases meet all of the criteria for safe harbor protection from Anti-Kickback Statute liability;</w:t>
      </w:r>
    </w:p>
    <w:p>
      <w:pPr>
        <w:spacing w:after="0" w:line="181" w:lineRule="exact"/>
        <w:rPr>
          <w:rFonts w:ascii="Arial" w:cs="Arial" w:eastAsia="Arial" w:hAnsi="Arial"/>
          <w:sz w:val="16"/>
          <w:szCs w:val="16"/>
          <w:color w:val="auto"/>
        </w:rPr>
      </w:pPr>
    </w:p>
    <w:p>
      <w:pPr>
        <w:jc w:val="both"/>
        <w:ind w:left="1040" w:right="79" w:hanging="315"/>
        <w:spacing w:after="0" w:line="284"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federal civil and criminal false claims laws and civil monetary penalty laws, including the civil False Claims Act, or “FCA”, which prohibits anyone from, among other things: (i) knowingly presenting, or causing to be presented, claims for payment of government funds that are false or fraudulent; (ii) knowingly making, or using or causing to be made or used, a false record or statement material to a false or fraudulent claim; (iii) knowingly making, using or causing to made or used a false record or statement material to an obligation to pay money to the government; or (iv) knowingly concealing or knowingly and improperly avoiding, decreasing, or concealing an obligation to pay money to the federal government. Private individuals, commonly known as “whistleblowers,” can bring FCA qui tam actions, on behalf of the government and may share in amounts paid by the defendant to the government in recovery or settlement. Pharmaceutical companies have been investigated and/or subject to government enforcement actions asserting liability under the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healthcare programs for the product, among other things. In addition, a claim including items or services resulting from a violation of the federal Anti-Kickback Statute constitutes a false or fraudulent claim for purposes of the FCA. Moreover, manufacturers can be held liable under the FCA even though they, in most cases, do not submit claims directly to government payors if they are deemed to “cause” the submission of false or fraudulent claims. FCA liability is potentially significant in the healthcare industry because the statute provides for treble damages and significant mandatory penalties per false or fraudulent claim or statement for violations. Such per-claim penalties are currently set at $13,508 to $27,018 per false claim or statement for penalties assessed after January 30, 2023, with respect to violations occurring after November 2, 2015. Criminal penalties, including imprisonment and criminal fines, are also possible for making or presenting a false, fictitious or fraudulent claim to the federal government;</w:t>
      </w:r>
    </w:p>
    <w:p>
      <w:pPr>
        <w:spacing w:after="0" w:line="176" w:lineRule="exact"/>
        <w:rPr>
          <w:rFonts w:ascii="Arial" w:cs="Arial" w:eastAsia="Arial" w:hAnsi="Arial"/>
          <w:sz w:val="16"/>
          <w:szCs w:val="16"/>
          <w:color w:val="auto"/>
        </w:rPr>
      </w:pPr>
    </w:p>
    <w:p>
      <w:pPr>
        <w:jc w:val="both"/>
        <w:ind w:left="1040" w:right="79" w:hanging="315"/>
        <w:spacing w:after="0" w:line="253"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among other things, prohibits knowingly and willfully executing, or attempting to execute, a scheme to defraud any healthcare benefit program, including private third-party payors, and prohibits (i) knowingly and willfully falsifying, concealing or covering up a material fact or making any materially false, fictitious or fraudulent statement or representation and (ii) making or using any false writing or document knowing the same to contain any materially false, fictitious or fraudulent statement or entry in connection with the delivery of or payment for healthcare benefits, items or services. Similar to the federal Anti-Kickback Statute, a person or entity can be found guilty of violating the HIPAA fraud provisions without actual knowledge of the statute or specific intent to violate it;</w:t>
      </w:r>
    </w:p>
    <w:p>
      <w:pPr>
        <w:spacing w:after="0" w:line="196"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HIPAA, the Health Information Technology for Economic and Clinical Health Act, or “HITECH Act”, and HIPPAA’s implementing regulations, and certain state and local laws impose requirements relating to the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spacing w:after="0" w:line="285" w:lineRule="auto"/>
        <w:rPr>
          <w:sz w:val="20"/>
          <w:szCs w:val="20"/>
          <w:color w:val="auto"/>
        </w:rPr>
      </w:pPr>
      <w:r>
        <w:rPr>
          <w:rFonts w:ascii="Arial" w:cs="Arial" w:eastAsia="Arial" w:hAnsi="Arial"/>
          <w:sz w:val="16"/>
          <w:szCs w:val="16"/>
          <w:color w:val="auto"/>
        </w:rPr>
        <w:t>privacy, security and transmission of individually identifiable health information held by covered entities, including health plans, healthcare clearinghouses and certain healthcare providers, and their business associates, individuals or entities that perform certain services on behalf of a covered entity that involve the use or disclosure of individually identifiable health information. HIPAA includes several tiers of civil monetary penalties as well as criminal penalties. In addition, state attorneys general have authority to file civil actions for damages or injunctions in federal courts to enforce HIPAA and seek attorneys’ fees and costs associated with pursuing federal civil actions. Research institutions that we collaborate with and healthcare providers who may prescribe our products, once commercialized, are subject to privacy and security requirements under HIPAA. The Department of Health and Human Services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Although we are not directly subject to HIPAA other than with respect to providing certain employee benefits, we could potentially be subject to criminal penalties if we, our affiliates or our agents knowingly obtain or disclose individually identifiable health information maintained by a HIPAA-covered entity in a manner that is not authorized or permitted by HIPAA;</w:t>
      </w:r>
    </w:p>
    <w:p>
      <w:pPr>
        <w:spacing w:after="0" w:line="176" w:lineRule="exact"/>
        <w:rPr>
          <w:sz w:val="20"/>
          <w:szCs w:val="20"/>
          <w:color w:val="auto"/>
        </w:rPr>
      </w:pPr>
    </w:p>
    <w:p>
      <w:pPr>
        <w:jc w:val="both"/>
        <w:ind w:left="1040" w:right="79" w:hanging="315"/>
        <w:spacing w:after="0" w:line="284"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Numerous other federal and state laws and regulations that also govern the privacy and security of individually identifiable health information, including state data breach notification laws, state health information or genetic privacy laws, and federal and state consumer protection laws such as Section 5 of the Federal Trade Commission, or “FTC”, Act and the California Consumer Privacy Act, or “CCPA”.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Although there are certain exemptions for personal information subject to HIPAA and personal data collected in a clinical trial context, the CCPA’s implementation standards and enforcement practices may increase our compliance costs and potential liability. Additionally, a California ballot initiative, the California Privacy Rights Act, or “CPRA”, passed in November 2020, and went into effect on January 1, 2023. The CPRA will impose additional data protection obligations on companies doing business in California,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be required. Laws similar to the California laws have passed in states such as Virginia and Colorado, and comparable laws have been proposed in other states and at the federal level that may ultimately have conflicting requirements that would further complicate compliance and adversely affect our business. For example, on March 2, 2021, the Virginia Consumer Data Protection Act was signed into law, which went into effect on January 1, 2023, and on July 8, 2021, the Colorado Privacy Act was signed into law, which will take effect on July 1, 2023, was signed into law.</w:t>
      </w:r>
    </w:p>
    <w:p>
      <w:pPr>
        <w:spacing w:after="0" w:line="174" w:lineRule="exact"/>
        <w:rPr>
          <w:rFonts w:ascii="Arial" w:cs="Arial" w:eastAsia="Arial" w:hAnsi="Arial"/>
          <w:sz w:val="16"/>
          <w:szCs w:val="16"/>
          <w:color w:val="auto"/>
        </w:rPr>
      </w:pPr>
    </w:p>
    <w:p>
      <w:pPr>
        <w:jc w:val="both"/>
        <w:ind w:left="1040" w:right="79" w:hanging="315"/>
        <w:spacing w:after="0" w:line="268"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FTC and many state attorneys general are interpreting existing federal and state consumer protection laws to impose evolving standards for the collection, use, dissemination and security of health-related and other personal information. For instance, the FTC has promulgated standards for fair information practices, which concern consumer notice, choice, security and access, and also require notice of certain health information breaches outside the HIPAA context. Consumer protection laws require us to publish statements that describe how we handle personal information and choices individuals may have about the way we handle their personal information. Violating consumers’ privacy rights, publishing untrue information about security practices, or failing to take appropriate steps to keep consumers’ personal information secure may constitute unfair or deceptive acts or practices in violation of Section 5 of the FTC Act. Additionally, the FTC recently published an advance notice of proposed rulemaking on commercial surveillance and data security and is seeking comment on whether it should implement new trade regulation rules or other regulatory alternatives concerning the ways in which companies (1) collect, aggregate, protect, use, analyze, and retain consumer data, as well as (2) transfer, share, sell, or otherwise monetize that data in ways that are unfair or deceptive. Federal regulators, state attorneys general and plaintiffs’ attorneys have been and will likely continue to be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277" w:lineRule="auto"/>
        <w:rPr>
          <w:sz w:val="20"/>
          <w:szCs w:val="20"/>
          <w:color w:val="auto"/>
        </w:rPr>
      </w:pPr>
      <w:r>
        <w:rPr>
          <w:rFonts w:ascii="Arial" w:cs="Arial" w:eastAsia="Arial" w:hAnsi="Arial"/>
          <w:sz w:val="18"/>
          <w:szCs w:val="18"/>
          <w:color w:val="auto"/>
        </w:rPr>
        <w:t>active in this space, and if we do not comply with existing or new laws and regulations related to patient health information, we could be subject to criminal or civil sanctions.</w:t>
      </w:r>
    </w:p>
    <w:p>
      <w:pPr>
        <w:spacing w:after="0" w:line="170" w:lineRule="exact"/>
        <w:rPr>
          <w:sz w:val="20"/>
          <w:szCs w:val="20"/>
          <w:color w:val="auto"/>
        </w:rPr>
      </w:pPr>
    </w:p>
    <w:p>
      <w:pPr>
        <w:jc w:val="both"/>
        <w:ind w:left="1040" w:right="79" w:hanging="315"/>
        <w:spacing w:after="0" w:line="291"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addition, some countries are considering or have passed legislation implementing data protection requirements or requiring local storage and processing of data or similar requirements that could increase the cost and complexity of research activities. These laws and regulations, as well as any associated claims, inquiries, investigations or any other government actions may lead to unfavorable outcomes including increased compliance costs, delays or impediments in the development of new products, negative publicity, increased operating costs, diversion of management time and attention and remedies that harm our business, including fines or demands or orders that we modify or cease existing business practices.</w:t>
      </w:r>
    </w:p>
    <w:p>
      <w:pPr>
        <w:spacing w:after="0" w:line="166" w:lineRule="exact"/>
        <w:rPr>
          <w:rFonts w:ascii="Arial" w:cs="Arial" w:eastAsia="Arial" w:hAnsi="Arial"/>
          <w:sz w:val="16"/>
          <w:szCs w:val="16"/>
          <w:color w:val="auto"/>
        </w:rPr>
      </w:pPr>
    </w:p>
    <w:p>
      <w:pPr>
        <w:jc w:val="both"/>
        <w:ind w:left="1040" w:right="79" w:hanging="315"/>
        <w:spacing w:after="0" w:line="291"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federal Physician Payments Sunshine Act, implemented as the Open Payments Program, which requires manufacturers of drugs, devices, biologics and medical supplies for which payment is available under Medicare, Medicaid or the Children’s Health Insurance Program (with certain exceptions), among others, to report annually to CMS information related to direct or indirect payments and other transfers of value they make to U.S.-licensed physicians, physician assistants, nurse practitioners, clinical nurse specialists, certified nurse anesthetists and certified nurse-midwives and U.S. teaching hospitals, as well as ownership and investment interests held in a company by physicians and their immediate family members; and</w:t>
      </w:r>
    </w:p>
    <w:p>
      <w:pPr>
        <w:spacing w:after="0" w:line="166" w:lineRule="exact"/>
        <w:rPr>
          <w:rFonts w:ascii="Arial" w:cs="Arial" w:eastAsia="Arial" w:hAnsi="Arial"/>
          <w:sz w:val="16"/>
          <w:szCs w:val="16"/>
          <w:color w:val="auto"/>
        </w:rPr>
      </w:pPr>
    </w:p>
    <w:p>
      <w:pPr>
        <w:jc w:val="both"/>
        <w:ind w:left="1040" w:right="79" w:hanging="315"/>
        <w:spacing w:after="0" w:line="268"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Analogous U.S. state and local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state laws that require drug manufacturers to report information related to clinical trials, or information related to payments and other transfers of value to physicians and other healthcare providers or marketing expenditures; state laws that require drug manufacturers to report information on the pricing of certain drugs; state laws and local ordinances that require identification or licensing of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18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will be required to spend substantial time and money to ensure that our business arrangements with third parties comply with applicable healthcare laws and regulations. Even then, governmental authorities may conclude that our business practices do not comply with current or future statutes, regulations or case law involving applicable fraud and abuse or other healthcare laws and regulations. If governmental authorities find that our operations violate any of these laws or any other governmental regulations that may apply to us, we may be subject to significant civil, criminal and administrative penalties, damages, fines, disgorgement, individual imprisonment, exclusion from government funded healthcare programs, such as Medicare and Medicaid, and additional reporting obligations and oversight if we become subject to a corporate integrity agreement or other agreement to resolve allegations of non-compliance with these laws, and we may be required to curtail or restructure our operations. Moreover, we expect that there will continue to be federal and state laws and regulations, proposed and implemented, that could impact our operations and business. In addition, the approval and commercialization of any product candidate we develop outside the United States will also likely subject us to foreign equivalents of the healthcare laws mentioned above, among other foreign laws. The extent to which future legislation or regulations, if any, relating to health care fraud and abuse laws or enforcement, may be enacted or what effect such legislation or regulation would have on our business remains uncertain.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Healthcare Reform</w:t>
      </w:r>
    </w:p>
    <w:p>
      <w:pPr>
        <w:spacing w:after="0" w:line="198"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There have been and continue to be a number of healthcare-related legislative and regulatory initiatives and reforms in the United States that significantly affect the pharmaceutical industry. For example, the Patient Protection and Affordable Care Act, as amended by the Health Care and Education Reconciliation Act of 2010, or collectively, the “ACA,” was passed in March 2010, and substantially changed the way healthcare is financed by both governmental and private insurers and significantly impacted the U.S. pharmaceutical industry. Among other things, the ACA: subjects biologics to potential competition by lower-cost biosimilars; addresses a methodology through which rebates owed by manufacturers under the Medicaid Drug Rebate Program, or “MDRP,” are calculated for covered outpatient drugs that are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inhaled, infused, instilled, implanted or injected; increases the minimum Medicaid rebates owed by manufacturers under the MDRP and extends the rebate program to individuals enrolled in Medicaid managed care organizations; establishes annual fees and taxes on manufacturers of certain branded prescription drugs; and creates a Medicare Part D coverage gap discount program in which, as a condition of coverage of its products under Medicare Part D, manufacturers must agree to offer point-of-sale discounts off negotiated prices of applicable brand drugs to eligible beneficiaries during their coverage gap period.</w:t>
      </w:r>
    </w:p>
    <w:p>
      <w:pPr>
        <w:spacing w:after="0" w:line="192"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The ACA and certain of its provisions have been subject to judicial challenges as well as legislative and regulatory efforts to repeal or replace them or to alter their interpretation or implementation. For example, Congress has considered legislation that would repeal or repeal and replace all or part of the ACA. While Congress has not passed comprehensive repeal legislation, bills affecting the implementation of certain taxes under the ACA have been signed into law. The Tax Cuts and Jobs Act of 2017, or the “Tax Act,” includes a provision that repealed the tax-based shared responsibility payment imposed by the ACA on certain individuals who fail to maintain qualifying health coverage for all or part of a year, commonly referred to as the “individual mandate.” The Bipartisan Budget Act of 2018, among other things, amended the ACA to increase the point-of-sale discounts that manufacturers must agree to offer under the Medicare Part D coverage discount program from 50% to 70% off negotiated prices of applicable brand drugs to eligible beneficiaries during their coverage gap period, as a condition for the manufacturer’s outpatient drugs to be covered under Medicare Part D. CMS rules issued in 2018 permit further collections and payments to and from certain ACA-qualified health plans and health insurance issuers under the ACA risk adjustment program. The Further Consolidated Appropriations Act of 2020 fully repealed the ACA’s “Cadillac Tax” on certain high-cost employer-sponsored insurance plans and, effective in 2021, the annual fee imposed on certain health insurance providers based on market share. On January 28, 2021,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policies that create barriers to obtaining access to health insurance coverage through the ACA marketplaces. Most recently, on March 11, 2021, Congress enacted the American Rescue Plan Act of 2021, which included among its provisions a sunset of the ACA’s cap on pharmaceutical manufacturers’ rebate liability under the Medicaid Drug Rebate Program. Under the ACA, manufacturers’ rebate liability was capped at 100% of the average manufacturer price for a covered outpatient drug. Effective January 1, 2024, manufacturers’ MDRP rebate liability will no longer be capped, potentially resulting in a manufacturer paying more in MDRP rebates than it receives on the sale of certain covered outpatient drugs. The American Rescue Plan Act also temporarily increased premium tax credit assistance for individuals eligible for subsidies under the ACA for 2021 and 2022 and removed the 400% federal poverty level limit that otherwise applies for purposes of eligibility to receive premium tax credits. In the future, there may be additional challenges and/or amendments to the ACA.</w:t>
      </w:r>
    </w:p>
    <w:p>
      <w:pPr>
        <w:spacing w:after="0" w:line="38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December 2018, the United States District Court for the Northern District of Texas ruled that the individual mandate is (i) unconstitutional as a result of the associated tax penalty being repealed by Congress as part of the Tax Act and (ii) not severable from the rest of the ACA, and that as a result the entire ACA is invalid. On December 18, 2019, the U.S. Court of Appeals for the Fifth Circuit affirmed the district court’s decision that the individual mandate is unconstitutional but remanded the case to the district court to reconsider the severability question. The Supreme Court of the United States granted certiorari on March 2, 2020 and heard oral argument on November 10, 2020. On June 17, 2021, the Supreme Court dismissed the lawsuit without ruling on the merits of the states’ constitutionality arguments.</w:t>
      </w:r>
    </w:p>
    <w:p>
      <w:pPr>
        <w:spacing w:after="0" w:line="16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specialty drug pricing practices. Specifically, several U.S. Congressional inquiries and proposed and enacted pieces of federal and state legislation have been designed to, among other things: bring more transparency to drug pricing; reduce the cost of prescription drugs under government payor programs; review the relationship between pricing and manufacturer patient programs; and reform government program reimbursement methodologies for drugs. Policymakers have also indicated that they will continue to seek legislative and administrative measures to control drug costs. For example, in August 2022, President Biden signed into law the Inflation Reduction Act of 2022 (“IRA”), which implements substantial changes to the Medicare program, including drug pricing reforms and the creation of new Medicare inflation rebates. Namely, the IRA imposes inflation rebates on drug manufacturers for products reimbursed under Medicare Parts B and D if the prices of those products increase faster than inflation; implements changes to the Medicare Part D benefit that, beginning in 2025, will cap beneficiary annual out-of-pocket spending at $2,000, while imposing new discount obligations for pharmaceutical manufacturers; and, beginning in 2026, establishes a “maximum fair price” for a fixed number of high expenditure pharmaceutical and biological products covered under Medicare Parts B and D following a price negotiation process with the Centers for Medicare and Medicaid Services. On October 14, 2022, President Biden issued an Executive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Order on Lowering Prescription Drug Costs for Americans, which instructed the Secretary of the Department of Health and Human Services to consider whether to select for testing by the CMS Innovation Center new health care payment and delivery models that would lower drug costs and promote access to innovative drug therapies for beneficiaries enrolled in the Medicare and Medicaid programs. On February 14, 2023, the Department of Health and Human Services issued a report in response to the October 14, 2022, Executive Order, which, among other things, selects three potential drug affordability and accessibility models to be tested by the CMS Innovation Center. Specifically, the report addresses: (1) a model that would allow Part D Sponsors to establish a “high-value drug list” setting the maximum co-payment amount for certain common generic drugs at $2; (2) a Medicaid-focused model that would establish a partnership between CMS, manufacturers, and state Medicaid agencies that would result in multi-state outcomes-based agreements for certain cell and gene therapy drugs; and (3) a model that would adjust Medicare Part B payment amounts for Accelerated Approval Program drugs to advance the developments of novel treatments. It remains to be seen how these drug pricing initiatives will affect the broader pharmaceutical industry.</w:t>
      </w:r>
    </w:p>
    <w:p>
      <w:pPr>
        <w:spacing w:after="0" w:line="17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Individual states in the United States have also increasingly passed legislation and implemented regulations designed to control pharmaceutical and biological product pricing, including price or patient reimbursement limitations,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17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Moreover, in May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success depends upon our ability to retain and attract highly qualified management and technical personnel.</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2022, we had 99 full-time employees.</w:t>
      </w:r>
    </w:p>
    <w:p>
      <w:pPr>
        <w:spacing w:after="0" w:line="211"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consider the intellectual capital of our employees to be an essential driver of our business and key to our future prospects. Recruiting and retaining qualified employees, consultants and advisors for our business, including scientific and technical personnel, is critical to our success, and competition for skilled personnel is intense and the turnover rate can be high in our industry. We have historically addressed the turnover we have encountered and grown our headcount in support of our expanding pipeline of research programs and product candidates, but we continue to monitor our turnover rate and the overall supply of skilled labor in the market. We also monitor our compensation programs closely and provide what we consider to be a competitive mix of compensation and benefits for our employees, as well as participation in our equity programs. None of our employees are subject to a collective bargaining agreement or represented by a trade or labor union.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Information and Access to SEC Reports</w:t>
      </w:r>
    </w:p>
    <w:p>
      <w:pPr>
        <w:spacing w:after="0" w:line="12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 xml:space="preserve">We were incorporated in Delaware in September 2015. Our primary executive offices are located at 9000 Virginia Manor Road, Suite 200, Beltsville, Maryland 20705 and our telephone number is (240) 399-4900. We make available, free of charge, on our website at </w:t>
      </w:r>
      <w:r>
        <w:rPr>
          <w:rFonts w:ascii="Arial" w:cs="Arial" w:eastAsia="Arial" w:hAnsi="Arial"/>
          <w:sz w:val="18"/>
          <w:szCs w:val="18"/>
          <w:i w:val="1"/>
          <w:iCs w:val="1"/>
          <w:color w:val="auto"/>
        </w:rPr>
        <w:t>www.nextcure.com</w:t>
      </w:r>
      <w:r>
        <w:rPr>
          <w:rFonts w:ascii="Arial" w:cs="Arial" w:eastAsia="Arial" w:hAnsi="Arial"/>
          <w:sz w:val="18"/>
          <w:szCs w:val="18"/>
          <w:color w:val="auto"/>
        </w:rPr>
        <w:t>, our annual reports on Form 10-K, quarterly reports on Form 10-Q, current reports on Form 8-K and any amendments to such reports as soon as reasonably practicable after such reports are electronically filed with, or furnished to, the SEC. The contents of our website are not incorporated into this Annual Report.</w:t>
      </w:r>
    </w:p>
    <w:p>
      <w:pPr>
        <w:spacing w:after="0" w:line="200" w:lineRule="exact"/>
        <w:rPr>
          <w:sz w:val="20"/>
          <w:szCs w:val="20"/>
          <w:color w:val="auto"/>
        </w:rPr>
      </w:pPr>
    </w:p>
    <w:p>
      <w:pPr>
        <w:spacing w:after="0" w:line="2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together with all of the other information in this Annual Report, including our financial statements and the related notes and the information described in the section entitled “Management’s Discussion and Analysis of Financial Condition and Results of Operations,” before deciding whether to invest in our common stock. If any of the events described below</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i w:val="1"/>
          <w:iCs w:val="1"/>
          <w:color w:val="auto"/>
        </w:rPr>
        <w:t>actually occurs, our business, results of operations, financial conditions, cash flows or prospects could be harmed. If that were to happen, the trading price of our common stock could decline, and you could lose all or part of your investment. Additional risks and uncertainties not presently known to us or that we currently deem immaterial may also impair our business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left="60" w:right="439"/>
        <w:spacing w:after="0" w:line="263" w:lineRule="auto"/>
        <w:rPr>
          <w:sz w:val="20"/>
          <w:szCs w:val="20"/>
          <w:color w:val="auto"/>
        </w:rPr>
      </w:pPr>
      <w:r>
        <w:rPr>
          <w:rFonts w:ascii="Arial" w:cs="Arial" w:eastAsia="Arial" w:hAnsi="Arial"/>
          <w:sz w:val="18"/>
          <w:szCs w:val="18"/>
          <w:b w:val="1"/>
          <w:bCs w:val="1"/>
          <w:i w:val="1"/>
          <w:iCs w:val="1"/>
          <w:color w:val="auto"/>
        </w:rPr>
        <w:t>We have a limited operating history and no products approved for commercial sale. We have a history of significant losses, expect to continue to incur significant losses for the foreseeable future and may never achieve or maintain profitability.</w:t>
      </w:r>
    </w:p>
    <w:p>
      <w:pPr>
        <w:spacing w:after="0" w:line="18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are a clinical-stage biopharmaceutical company with a limited operating history. Since our founding in 2015, we have incurred significant net losses. Our net losses were $74.9 million and $69.4 million for the years ended December 31, 2022 and 2021, respectively. As of December 31, 2022, we had an accumulated deficit of $261.8 million. We have funded our operations to date primarily with proceeds from public offerings of our common stock, private placements of our preferred stock and upfront fees received under the Lilly Agreement, which was terminated effective March 2020. Since commencing operations,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our discovery programs and our FIND-IO platform.</w:t>
      </w:r>
    </w:p>
    <w:p>
      <w:pPr>
        <w:spacing w:after="0" w:line="16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We expect that it will be several years, if ever, before we have a commercialized product. We expect to continue to incur significant expenses and operating losses for the foreseeable future. The net losses we incur may fluctuate significantly from year to year. We anticipate that our expenses will increase substantially if, and as, we:</w:t>
      </w:r>
    </w:p>
    <w:p>
      <w:pPr>
        <w:spacing w:after="0" w:line="165" w:lineRule="exact"/>
        <w:rPr>
          <w:sz w:val="20"/>
          <w:szCs w:val="20"/>
          <w:color w:val="auto"/>
        </w:rPr>
      </w:pPr>
    </w:p>
    <w:p>
      <w:pPr>
        <w:ind w:left="1040" w:right="7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to advance the preclinical and clinical development of our existing product candidates and our research programs;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leverage our FIND-IO platform to advance additional product candidates into preclinical and clinical development;</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our cGMP manufacturing capacity, including to provide drug supply for future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 additional clinical, quality control, regulatory, scientific and administrative personnel;</w:t>
      </w:r>
    </w:p>
    <w:p>
      <w:pPr>
        <w:spacing w:after="0" w:line="225" w:lineRule="exact"/>
        <w:rPr>
          <w:rFonts w:ascii="Arial" w:cs="Arial" w:eastAsia="Arial" w:hAnsi="Arial"/>
          <w:sz w:val="18"/>
          <w:szCs w:val="18"/>
          <w:color w:val="auto"/>
        </w:rPr>
      </w:pPr>
    </w:p>
    <w:p>
      <w:pPr>
        <w:ind w:left="1040" w:right="79" w:hanging="315"/>
        <w:spacing w:after="0" w:line="342"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increase personnel, including to support our clinical development, manufacturing and commercialization efforts and our operations as a public company;</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1040" w:right="79" w:hanging="315"/>
        <w:spacing w:after="0" w:line="342"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a marketing, sales, distribution and medical affairs infrastructure to commercialize any products for which we may obtain marketing approval and commercialize, whether on our own or jointly with a partner;</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 or in-license other technologies or engage in strategic partnerships;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legal, accounting or other expenses in operating our business.</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To become and remain profitable, we, whether on our own or jointly with any potential future collaborator, must develop and eventually commercialize products with significant market potential. We will need to be successful in a range of challenging activities, including completing preclinical studies and clinical trials, obtaining marketing approval for product candidates, manufacturing, marketing and selling products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could impair our ability to raise capital, maintain our research and development efforts, expand our business or continue our operations. A decline in the value of our company could also cause you to lose all or part of your investment.</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collaboration partners, to successfully complete the development of, and obtain the regulatory approvals necessary to commercialize, our product candidates. We do not anticipate generating revenue from product sales for the next several years, if ever. Our ability to generate future revenue from product sales depends heavily on our, or our potential future collaborators’, success in:</w:t>
      </w:r>
    </w:p>
    <w:p>
      <w:pPr>
        <w:spacing w:after="0" w:line="188" w:lineRule="exact"/>
        <w:rPr>
          <w:sz w:val="20"/>
          <w:szCs w:val="20"/>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completing preclinical studies and clinical trials of our product candidates, including our ongoing Phase 1/2 clinical trials for NC410 and NC762 and Phase 1 clinical trial for NC525;</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seeking and obtaining marketing approvals for any product candidates that we or our collaborators develop;</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receiving acceptance of INDs for future product candidates;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identifying and developing new product candidates;</w:t>
      </w:r>
    </w:p>
    <w:p>
      <w:pPr>
        <w:spacing w:after="0" w:line="22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marketing approval by establishing a marketing, sales, distribution and medical affairs infrastructure or, alternatively, collaborating with a commercialization partner;</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achieving coverage and adequate reimbursement by hospitals and third-party payors, including governmental authorities, such as Medicare and Medicaid, private insurers and managed care organizations, for product candidates, if approved, that we or our collaborators develop;</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manufacturing cGMP supply of our product candidates for clinical trials and, if approved, commercial sales;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obtaining market acceptance of product candidates, if approved, that we develop as viable treatment options;</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anticipate incurring significant costs associated with commercializing any product candidate that is approved for commercial sale. Our expenses could increase beyond expectations if we are required by the FDA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188" w:lineRule="exact"/>
        <w:rPr>
          <w:sz w:val="20"/>
          <w:szCs w:val="20"/>
          <w:color w:val="auto"/>
        </w:rPr>
      </w:pPr>
    </w:p>
    <w:p>
      <w:pPr>
        <w:ind w:left="60" w:right="259"/>
        <w:spacing w:after="0" w:line="311" w:lineRule="auto"/>
        <w:rPr>
          <w:sz w:val="20"/>
          <w:szCs w:val="20"/>
          <w:color w:val="auto"/>
        </w:rPr>
      </w:pPr>
      <w:r>
        <w:rPr>
          <w:rFonts w:ascii="Arial" w:cs="Arial" w:eastAsia="Arial" w:hAnsi="Arial"/>
          <w:sz w:val="16"/>
          <w:szCs w:val="16"/>
          <w:b w:val="1"/>
          <w:bCs w:val="1"/>
          <w:i w:val="1"/>
          <w:iCs w:val="1"/>
          <w:color w:val="auto"/>
        </w:rPr>
        <w:t>We will require substantial additional financing to pursue our business objectives, which may not be available on acceptable terms, or at all. A failure to obtain this necessary capital when needed could force us to delay, limit, reduce or terminate our product development, commercialization efforts or other operations.</w:t>
      </w:r>
    </w:p>
    <w:p>
      <w:pPr>
        <w:spacing w:after="0" w:line="149"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Our operations have consumed substantial amounts of cash since inception. We expect to continue to spend substantial amounts to continue the preclinical and clinical development of our current and future programs. If we receive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marketing approval for any product candidates, including NC410, NC762 or NC525, we will require significant additional amounts of cash in order to launch and commercialize such product candidates. In addition, other unanticipated costs may arise. Because the designs and outcomes of our planned and anticipated clinical trials are highly uncertain, we cannot reasonably estimate the actual amounts necessary to successfully complete the development of and commercialize any product candidate we develop.</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jc w:val="both"/>
        <w:ind w:left="1040" w:right="79" w:hanging="315"/>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progress, timing, results and costs of researching and developing NC410, NC762, NC525 and our other product candidates, including targets identified through our FIND-IO platform, and of conducting preclinical studies and clinical trials;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 for NC410, NC762, NC525 and any future product candidates we develop, if clinical trials are successful;</w:t>
      </w:r>
    </w:p>
    <w:p>
      <w:pPr>
        <w:spacing w:after="0" w:line="170"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costs of manufacturing NC410, NC762, NC525 and any future product candidates for preclinical studies and clinical trials and in preparation for marketing approval and commercialization;</w:t>
      </w:r>
    </w:p>
    <w:p>
      <w:pPr>
        <w:spacing w:after="0" w:line="146" w:lineRule="exact"/>
        <w:rPr>
          <w:rFonts w:ascii="Arial" w:cs="Arial" w:eastAsia="Arial" w:hAnsi="Arial"/>
          <w:sz w:val="17"/>
          <w:szCs w:val="17"/>
          <w:color w:val="auto"/>
        </w:rPr>
      </w:pPr>
    </w:p>
    <w:p>
      <w:pPr>
        <w:jc w:val="both"/>
        <w:ind w:left="1040" w:right="79" w:hanging="315"/>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marketing, sales and distribution costs, for NC410, NC762, NC525 and any future product candidates we develop, whether alone or with a collaborator, if any of these product candidates are approved for sale;</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on favorable terms, if at all;</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any such litigation;</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collaboration and license agreements remaining in effect and our achievement of milestones and the timing and amount of milestone payments we are required to make, or that we may be eligible to receive, under those agreements;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emergence of competing therapies and other developments in the oncology market.</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Unless and until we generate sufficient product and royalty revenue to finance our cash requirements, we expect to finance our future cash needs through a combination of public or private equity offerings, debt financings, marketing and distribution arrangements, other collaborations, strategic alliances and licensing arrangements. As of December 31, 2022, we had $159.9 million in cash, cash equivalents and marketable securities. Based on our research and development plans, we expect that our existing cash, cash equivalents and marketable securities will enable us to fund our operating expenses and capital expenditure requirements into mid-2025. This estimate is based on assumptions that may prove to be wrong, and we could use our available capital resources sooner than we expect. Changes may occur within or beyond our control that would cause us to consume our available capital before that time, including changes in and progress of our development activities, acquisitions of additional product candidates and changes in regulation.</w:t>
      </w:r>
    </w:p>
    <w:p>
      <w:pPr>
        <w:spacing w:after="0" w:line="16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If we raise additional capital through marketing, sales and distribution arrangements or other collaborations, strategic alliances or licensing arrangements with third parties, we may have to relinquish certain valuable rights to our product candidates, future revenue streams, research programs or technologies or grant licenses on terms that may not be favorable to us. If we raise additional capital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your ownership interest will be diluted. If we raise additional capital through debt financing, we would be subject to fixed payment obligations and may be subject to covenants limiting or restricting our ability to take specific actions, such as incurring additional debt, making capital expenditures or declaring dividends.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Adequate additional financing may not be available to us on acceptable terms, or at all. If we are unable to obtain additional financing on favorable terms when needed, we may be required to delay, limit, reduce or terminate preclinical studies, clinical trials, or other research and development activities or one or more of our development programs.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left="60" w:right="279"/>
        <w:spacing w:after="0" w:line="327" w:lineRule="auto"/>
        <w:rPr>
          <w:sz w:val="20"/>
          <w:szCs w:val="20"/>
          <w:color w:val="auto"/>
        </w:rPr>
      </w:pPr>
      <w:r>
        <w:rPr>
          <w:rFonts w:ascii="Arial" w:cs="Arial" w:eastAsia="Arial" w:hAnsi="Arial"/>
          <w:sz w:val="15"/>
          <w:szCs w:val="15"/>
          <w:b w:val="1"/>
          <w:bCs w:val="1"/>
          <w:i w:val="1"/>
          <w:iCs w:val="1"/>
          <w:color w:val="auto"/>
        </w:rPr>
        <w:t>As an organization, we have limited experience designing and implementing clinical trials, and we have never conducted pivotal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 and in delayed timelines.</w:t>
      </w:r>
    </w:p>
    <w:p>
      <w:pPr>
        <w:spacing w:after="0" w:line="14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 design and implementation of clinical trials is a complex process. We have limited experience designing and implementing clinical trials, and we may not successfully or cost-effectively design and implement clinical trials that achieve our desired clinical endpoints efficiently, or at all. A clinical trial that is not well designed may delay or prevent initiation or completion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 If we select an incorrect dose or dose administration schedule, that could negatively impact the results of the trial, including if we select doses that are too low to be effective or administer doses too infrequently based on the half-life of the active ingredient. We also expect to continue to rely on third parties to conduct our pivotal clinical trials (see “Risks Related to Reliance on Third Parties”). We rely, or will rely, on third parties to help conduct our ongoing and planned preclinical studies and clinical trials for NC410, NC762, NC525 and any future product candidates we develop. If these third parties do not successfully carry out their contractual duties, comply with regulatory requirements or meet expected deadlines, we may not be able to obtain marketing approval for or commercialize NC410, NC762, NC525 and any future product candidates we develop, and our business could be materially harmed. Consequently, we may be unable to successfully and efficiently execute and complete clinical trials that are required for BLA submission and FDA approval of NC410, NC762, NC525 or future product candidates. We may require more time and incur greater costs than our competitors and may not succeed in obtaining regulatory approvals of product candidates that we develop.</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impacts of the COVID-19 pandemic could continue to adversely affect our business.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COVID-19 pandemic has led to changes in the operations of many healthcare facilities, including clinical trial sites. The impacts of COVID-19 continue to place a significant strain on our clinical trial sites, raise concerns around monitoring patient safety, slow patient enrollment and cause delays in our clinical trials and issuance of results. Any rise of COVID-19 infection rates, especially in the United States, could continue to negatively affect our clinical trial going forward. We are continuing to work closely with our clinical partners and have taken steps as necessary to adjust our protocols and timelines due to the impact of the COVID-19 pandemic. The impacts of the COVID-19 pandemic could adversely affect our clinical trials and operations in other ways as well. For example, challenges may arise as a result of patients, members of the clinical team, or our employees becoming infected with COVID-19 or otherwise unable or unwilling to participate in trials or come to work, as applicable, as a result of COVID-19, interruptions to the supply chain or manufacturing, site closures, or difficulties in meeting protocol-specified procedures, including difficulties adhering to protocol-mandated visits and testing. The COVID-19 pandemic may also increase the likelihood and severity of other risks discussed in the “Risk Factors” section of this Annual Report, including but not limited to risks related to the conduct, progress and outcomes of clinical trials, risks related to reliance on third parties, risks related to our operations and dependence on key personnel, and risks related to our need to obtain additional capital.</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COVID-19 pandemic and its impacts continue to evolve, including the emergence of variant strains of the COVID-19 virus. Although vaccines are now available are being distributed globally, we cannot predict the full scope, duration and severity of disruptions resulting from COVID-19 or their impacts on us. Business disruptions for us or the third parties with whom we engage, including the collaborators, contract organizations, third-party manufacturers, suppliers, clinical trial sites, regulators and other third parties with whom we conduct business could materially and negatively impact our ability to conduct our business in the manner and on the timelines presently planned. The extent to which the COVID-19 pandemic may impact our business and financial performance will depend on future developments, which are highly uncertain and cannot be predicted with confidence, including the scope and duration of the pandemic and the extent and effectiveness of government restrictions, relief measures and other actions implemented to address the impact of the pandemic, and resulting economic impacts.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Our business is dependent on our ability to advance our current and future product candidates through clinical trials, obtain marketing approval and ultimately commercialize them.</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are early in our development efforts. We initiated our first clinical trial for NC410 in June 2020, our first clinical trial for NC762 in July 2021, and our first clinical trial for NC525 in February 2023. Our ability to generate product revenues, which we do not expect will occur for several years, if ever, will depend heavily on the successful development and eventual commercialization of NC410, NC762, NC525 and any future product candidates we develop, which may never occur. Our current product candidates and any future product candidates we develop will require additional preclinical or clinical development, management of clinical, preclinical and manufacturing activities, marketing approval in the United States and other jurisdictions, demonstration of effectiveness to pricing and reimbursement authorities, sufficient cGMP manufacturing supply for both preclinical and clinical development and commercial production, building of a commercial organization and substantial investment and significant marketing efforts before we generate any revenues from product sales.</w:t>
      </w:r>
    </w:p>
    <w:p>
      <w:pPr>
        <w:spacing w:after="0" w:line="18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clinical and commercial success of our current and future product candidates will depend on several factors, including the following:</w:t>
      </w:r>
    </w:p>
    <w:p>
      <w:pPr>
        <w:spacing w:after="0" w:line="170" w:lineRule="exact"/>
        <w:rPr>
          <w:sz w:val="20"/>
          <w:szCs w:val="20"/>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and our clinical trials;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INDs for any future product candidates;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data from our clinical program that supports an acceptable risk-benefit profile of our product candidates in the intended patient populations;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on a timely basis or to establish agreements with third-party manufacturers, if needed;</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we are required by the FDA or comparable foreign regulatory authorities to conduct additional clinical trials or other studies beyond those planned or anticipated to support approval of our product candidates;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our proposed indications and the primary endpoint assessments evaluated in the clinical trials of our product candidates by the FDA and comparable foreign regulatory authorities;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receipt and maintenance of timely marketing approvals from applicable regulatory authorities;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successfully launching commercial sales of our product candidates, if approved;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if approved;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product candidates;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the benefits and uses of our product candidates, if approved, by patients, the medical community and third-party payors;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a continued acceptable safety, tolerability and efficacy profile of the product candidates following approval;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compliance with any post-approval requirements imposed on our products, such as post-marketing studies, a REMS or additional requirements that might limit the promotion, advertising, distribution or sales of our products or make the products cost-prohibitive;</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competing effectively with other therapies;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obtaining and maintaining healthcare coverage and adequate reimbursement from third-party payors;</w:t>
      </w:r>
    </w:p>
    <w:p>
      <w:pPr>
        <w:spacing w:after="0" w:line="23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identify targets and immunomedicines, whether through our FIND-IO platform, through our relationship with Yale or otherwise;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These factors, many of which are beyond our control, could cause us to experience significant delays or an inability to obtain regulatory approvals or commercialize our current or future product candidates, and could otherwise materially harm our business. Successful completion of preclinical studies and clinical trials does not mean that NC410, NC762, NC525 or any future product candidates we develop will receive regulatory approval. Even if regulatory approvals are obtained, we could experience significant delays or an inability to successfully commercialize our current and any future product candidates we develop, which would materially harm our business. If we are not able to generate sufficient revenue through the sale of any current or future product candidate, we may not be able to continue our business operations or achieve profitability.</w:t>
      </w:r>
    </w:p>
    <w:p>
      <w:pPr>
        <w:spacing w:after="0" w:line="192"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time-consuming and inherently unpredictable, and if we are ultimately unable to obtain regulatory approval for our product candidates, our business will be materially harmed.</w:t>
      </w:r>
    </w:p>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Neither we nor any future collaborator is permitted to market any biological product in the United States until we or the future collaborator receives regulatory approval of a BLA from the FDA. It is possible that none of our current or future product candidates will ever obtain regulatory approval from the FDA or comparable foreign regulatory authorities.</w:t>
      </w:r>
    </w:p>
    <w:p>
      <w:pPr>
        <w:spacing w:after="0" w:line="178"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Our current and future product candidates could fail to receive regulatory approval for many reasons, including the following:</w:t>
      </w:r>
    </w:p>
    <w:p>
      <w:pPr>
        <w:spacing w:after="0" w:line="170" w:lineRule="exact"/>
        <w:rPr>
          <w:sz w:val="20"/>
          <w:szCs w:val="20"/>
          <w:color w:val="auto"/>
        </w:rPr>
      </w:pPr>
    </w:p>
    <w:p>
      <w:pPr>
        <w:ind w:left="1040" w:right="7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pure and potent for its proposed indication;</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clinical trials or preclinical studies;</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to the FDA or regulatory submissions to comparable regulatory authorities to obtain regulatory approval in such jurisdiction;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3"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our manufacturing processes or facility or the manufacturing processes or facilities of third-party manufacturers with which we contract for clinical and commercial supplies.</w:t>
      </w:r>
    </w:p>
    <w:p>
      <w:pPr>
        <w:spacing w:after="0" w:line="18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and other comparable foreign authorities have substantial discretion in the approval process and in determining when or whether regulatory approval will be granted for any product candidate that we develop. Even if we believe the data collected from current or future clinical trials of our product candidates are promising, such data may not be sufficient to support approval by the FDA or any other regulatory authority.</w:t>
      </w:r>
    </w:p>
    <w:p>
      <w:pPr>
        <w:spacing w:after="0" w:line="16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 xml:space="preserve">In addition, even if we were to obtain approval, the FDA may approve any of our product candidates for fewer or more limited indications, or a more limited patient population, than we request, may grant approval contingent on the performance of costly clinical trials, development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or other post-marketing requirements, or may approve a product candidate with a label that does not include the labeling claims we believe are necessary or desirable for the successful commercialization of such product candidates.</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FDA or comparable foreign regulatory authorities may change their policies, promulgate additional regulations, revise existing regulations or take other actions that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Any of the foregoing scenarios could materially harm the commercial prospects for our product candidates.</w:t>
      </w:r>
    </w:p>
    <w:p>
      <w:pPr>
        <w:spacing w:after="0" w:line="192"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uncertain outcomes. We may incur additional costs and experience delays in developing and commercializing or be unable to develop or commercialize our current and future product candidates.</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To obtain the requisite regulatory approvals to commercialize any of our product candidates, we must demonstrate through extensive preclinical studies and clinical trials that our product candidates are safe, pure and potent in humans. Clinical testing is expensive and can take many years to complete, and its outcome is highly uncertain. Failure can occur at any time during the clinical trial process, and our future clinical trial results may not be successful. We may experience delays in completing our clinical trials or preclinical studies and initiating or completing our planned clinical trials and development efforts. Additionally, we cannot be certain the ongoing and planned preclinical studies or clinical trials for NC410, NC762, NC525 or any future product candidates will begin on time, not require redesign, enroll an adequate number of subjects on time or be completed on schedule, if at all. For example, we announced in November 2022 that based on current efficacy data, we had decided to discontinue our monotherapy Phase 2 clinical trial for NC318. We may also experience numerous unforeseen events during our clinical trials that could delay or prevent our ability to receive marketing approval or commercialize the product candidates we develop, including:</w:t>
      </w:r>
    </w:p>
    <w:p>
      <w:pPr>
        <w:spacing w:after="0" w:line="172" w:lineRule="exact"/>
        <w:rPr>
          <w:sz w:val="20"/>
          <w:szCs w:val="20"/>
          <w:color w:val="auto"/>
        </w:rPr>
      </w:pPr>
    </w:p>
    <w:p>
      <w:pPr>
        <w:ind w:left="1040" w:right="79" w:hanging="315"/>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results from preclinical studies or clinical trials may not be predictive of results from later clinical trials of any product candidate;</w:t>
      </w:r>
    </w:p>
    <w:p>
      <w:pPr>
        <w:spacing w:after="0" w:line="170"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or other regulatory authorities, IRBs or independent ethics committees may not authorize us or our investigators to commence a clinical trial or conduct a clinical trial at a prospective trial site;</w:t>
      </w:r>
    </w:p>
    <w:p>
      <w:pPr>
        <w:spacing w:after="0" w:line="146" w:lineRule="exact"/>
        <w:rPr>
          <w:rFonts w:ascii="Arial" w:cs="Arial" w:eastAsia="Arial" w:hAnsi="Arial"/>
          <w:sz w:val="17"/>
          <w:szCs w:val="17"/>
          <w:color w:val="auto"/>
        </w:rPr>
      </w:pPr>
    </w:p>
    <w:p>
      <w:pPr>
        <w:ind w:left="1040" w:right="79" w:hanging="315"/>
        <w:spacing w:after="0" w:line="308"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FDA or other regulatory authorities may require us to submit additional data such as long-term toxicology studies, or impose other requirements on us, before permitting us to initiate a clinical trial;</w:t>
      </w:r>
    </w:p>
    <w:p>
      <w:pPr>
        <w:spacing w:after="0" w:line="146" w:lineRule="exact"/>
        <w:rPr>
          <w:rFonts w:ascii="Arial" w:cs="Arial" w:eastAsia="Arial" w:hAnsi="Arial"/>
          <w:sz w:val="17"/>
          <w:szCs w:val="17"/>
          <w:color w:val="auto"/>
        </w:rPr>
      </w:pPr>
    </w:p>
    <w:p>
      <w:pPr>
        <w:jc w:val="both"/>
        <w:ind w:left="1040" w:right="79" w:hanging="315"/>
        <w:spacing w:after="0" w:line="286"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terms with prospective trial sites and prospective contract research organizations, or “CROs”, as the terms of these agreements can be subject to extensive negotiation and vary significantly among different CROs and trial sites;</w:t>
      </w:r>
    </w:p>
    <w:p>
      <w:pPr>
        <w:spacing w:after="0" w:line="165" w:lineRule="exact"/>
        <w:rPr>
          <w:rFonts w:ascii="Arial" w:cs="Arial" w:eastAsia="Arial" w:hAnsi="Arial"/>
          <w:sz w:val="17"/>
          <w:szCs w:val="17"/>
          <w:color w:val="auto"/>
        </w:rPr>
      </w:pPr>
    </w:p>
    <w:p>
      <w:pPr>
        <w:jc w:val="both"/>
        <w:ind w:left="1040" w:right="79" w:hanging="315"/>
        <w:spacing w:after="0" w:line="259"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trials of any product candidate may fail to show safety, purity or potency, or may produce negative or inconclusive results, which may cause us to decide, or regulators to require us, to conduct additional nonclinical studies or clinical trials or which may cause us to decide to abandon product candidate development programs;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73"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may be larger than we anticipate or we may have difficulty in recruiting and enrolling patients to participate in clinical trials, including as a result of the size and nature of the patient population, the proximity of patients to clinical trial sites, eligibility criteria for the clinical trial, the nature of the clinical trial protocol, the availability of approved effective treatments for the relevant disease, competition from other clinical trial programs for similar indications and clinical trial subjects and the impact of public health emergencies, such as the COVID-19 pandemic;</w:t>
      </w:r>
    </w:p>
    <w:p>
      <w:pPr>
        <w:spacing w:after="0" w:line="177" w:lineRule="exact"/>
        <w:rPr>
          <w:rFonts w:ascii="Arial" w:cs="Arial" w:eastAsia="Arial" w:hAnsi="Arial"/>
          <w:sz w:val="17"/>
          <w:szCs w:val="17"/>
          <w:color w:val="auto"/>
        </w:rPr>
      </w:pPr>
    </w:p>
    <w:p>
      <w:pPr>
        <w:jc w:val="both"/>
        <w:ind w:left="1040" w:right="79" w:hanging="315"/>
        <w:spacing w:after="0" w:line="263"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may be difficult to enroll a sufficient number of patients, enrollment in these clinical trials may be slower than we anticipate, or participants may drop out of these clinical trials or may fail to return for post-treatment follow-up at a higher rate than we anticipate;</w:t>
      </w:r>
    </w:p>
    <w:p>
      <w:pPr>
        <w:spacing w:after="0" w:line="183" w:lineRule="exact"/>
        <w:rPr>
          <w:rFonts w:ascii="Arial" w:cs="Arial" w:eastAsia="Arial" w:hAnsi="Arial"/>
          <w:sz w:val="18"/>
          <w:szCs w:val="18"/>
          <w:color w:val="auto"/>
        </w:rPr>
      </w:pPr>
    </w:p>
    <w:p>
      <w:pPr>
        <w:jc w:val="both"/>
        <w:ind w:left="1040" w:right="79" w:hanging="315"/>
        <w:spacing w:after="0" w:line="286"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CROs and other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65" w:lineRule="exact"/>
        <w:rPr>
          <w:rFonts w:ascii="Arial" w:cs="Arial" w:eastAsia="Arial" w:hAnsi="Arial"/>
          <w:sz w:val="17"/>
          <w:szCs w:val="17"/>
          <w:color w:val="auto"/>
        </w:rPr>
      </w:pPr>
    </w:p>
    <w:p>
      <w:pPr>
        <w:jc w:val="both"/>
        <w:ind w:left="1040" w:right="79" w:hanging="315"/>
        <w:spacing w:after="0" w:line="286"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elect to, or regulators, IRBs or ethics committees may require that we or our investigators, suspend or terminate clinical research or trials for various reasons, including noncompliance with regulatory requirements or a finding that participants are being exposed to unacceptable health risks;</w:t>
      </w:r>
    </w:p>
    <w:p>
      <w:pPr>
        <w:spacing w:after="0" w:line="165" w:lineRule="exact"/>
        <w:rPr>
          <w:rFonts w:ascii="Arial" w:cs="Arial" w:eastAsia="Arial" w:hAnsi="Arial"/>
          <w:sz w:val="17"/>
          <w:szCs w:val="17"/>
          <w:color w:val="auto"/>
        </w:rPr>
      </w:pPr>
    </w:p>
    <w:p>
      <w:pPr>
        <w:ind w:left="1040" w:right="79" w:hanging="315"/>
        <w:spacing w:after="0" w:line="342"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of our product candidates could cause undesirable side effects that could result in significant negative consequences, including the inability to enter clinical development or receive regulatory approval;</w:t>
      </w:r>
    </w:p>
    <w:p>
      <w:pPr>
        <w:spacing w:after="0" w:line="123" w:lineRule="exact"/>
        <w:rPr>
          <w:rFonts w:ascii="Arial" w:cs="Arial" w:eastAsia="Arial" w:hAnsi="Arial"/>
          <w:sz w:val="16"/>
          <w:szCs w:val="16"/>
          <w:color w:val="auto"/>
        </w:rPr>
      </w:pPr>
    </w:p>
    <w:p>
      <w:pPr>
        <w:ind w:left="1040" w:right="7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preclinical or nonclinical testing and studies and clinical trials of any product candidates may be greater than we anticipate;</w:t>
      </w:r>
    </w:p>
    <w:p>
      <w:pPr>
        <w:spacing w:after="0" w:line="170"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face hurdles in addressing subject safety concerns that arise during the course of a trial, causing us or our investigators, regulators, IRBs or ethics committees to suspend or terminate trials, or reports may arise from nonclinical or clinical testing of other cancer therapies that raise safety or efficacy concerns about our product candidates;</w:t>
      </w:r>
    </w:p>
    <w:p>
      <w:pPr>
        <w:spacing w:after="0" w:line="186"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supply, quality or timeliness of delivery of materials for product candidates we develop or other materials necessary to conduct clinical trials may be insufficient or inadequate; and</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third parties on whom we are dependent, may suffer business interruptions resulting from geo-political actions, including war and terrorism, or natural disasters and public health emergencies, such as the COVID-19 pandemic.</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may encounter delays if a clinical trial is suspended or terminated by us, the IRBs of the institutions in which such trials are being conducted or ethics committees, or the DSMB recommends suspension or termination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 The FDA or other regulatory authorities may disagree with our clinical trial design and our interpretation of data from clinical trials or may change the requirements for approval even after they have reviewed and commented on the design for our clinical trials. In addition, factors outside our control, such as government shutdowns, natural disasters and public health emergencies such as the COVID-19 pandemic, could disrupt business at the FDA or other regulatory authorities, which could result in delays of reviews, approvals and communications with regulatory authorities related to our clinical trials and product candidates.</w:t>
      </w:r>
    </w:p>
    <w:p>
      <w:pPr>
        <w:spacing w:after="0" w:line="171"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the integrity of the data generated at the applicable clinical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trial site may be questioned and the utility of the clinical trial itself may be jeopardized, which could result in the delay or rejection of the marketing application we submit. Any such delay or rejection could prevent or delay us from commercializing our current or future product candidates.</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If we experience delays in the completion,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the development and approval process for our product candidates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Any such events would impair our ability to successfully commercialize our product candidates and may harm our business and results of operations.</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or result in the development of our product candidates stopping early.</w:t>
      </w:r>
    </w:p>
    <w:p>
      <w:pPr>
        <w:spacing w:after="0" w:line="187"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With the exception of NC410, NC762, NC525 and NC318, all of our product candidates are still in the preclinical stage, and the risk of failure for such product candidates is high. In order to obtain FDA approval to market a new biologic we must demonstrate proof of safety, purity and potency, including efficacy, in humans. To meet these requirements, we will have to conduct adequate and well-controlled clinical trials. Before we can commence clinical trials for a product candidate, we must complete extensive preclinical testing and studies that support our planned clinical trials in humans.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8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Conducting preclinical testing is a lengthy, time-consuming and expensive process. The length of time of such testing may vary substantially according to the type, complexity and novelty of the program, and often can be several years or more per program. Delays associated with programs for which we are conducting preclinical testing and studies may cause us to incur additional operating expenses. Moreover, we may be affected by delays associated with the preclinical testing and studies of certain programs that are the responsibility of our potential future collaborators over which we have no control. The commencement and rate of completion of preclinical studies and clinical trials for a product candidate may be delayed by many factors, including but not limited to:</w:t>
      </w:r>
    </w:p>
    <w:p>
      <w:pPr>
        <w:spacing w:after="0" w:line="177" w:lineRule="exact"/>
        <w:rPr>
          <w:sz w:val="20"/>
          <w:szCs w:val="20"/>
          <w:color w:val="auto"/>
        </w:rPr>
      </w:pPr>
    </w:p>
    <w:p>
      <w:pPr>
        <w:ind w:left="1040" w:right="7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an 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not permitting the reliance on preclinical or other data from published scientific literature.</w:t>
      </w:r>
    </w:p>
    <w:p>
      <w:pPr>
        <w:spacing w:after="0" w:line="225"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b w:val="1"/>
          <w:bCs w:val="1"/>
          <w:i w:val="1"/>
          <w:iCs w:val="1"/>
          <w:color w:val="auto"/>
        </w:rPr>
        <w:t>Interim and preliminary results from our clinical trials that we announce or publish from time to time may change as more patient data become available and are subject to audit, validation and verification procedures that could result in material changes in the final data.</w:t>
      </w:r>
    </w:p>
    <w:p>
      <w:pPr>
        <w:spacing w:after="0" w:line="184"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From time to time, we may publish interim data, including interim top-line results or preliminary results from our clinical trials. Interim data and results from our clinical trials are subject to the risk that one or more of the clinical outcomes may materially change as patient enrollment continues and more patient data become available. For example, notwithstanding the durable responses initially observed in our ongoing Phase 1/2 clinical trial of NC318 in NSCLC, we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announced in November 2022 that based upon then-current efficacy data we decided to discontinue our Phase 2 clinical trial for NC318 monotherapy. Preliminary or top-line results also remain subject to audit, validation and verification procedures that may result in the final data being materially different from the interim and preliminary data we previously published. As a result, interim and preliminary data may not be predictive of final results and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64"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Initial positive trial results and results from preclinical studies and early-stage clinical trials may not be predictive or indicative of results when the trial is completed or in later stage trials.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results of preclinical studies may not be predictive of the results of clinical trials. Preclinical studies and early-stage clinical trials are primarily designed to test safety, to study pharmacokinetics and pharmacodynamics and to understand the side effects of product candidates at various doses and schedules, and the results of any early-stage clinical trials may not be predictive of the results of later-stage, large-scale efficacy clinical trials. In addition, initial success in clinical trials may not be indicative of results obtained when such trials are completed. There can be no assurance that any of our current or future clinical trials will ultimately be successful or support further clinical development of any of our product candidates. There is a high failure rate for drugs and biologics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w:t>
      </w:r>
    </w:p>
    <w:p>
      <w:pPr>
        <w:spacing w:after="0" w:line="18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Even if our clinical trials are completed, the results may not be sufficient to obtain regulatory approval for our product candidates. Data obtained from preclinical and clinical activities are subject to varying interpretations, which may delay, limit or prevent regulatory approval. In addition, the results of our preclinical studies may not be predictive of the results of outcomes in human clinical trials. For example, our current or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desired pharmacological properties or produce the necessary safety and efficacy results despite having progressed through preclinical studies and initial clinical trials. Even if we are able to initiate and complete clinical trials, the results may not be sufficient to obtain regulatory approval for our product candidates.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179"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b w:val="1"/>
          <w:bCs w:val="1"/>
          <w:i w:val="1"/>
          <w:iCs w:val="1"/>
          <w:color w:val="auto"/>
        </w:rPr>
        <w:t>Because the numbers of subjects in our Phase 1/2 and Phase 1 clinical trials are small, the results from each of these trials, once completed, may be less reliable than results achieved in larger clinical trials.</w:t>
      </w:r>
    </w:p>
    <w:p>
      <w:pPr>
        <w:spacing w:after="0" w:line="14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A study design that is considered appropriate includes a sufficiently large sample size with appropriate statistical power, as well as proper control of bias, to allow a meaningful interpretation of the results. The preliminary results of studies with smaller sample sizes, such as our Phase 1/2 clinical trials of NC318, NC410 and NC762, and Phase 1 clinical trial for NC525, can be disproportionately influenced by the impact the treatment had on a few individuals, which limits the ability to generalize the results across a broader community, thus making the study results less reliable than studies with a larger number of subjects and making it difficult to predict final results from preliminary results. As a result, there may be less certainty that the respective investigational drug product would achieve a statistically significant effect in any future clinical trials. If we conduct any future clinical trials of NC410, NC762, or NC525, we may not achieve a statistically significant result or the same level of statistical significance seen, if any, in our Phase 1/2 and Phase 1 clinical trials. Similarly, if we conduct a clinical trial of any other product candidate we develop with a small sample size, the results of any such trial may be less reliable than results achieved in larger clinical trials and may provide less certainty of achieving statistically significant effects in any future clinical trials.</w:t>
      </w:r>
    </w:p>
    <w:p>
      <w:pPr>
        <w:spacing w:after="0" w:line="179"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product candidates using our FIND-IO platform is unproven and may not result in marketable products.</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success of our business depends in part upon our ability to identify targets based on our proprietary FIND-IO platform and to develop and commercialize immunomedicines. Our approach to the discovery of targets using the FIND-IO platform is novel. We have not yet initiated or completed a clinical trial of any product candidate developed for a target identified from the FIND-IO platform. The platform may fail to accurately identify targets that modulate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immune system and are appropriate for immunomedicines. Even if we are able to identify targets from the FIND-IO platform and to develop corresponding product candidates, we cannot assure that such product candidates will achieve marketing approval to safely and effectively treat cancer or other disease states.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If we uncover any previously unknown risks related to our FIND-IO platform, or if we experience unanticipated problems or delays in developing our FIND-IO product candidates, we may be unable to achieve our strategy of building an oncology pipeline of novel targets for new immunomedicines focused on non-responders.</w:t>
      </w:r>
    </w:p>
    <w:p>
      <w:pPr>
        <w:spacing w:after="0" w:line="16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b w:val="1"/>
          <w:bCs w:val="1"/>
          <w:i w:val="1"/>
          <w:iCs w:val="1"/>
          <w:color w:val="auto"/>
        </w:rPr>
        <w:t>Our current or future product candidates may cause undesirable side effects or have other properties when used alone or in combination with other approved products or investigational new drugs that could halt their clinical development, delay or prevent their regulatory approval, limit their commercial potential or result in significant negative consequences.</w:t>
      </w:r>
    </w:p>
    <w:p>
      <w:pPr>
        <w:spacing w:after="0" w:line="18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Before obtaining regulatory approvals for the commercial sale of our product candidates, we must demonstrate through lengthy, complex and expensive preclinical testing and clinical trials that our product candidates are safe, pure and potent for use in each target indication, and failures can occur at any stage of testing. As with most biologics, use of our current or future product candidates could be associated with side effects or adverse events which can vary in severity from minor reactions to death and in frequency from infrequent to prevalent. There have been serious adverse side effects reported in response to immunotherapies in oncology.</w:t>
      </w:r>
    </w:p>
    <w:p>
      <w:pPr>
        <w:spacing w:after="0" w:line="17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Possible adverse side effects that could occur with treatment with immunomedicines include an immunologic reaction early after administration that, while not necessarily adverse to the patient’s health, could substantially limit the effectiveness of the treatment. In addition to any potential side effects caused by the product or product candidate, the administration process or related procedures also can cause adverse side effects. If unacceptable adverse events occur, our clinical trials or any future marketing authorization could be suspended or terminated.</w:t>
      </w:r>
    </w:p>
    <w:p>
      <w:pPr>
        <w:spacing w:after="0" w:line="1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If unacceptable side effects arise in the development of our product candidates, the DSMB may recommend or,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significantly harm our business, financial condition and prospects.</w:t>
      </w:r>
    </w:p>
    <w:p>
      <w:pPr>
        <w:spacing w:after="0" w:line="18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Although our current and future product candidates have undergone and will undergo safety testing to the extent possible and, where applicable, under such conditions discussed with regulatory authorities, not all adverse effects of drugs can be predicted or anticipated. Immunomedicines and their method of action of harnessing the body’s immune system are powerful and could lead to serious side effects that we only discover in clinical trials or during commercial marketing. Unforeseen side effects could arise either during clinical development or after our product candidates have been approved by regulatory authorities and the approved product has been marketed, resulting in the exposure of additional patients. So far, we have not demonstrated that NC410, NC762, NC525 or any other product candidate is safe in humans, and we cannot predict if ongoing or future clinical trials will do so. If any of our current or future product candidates fail to demonstrate safety and efficacy in clinical trials or do not gain marketing approval, we will not be able to generate revenue and our business will be harmed.</w:t>
      </w:r>
    </w:p>
    <w:p>
      <w:pPr>
        <w:spacing w:after="0" w:line="18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addition, we are ourself studying NC410 in combination with other therapies, supporting Yale’s study of NC318 in combination with other therapies, and may develop NC762, NC525 and future product candidates in combination with other therapies, which exposes us to additional risks relating to undesirable side effects or other properties. For example, the other therapies may lead to toxicities that are improperly attributed to our product candidates or the combination of our product candidates with other therapies may result in toxicities that the product candidate or other therapy does not produce when used alone. The other therapies we are using in combination may be removed from the market, or we may not be able to secure adequate quantities of such materials for which we have no guaranteed supply contract, and thus be unavailable for testing or commercial use with any of our approved products. The other therapies we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may use in combination with our product candidates may also be supplanted in the market by newer, safer or more efficacious products or combinations of products.</w:t>
      </w:r>
    </w:p>
    <w:p>
      <w:pPr>
        <w:spacing w:after="0" w:line="170"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Even if we successfully advance one of our product candidates through clinical trials, such trials will likely only include a limited number of subjects and limited duration of exposure to our product candidates. As a result, we cannot be assured that adverse effects of our product candidates will not be uncovered when a significantly larger number of patients are exposed to the product candidate. Further, any clinical trial may not be sufficient to determine the effect and safety consequences of taking our product candidates over a multi-year period.</w:t>
      </w:r>
    </w:p>
    <w:p>
      <w:pPr>
        <w:spacing w:after="0" w:line="176"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146" w:lineRule="exact"/>
        <w:rPr>
          <w:sz w:val="20"/>
          <w:szCs w:val="20"/>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implement a REMS or create a Medication Guide outlining the risks of such side effects for distribution to patients;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subject to fines, warning letters, or other regulatory enforcement action;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subject to injunctions or the imposition of civil or criminal penalties;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be required to conduct additional post-market clinical trials to assess the safety of the product;</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be subject to product seizure or detention, or refusal to permit the import or export of products;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FDA may refuse to approve pending applications or supplements to approved applications filed by us;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Any of the foregoing events could prevent us from achieving or maintaining market acceptance of the particular product candidate, if approved, and result in the loss of significant revenues, which would materially harm our business. In addition, if one or more of our product candidates or our immunotherapeutic development approach generally prove to be unsafe, our entire technology platform and pipeline could be affected, which would also materially harm our business.</w:t>
      </w:r>
    </w:p>
    <w:p>
      <w:pPr>
        <w:spacing w:after="0" w:line="157"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If there are continued difficulties enrolling patients in our clinical trials, our clinical development activities could be delayed or otherwise be adversely affected.</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successful and timely completion of clinical trials in accordance with their protocols depends on, among other things, our ability to enroll a sufficient number of patients who remain in the trial until the trial’s conclusion, including any follow-up period. We may experience difficulties in patient enrollment in our clinical trials for a variety of reasons. For example, we experienced a slowdown of enrollment in our ongoing clinical trials as a result of the COVID-19 pandemic. The enrollment of patients depends on many factors, including:</w:t>
      </w:r>
    </w:p>
    <w:p>
      <w:pPr>
        <w:spacing w:after="0" w:line="188" w:lineRule="exact"/>
        <w:rPr>
          <w:sz w:val="20"/>
          <w:szCs w:val="20"/>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nature and size of the patient population required for analysis of the trial’s primary endpoints and the process for identifying patients;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and location of participating clinical sites or patients;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25"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drug candidates’ clinical trials;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and maintain patient informed consents for participation in our clinical trials;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or, because they may be late-stage cancer patients, will not survive the full terms of the clinical trials; and</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factors outside of our control, including as a result of business interruptions resulting from natural disasters and public health emergencies, such as the COVID-19 pandemic.</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current and potential future product candidates. This competition will reduce the number and types of patients available to us, because some patients who might have opted to enroll in our trials may instead opt to enroll in a trial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w:t>
      </w:r>
    </w:p>
    <w:p>
      <w:pPr>
        <w:spacing w:after="0" w:line="18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Delays from difficulties in patient enrollment in a clinical trial may result in increased costs or affect the timing, outcome or completion of the trial, which could delay or prevent our receipt of regulatory approval of the applicable product candidate or to abandon the trial altogether.</w:t>
      </w:r>
    </w:p>
    <w:p>
      <w:pPr>
        <w:spacing w:after="0" w:line="184" w:lineRule="exact"/>
        <w:rPr>
          <w:sz w:val="20"/>
          <w:szCs w:val="20"/>
          <w:color w:val="auto"/>
        </w:rPr>
      </w:pPr>
    </w:p>
    <w:p>
      <w:pPr>
        <w:ind w:left="60" w:right="499"/>
        <w:spacing w:after="0" w:line="342" w:lineRule="auto"/>
        <w:rPr>
          <w:sz w:val="20"/>
          <w:szCs w:val="20"/>
          <w:color w:val="auto"/>
        </w:rPr>
      </w:pPr>
      <w:r>
        <w:rPr>
          <w:rFonts w:ascii="Arial" w:cs="Arial" w:eastAsia="Arial" w:hAnsi="Arial"/>
          <w:sz w:val="16"/>
          <w:szCs w:val="16"/>
          <w:b w:val="1"/>
          <w:bCs w:val="1"/>
          <w:i w:val="1"/>
          <w:iCs w:val="1"/>
          <w:color w:val="auto"/>
        </w:rPr>
        <w:t>We may be required to suspend, repeat or terminate our clinical trials if they are not conducted in accordance with regulatory requirements, the results are negative or inconclusive or the trials are not well designed.</w:t>
      </w:r>
    </w:p>
    <w:p>
      <w:pPr>
        <w:spacing w:after="0" w:line="12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Clinical trials must be conducted in accordance with the FDA’s current cGCP or analogous requirements of applicable foreign regulatory authorities. Clinical trials are subject to oversight by the FDA, other foreign governmental agencies and IRBs or ethical committees at the study sites where the clinical trials are conducted. In addition, clinical trials must be conducted with product candidates manufactured in accordance with applicable cGMP. Clinical trials may be suspended by the FDA, other foreign regulatory authorities, us, or by an IRB or ethics committee with respect to a particular clinical trial site, for various reasons, including:</w:t>
      </w:r>
    </w:p>
    <w:p>
      <w:pPr>
        <w:spacing w:after="0" w:line="178" w:lineRule="exact"/>
        <w:rPr>
          <w:sz w:val="20"/>
          <w:szCs w:val="20"/>
          <w:color w:val="auto"/>
        </w:rPr>
      </w:pPr>
    </w:p>
    <w:p>
      <w:pPr>
        <w:ind w:left="1040" w:right="7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deficiencies in the conduct of the clinical trials, including failure to conduct the clinical trial in accordance with regulatory requirements or study protocols;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deficiencies in the clinical trial operations or trial sites;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unforeseen adverse side effects or the emergence of undue risks to study subjects;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deficiencies in the trial design necessary to demonstrate efficacy;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product candidate may not appear to offer benefits over current therapies;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may fall below acceptable standards.</w:t>
      </w:r>
    </w:p>
    <w:p>
      <w:pPr>
        <w:spacing w:after="0" w:line="225" w:lineRule="exact"/>
        <w:rPr>
          <w:sz w:val="20"/>
          <w:szCs w:val="20"/>
          <w:color w:val="auto"/>
        </w:rPr>
      </w:pPr>
    </w:p>
    <w:p>
      <w:pPr>
        <w:ind w:left="60" w:right="439"/>
        <w:spacing w:after="0" w:line="311" w:lineRule="auto"/>
        <w:rPr>
          <w:sz w:val="20"/>
          <w:szCs w:val="20"/>
          <w:color w:val="auto"/>
        </w:rPr>
      </w:pPr>
      <w:r>
        <w:rPr>
          <w:rFonts w:ascii="Arial" w:cs="Arial" w:eastAsia="Arial" w:hAnsi="Arial"/>
          <w:sz w:val="16"/>
          <w:szCs w:val="16"/>
          <w:b w:val="1"/>
          <w:bCs w:val="1"/>
          <w:i w:val="1"/>
          <w:iCs w:val="1"/>
          <w:color w:val="auto"/>
        </w:rPr>
        <w:t>We have chosen to prioritize development of NC410, NC762 and NC525. We may expend our limited resources on product candidates or indications that do not yield a successful product and fail to capitalize on other candidates or indications for which there may be a greater likelihood of success or may be more profitable.</w:t>
      </w:r>
    </w:p>
    <w:p>
      <w:pPr>
        <w:spacing w:after="0" w:line="149"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Because we have limited resources, we have strategically determined to prioritize development of NC410, NC762 and NC525 rather than other product candidates based, in part, on the significant resources required for developing and manufacturing immunomedicines. To date, no regulatory authority has granted approval for an immunomedicine targeting the LAIR pathway or B7-H4. As a result, we may be foregoing other potentially more profitable immunomedicines or therapies or those with a greater likelihood of success.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with respect to, certain programs may subsequently also prove to be suboptimal and could cause us to miss valuable opportunities. If we make incorrect determinations regarding the viability or market potential of any of our current or future product candidates or misread trends in the oncology or biopharmaceutical industry,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development and commercialization rights.</w:t>
      </w:r>
    </w:p>
    <w:p>
      <w:pPr>
        <w:spacing w:after="0" w:line="176"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b w:val="1"/>
          <w:bCs w:val="1"/>
          <w:i w:val="1"/>
          <w:iCs w:val="1"/>
          <w:color w:val="auto"/>
        </w:rPr>
        <w:t>We may need to develop, or enter into a collaboration or partnership to develop, complementary or companion diagnostics for our current or future product candidates. If we, or our future collaborators, are unable to successfully develop complementary or companion diagnostics, or experience significant delays in doing so, we may not realize the full commercial potential of our current or future product candidates.</w:t>
      </w:r>
    </w:p>
    <w:p>
      <w:pPr>
        <w:spacing w:after="0" w:line="171"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One of the key elements of our product development strategy is to identify cancer patient populations that may derive meaningful benefit from our current or future product candidates. Because predictive biomarkers are being and may be used to identify the right patients for current or future product candidates, we believe that our success may depend, in part, on our ability to develop complementary or companion diagnostics in collaboration with partners.</w:t>
      </w:r>
    </w:p>
    <w:p>
      <w:pPr>
        <w:spacing w:after="0" w:line="17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have limited experience in the development of diagnostics and, as such, we may rely in part on future collaborators in developing appropriate diagnostics to pair with our current or future product candidates. We have not yet begun substantial discussions with any potential partners with respect to the development of complementary or companion diagnostics and may be unsuccessful in entering into collaborations for the development of any such diagnostics for our current or future product candidates.</w:t>
      </w:r>
    </w:p>
    <w:p>
      <w:pPr>
        <w:spacing w:after="0" w:line="18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Companion diagnostics are subject to regulation by the FDA and similar comparable foreign regulatory authorities as medical devices and require separate regulatory approval or clearance prior to commercialization. Complementary diagnostics may be subject to regulation by CMS or the FDA and similar comparable foreign regulatory authorities and may require separate regulatory approval or clearance prior to commercialization. Gaining regulatory approval could be time consuming and costly and could delay regulatory approval of the related product candidate.</w:t>
      </w:r>
    </w:p>
    <w:p>
      <w:pPr>
        <w:spacing w:after="0" w:line="161"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We and our collaborators may encounter difficulties in developing such tests, including issues relating to the selectivity or specificity of the diagnostic, analytical validation, reproducibility or clinical validation. If we, our</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collaborators, or any third parties that we engage to assist us, are unable to successfully develop complementary or companion diagnostics for our current or future product candidates or experience delays in doing so:</w:t>
      </w:r>
    </w:p>
    <w:p>
      <w:pPr>
        <w:spacing w:after="0" w:line="146" w:lineRule="exact"/>
        <w:rPr>
          <w:sz w:val="20"/>
          <w:szCs w:val="20"/>
          <w:color w:val="auto"/>
        </w:rPr>
      </w:pPr>
    </w:p>
    <w:p>
      <w:pPr>
        <w:ind w:left="720" w:right="79"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 of our current or future product candidates may be adversely affected if we are unable to appropriately select patients for enrollment in our clinical trials; and</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realize the commercial potential of our current or future product candidates if, among other reasons, we are unable to appropriately identify, or it takes us longer to identify, patients who are likely to benefit from therapy with our products, if approved.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any of these events were to occur, our business could be materially harmed.</w:t>
      </w:r>
    </w:p>
    <w:p>
      <w:pPr>
        <w:spacing w:after="0" w:line="221" w:lineRule="exact"/>
        <w:rPr>
          <w:sz w:val="20"/>
          <w:szCs w:val="20"/>
          <w:color w:val="auto"/>
        </w:rPr>
      </w:pPr>
    </w:p>
    <w:p>
      <w:pPr>
        <w:ind w:left="60" w:right="819"/>
        <w:spacing w:after="0" w:line="282" w:lineRule="auto"/>
        <w:rPr>
          <w:sz w:val="20"/>
          <w:szCs w:val="20"/>
          <w:color w:val="auto"/>
        </w:rPr>
      </w:pPr>
      <w:r>
        <w:rPr>
          <w:rFonts w:ascii="Arial" w:cs="Arial" w:eastAsia="Arial" w:hAnsi="Arial"/>
          <w:sz w:val="18"/>
          <w:szCs w:val="18"/>
          <w:b w:val="1"/>
          <w:bCs w:val="1"/>
          <w:color w:val="auto"/>
        </w:rPr>
        <w:t>Risks Related to the Regulatory Approval and Commercialization of Product Candidates and Other Legal Compliance Matters</w:t>
      </w:r>
    </w:p>
    <w:p>
      <w:pPr>
        <w:spacing w:after="0" w:line="58"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b w:val="1"/>
          <w:bCs w:val="1"/>
          <w:i w:val="1"/>
          <w:iCs w:val="1"/>
          <w:color w:val="auto"/>
        </w:rPr>
        <w:t>We may be unable to obtain FDA approval of our product candidates under applicable regulatory requirements. The denial or delay of any such approval would prevent or delay commercialization of our product candidates and adversely impact our potential to generate revenue, our business and our results of operations.</w:t>
      </w:r>
    </w:p>
    <w:p>
      <w:pPr>
        <w:spacing w:after="0" w:line="14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To gain approval to market our product candidates in the United States, we must provide the FDA with clinical data that adequately demonstrate the safety, purity and potency, including efficacy, of the product candidate for the proposed indication or indications in a BLA submission. Product development is a long, expensive and uncertain process, and delay or failure can occur at any stage of any of our clinical development programs. A number of companies in the biotechnology and pharmaceutical industries have suffered significant setbacks in clinical trials, even after promising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Success in preclinical testing and early clinical trials does not ensure that later clinical trials will be successful, and the results of clinical trials by other parties may not be indicative of the results in trials we may conduct.</w:t>
      </w:r>
    </w:p>
    <w:p>
      <w:pPr>
        <w:spacing w:after="0" w:line="18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have not previously submitted a BLA or any other marketing application to the FDA or similar filings to comparable foreign regulatory authorities. A BLA or other similar regulatory filing requesting approval to market a product candidate must include extensive preclinical and clinical data and supporting information to establish that the product candidate is safe, pure and potent for each desired indication. The BLA or other similar regulatory filing must also include significant information regarding the chemistry, manufacturing and controls for the product.</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research, testing, manufacturing, labeling, approval, marketing, sale and distribution of biological products are subject to extensive regulation by the FDA and other regulatory authorities in the United States and other countries, and such regulations differ from country to country. We are not permitted to market our product candidates in the United States or in any foreign countries until they receive the requisite approval from the applicable regulatory authorities of such jurisdictions.</w:t>
      </w:r>
    </w:p>
    <w:p>
      <w:pPr>
        <w:spacing w:after="0" w:line="188"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FDA or comparable foreign regulatory authorities can delay, limit or deny approval of our product candidates for many reasons, including:</w:t>
      </w:r>
    </w:p>
    <w:p>
      <w:pPr>
        <w:spacing w:after="0" w:line="170" w:lineRule="exact"/>
        <w:rPr>
          <w:sz w:val="20"/>
          <w:szCs w:val="20"/>
          <w:color w:val="auto"/>
        </w:rPr>
      </w:pPr>
    </w:p>
    <w:p>
      <w:pPr>
        <w:ind w:left="1040" w:right="7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a comparable foreign regulatory authority that our product candidates are safe and effective for the requested indication;</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authority’s disagreement with our trial protocol or the interpretation of data from preclinical studies or clinical trials;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our product candidates outweigh any safety or other perceived risks;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authority’s requirement for additional preclinical studies or clinical trials;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authority’s non-approval of the formulation, labeling, or specifications of our product candidates;</w:t>
      </w:r>
    </w:p>
    <w:p>
      <w:pPr>
        <w:spacing w:after="0" w:line="170"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FDA or a comparable regulatory authority’s failure to approve our manufacturing processes and facilities or the manufacturing processes and facilities of third-party manufacturers upon which we rely; or</w:t>
      </w:r>
    </w:p>
    <w:p>
      <w:pPr>
        <w:spacing w:after="0" w:line="14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for approval policies or regulations of the FDA or a comparable foreign regulatory authority to significantly change in a manner rendering our clinical data insufficient for approval.</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Even if we eventually complete clinical testing and receive approval from the FDA or comparable foreign regulatory authorities for any of our product candidates, the FDA or comparable foreign regulatory authorities may grant approval contingent on the performance of costly additional clinical trials which may be required after approval. The FDA or comparable foreign regulatory authorities also may approve any of our product candidates for a more limited indication or a narrower patient population than we originally requested, and the FDA or comparable foreign regulatory authorities may not approve any of our product candidates with the labeling that we believe is necessary or desirable for the successful commercialization of any such product candidates.</w:t>
      </w:r>
    </w:p>
    <w:p>
      <w:pPr>
        <w:spacing w:after="0" w:line="177"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Of the large number of biopharmaceutical products in development, only a small percentage successfully complete the FDA or other regulatory bodies’ approval processes and are commercialized. Any delay in obtaining, or inability to obtain, applicable regulatory approval would delay or prevent commercialization of our product candidates and would materially harm our business.</w:t>
      </w:r>
    </w:p>
    <w:p>
      <w:pPr>
        <w:spacing w:after="0" w:line="187" w:lineRule="exact"/>
        <w:rPr>
          <w:sz w:val="20"/>
          <w:szCs w:val="20"/>
          <w:color w:val="auto"/>
        </w:rPr>
      </w:pPr>
    </w:p>
    <w:p>
      <w:pPr>
        <w:jc w:val="both"/>
        <w:ind w:left="60" w:right="279"/>
        <w:spacing w:after="0" w:line="263" w:lineRule="auto"/>
        <w:rPr>
          <w:sz w:val="20"/>
          <w:szCs w:val="20"/>
          <w:color w:val="auto"/>
        </w:rPr>
      </w:pPr>
      <w:r>
        <w:rPr>
          <w:rFonts w:ascii="Arial" w:cs="Arial" w:eastAsia="Arial" w:hAnsi="Arial"/>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immunotherapies, and other cancer treatments like chemotherapy and radiation therapy, are well established in the medical community, and doctors may continue to rely on these therapies. Our approach to targeting different components of the TME is novel and unproven. In addition, adverse events in clinical trials testing our product candidates or in clinical trials of others developing similar product candidates and the resulting publicity, as well as any other adverse events in the field of immuno-oncology that may occur in the future, could result in a decrease in demand for our current or future product candidates. If public perception is influenced by claims that the use of cancer immunotherapies is unsafe, whether related to our immunomedicines or our competitors’ products, our products may not be accepted by the general public or the medical community. Future adverse events in immuno-oncology or the biopharmaceutical industry could also result in greater governmental regulation, stricter labeling requirements and potential regulatory delays in the testing or approvals of our products.</w:t>
      </w:r>
    </w:p>
    <w:p>
      <w:pPr>
        <w:spacing w:after="0" w:line="18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If our current and any future product candidates we develop do not achieve an adequate level of acceptance, we may not generate significant product revenues and we may not become profitable. The degree of market acceptance of our current and any future product candidates, if approved for commercial sale, will depend on a number of factors, including:</w:t>
      </w:r>
    </w:p>
    <w:p>
      <w:pPr>
        <w:spacing w:after="0" w:line="149" w:lineRule="exact"/>
        <w:rPr>
          <w:sz w:val="20"/>
          <w:szCs w:val="20"/>
          <w:color w:val="auto"/>
        </w:rPr>
      </w:pPr>
    </w:p>
    <w:p>
      <w:pPr>
        <w:ind w:left="1040" w:right="79" w:hanging="315"/>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those that are not yet approved;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strength of marketing, sales and distribution support;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regulatory approval and adoption of a companion or complementary diagnostic, if needed or advisable;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sz w:val="20"/>
          <w:szCs w:val="20"/>
          <w:color w:val="auto"/>
        </w:rPr>
      </w:pPr>
    </w:p>
    <w:p>
      <w:pPr>
        <w:ind w:left="60" w:right="259"/>
        <w:spacing w:after="0" w:line="381" w:lineRule="auto"/>
        <w:rPr>
          <w:sz w:val="20"/>
          <w:szCs w:val="20"/>
          <w:color w:val="auto"/>
        </w:rPr>
      </w:pPr>
      <w:r>
        <w:rPr>
          <w:rFonts w:ascii="Arial" w:cs="Arial" w:eastAsia="Arial" w:hAnsi="Arial"/>
          <w:sz w:val="15"/>
          <w:szCs w:val="15"/>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10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may initially seek approval for NC410, NC762, NC525 and any other product candidates we develop as second- or third-line therapies. If we do so, for those products that prove to be sufficiently beneficial, if any, we would expect potentially to seek approval as a first-line therapy, but there is no guarantee that any product candidate we develop, even if approved, would be approved for first-line therapy, and, prior to any such approvals, we may have to conduct additional clinical trials.</w:t>
      </w:r>
    </w:p>
    <w:p>
      <w:pPr>
        <w:spacing w:after="0" w:line="19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number of patients who have the types of cancer we are targeting may turn out to be lower than expected. Additionally, the potentially addressable patient population for our current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176" w:lineRule="exact"/>
        <w:rPr>
          <w:sz w:val="20"/>
          <w:szCs w:val="20"/>
          <w:color w:val="auto"/>
        </w:rPr>
      </w:pPr>
    </w:p>
    <w:p>
      <w:pPr>
        <w:ind w:left="60" w:right="619"/>
        <w:spacing w:after="0" w:line="342" w:lineRule="auto"/>
        <w:rPr>
          <w:sz w:val="20"/>
          <w:szCs w:val="20"/>
          <w:color w:val="auto"/>
        </w:rPr>
      </w:pPr>
      <w:r>
        <w:rPr>
          <w:rFonts w:ascii="Arial" w:cs="Arial" w:eastAsia="Arial" w:hAnsi="Arial"/>
          <w:sz w:val="16"/>
          <w:szCs w:val="16"/>
          <w:b w:val="1"/>
          <w:bCs w:val="1"/>
          <w:i w:val="1"/>
          <w:iCs w:val="1"/>
          <w:color w:val="auto"/>
        </w:rPr>
        <w:t>We are studying NC410 in combination with other therapies and may develop NC762, NC525 and future product candidates in combination with other therapies, which exposes us to additional regulatory risks.</w:t>
      </w:r>
    </w:p>
    <w:p>
      <w:pPr>
        <w:spacing w:after="0" w:line="12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are studying NC410 in combination with pembrolizumab and may develop NC762, NC525 and future product candidates in combination with one or more currently approved cancer therapies. In addition, we are supplying NC318 drug product to Yale in support of Yale’s IIT study of NC318 in combination with pembrolizumab. These combinations have not been tested before and may, among other things, fail to demonstrate synergistic activity, may fail to achieve superior outcomes relative to the use of single agents or other combination therapies, or may fail to demonstrate sufficient safety or efficacy traits in clinical trials to enable us to complete those clinical trials or obtain marketing approval for the combination therapy.</w:t>
      </w:r>
    </w:p>
    <w:p>
      <w:pPr>
        <w:spacing w:after="0" w:line="19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addition, we did not develop or obtain regulatory approval for, and we do not manufacture or sell, any of these approved therapeutics. Therefore, even if any product candidate we develop were to receive marketing approval or be commercialized for use in combination with other existing therapies, we would continue to be subject to the risk that the FDA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therapies are commonly used for the treatment of cancer, and we would be subject to similar risks if we develop any of our product candidates for use in combination with other drugs or for indications other than cancer.</w:t>
      </w:r>
    </w:p>
    <w:p>
      <w:pPr>
        <w:spacing w:after="0" w:line="16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may also evaluate NC410, NC762, NC525 or any future product candidate in combination with one or more other cancer therapies that have not yet been approved for marketing by the FDA or comparable foreign regulatory authorities. We will not be able to market and sell NC410, NC762, NC525 or any product candidate we develop in combination with any such unapproved cancer therapies that do not ultimately obtain marketing approval.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If the FDA or comparable foreign regulatory authorities do not approve these other biological products or revoke their approval of, or if safety, efficacy, manufacturing or supply issues arise with, the biologics we choose to evaluate in combination with NC410, NC762, NC525 or any product candidate we develop, we may be unable to obtain approval of or market any such product candidate.</w:t>
      </w:r>
    </w:p>
    <w:p>
      <w:pPr>
        <w:spacing w:after="0" w:line="187"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b w:val="1"/>
          <w:bCs w:val="1"/>
          <w:i w:val="1"/>
          <w:iCs w:val="1"/>
          <w:color w:val="auto"/>
        </w:rPr>
        <w:t>Even if we receive marketing approval of a product candidate, we will be subject to ongoing regulatory obligations and continued regulatory review, which may result in significant additional expense. If we fail to comply or experience unanticipated problems with our products, we may be subject to administrative and judicial enforcement, including monetary penalties, for non-compliance and our approved products, if any, could be deemed misbranded or adulterated and prohibited from continued distribution.</w:t>
      </w:r>
    </w:p>
    <w:p>
      <w:pPr>
        <w:spacing w:after="0" w:line="1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implementation of a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and deviation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cGMP and cGCP, for any clinical trials that we may conduct post-approval. Later discovery of previously unknown problems with any approved candidate, including adverse events of unanticipated severity or frequency, or with our or our third-party manufacturers’ manufacturing processes or facilities, or failure to comply with regulatory requirements, may result in, among other things:</w:t>
      </w:r>
    </w:p>
    <w:p>
      <w:pPr>
        <w:spacing w:after="0" w:line="390" w:lineRule="exact"/>
        <w:rPr>
          <w:sz w:val="20"/>
          <w:szCs w:val="20"/>
          <w:color w:val="auto"/>
        </w:rPr>
      </w:pPr>
    </w:p>
    <w:p>
      <w:pPr>
        <w:ind w:left="1040" w:right="79" w:hanging="315"/>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suspension of, or imposition of restrictions on, the marketing or manufacturing of the product, withdrawal of the product from the market, or product recalls;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Warning Letters or Untitled Letters, or holds on clinical trials;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we file, or suspension or revocation of approved biologics licenses;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seizure or detention, monetary penalties, refusal to permit the import or export of the product, or placement on Import Alert;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permanent injunctions and consent decrees including the imposition of civil or criminal penalties.</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Given the nature of biologics manufacturing, there is a risk of contamination. Any contamination could materially adversely affect our ability to produce product candidates on schedule and could, therefore, harm our results of operations and cause reputational damage. Some of the raw materials and other components required in our manufacturing process are derived from biologic sources. Such raw materials are difficult to procure and may be subject to contamination or recall. A material shortage, contamination, recall or restriction on the use of biologically derived substances in manufacturing our product or product candidates could adversely impact or disrupt the commercial manufacturing or the production of clinical material, which could materially and adversely affect our development and commercialization timelines and our business, financial condition, results of operations and prospects and could adversely affect our ability to meet our supply obligations.</w:t>
      </w:r>
    </w:p>
    <w:p>
      <w:pPr>
        <w:spacing w:after="0" w:line="181"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Moreover, the FDA strictly regulates the promotional claims that may be made about drug and biological products. An approved product may not be promoted for uses that are not approved by the FDA as reflected in the product’s approved labeling, or off-label uses. The FDA and other agencies actively enforce the laws and regulations prohibiting the promotion of off-label uses. The FDA has issued guidance on the factors that it will consider in determining whether a firm’s product communication is consistent with the FDA-required labeling for that product, and those factors contain complexity and potential for overlap and misinterpretation. A company that is found to have improperly promoted off-label uses of their products may be subject to significant civil, criminal and administrative penalties.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FDA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4"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b w:val="1"/>
          <w:bCs w:val="1"/>
          <w:i w:val="1"/>
          <w:iCs w:val="1"/>
          <w:color w:val="auto"/>
        </w:rPr>
        <w:t>Obtaining and maintaining marketing approval of our current and future product candidates in one jurisdiction does not mean that we will be successful in obtaining and maintaining marketing approval of our current and future product candidates in other jurisdictions.</w:t>
      </w:r>
    </w:p>
    <w:p>
      <w:pPr>
        <w:spacing w:after="0" w:line="18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6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9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b w:val="1"/>
          <w:bCs w:val="1"/>
          <w:i w:val="1"/>
          <w:iCs w:val="1"/>
          <w:color w:val="auto"/>
        </w:rPr>
        <w:t>We depend on data and our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8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collect and maintain information in digital form that is necessary to conduct our business, and we are dependent on our information technology systems and those of third parties to operate our business. In the ordinary course of our business, we collect, store and transmit large amounts of confidential information, including intellectual property, proprietary business information, personal information, protected health information and data to comply with cGMP and data integrity requirements. It is critical that we do so in a secure manner to maintain data security and data integrity of such information. We have established physical, electronic and organizational measures to safeguard and secure our systems to prevent a data compromise. We have also outsourced elements of our information technology infrastructure, and as a result a number of third-party vendors may or could have access to our confidential information. If we or our vendors fail to comply with applicable data privacy laws, or if the legal mechanisms we or our vendors rely upon for the transfer of personal data are ever deemed inadequate, or if we or our vendors experience a data breach resulting in exposure of personal data subject to the applicable laws, we could be subject to government enforcement actions and significant penalties against us, criminal and civil liability for us and our officers and directors, private litigation or adverse publicity.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OCR, pursuant to legislation passed in 2021, recently issued guidance on recognized security practices for covered entities and business associates, the OCR indicated that recognized security practices will not be an aggravating factor in OCR investigations, but that implementation of recognized security practices strengthen an organization’s cybersecurity and regulatory posture, as well as possibly lessening enforcement penalties in a potential regulatory enforcement.</w:t>
      </w:r>
    </w:p>
    <w:p>
      <w:pPr>
        <w:spacing w:after="0" w:line="157"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phishing, persons inside our organization or persons with access to systems inside our organization. We and our third party service providers regularly defend against, respond to and mitigate risks from data security incidents. The risk of a security breach or disruption or data loss,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ransomware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Likewise, we rely on third parties to conduct clinical trials, and similar events relating to their computer systems could also have a material adverse effect on our business.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HIPAA and its implementing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 We may need to expend significant resources and make significant capital investment to protect against security breaches or to mitigate the impact of any such breaches.</w:t>
      </w:r>
    </w:p>
    <w:p>
      <w:pPr>
        <w:spacing w:after="0" w:line="173" w:lineRule="exact"/>
        <w:rPr>
          <w:sz w:val="20"/>
          <w:szCs w:val="20"/>
          <w:color w:val="auto"/>
        </w:rPr>
      </w:pPr>
    </w:p>
    <w:p>
      <w:pPr>
        <w:ind w:left="60" w:right="179"/>
        <w:spacing w:after="0" w:line="275" w:lineRule="auto"/>
        <w:rPr>
          <w:sz w:val="20"/>
          <w:szCs w:val="20"/>
          <w:color w:val="auto"/>
        </w:rPr>
      </w:pPr>
      <w:r>
        <w:rPr>
          <w:rFonts w:ascii="Arial" w:cs="Arial" w:eastAsia="Arial" w:hAnsi="Arial"/>
          <w:sz w:val="17"/>
          <w:szCs w:val="17"/>
          <w:b w:val="1"/>
          <w:bCs w:val="1"/>
          <w:i w:val="1"/>
          <w:iCs w:val="1"/>
          <w:color w:val="auto"/>
        </w:rPr>
        <w:t>The successful commercialization of our product candidates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1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availability of coverage and adequacy of reimbursement by third-party payors, including managed care plans, governmental healthcare programs, such as Medicare and Medicaid and private health insurers is essential for most patients to be able to afford medical services and pharmaceutical products such as our product candidates that receive FDA approval. Our ability to achieve acceptable levels of coverage and reimbursement for our products or procedures using our products by third-party payors will have an effect on our ability to successfully commercialize our product candidates. Obtaining coverage and adequate reimbursement for our products may be particularly difficult because of the higher prices often associated with drugs administered under the supervision of a physician. Separate reimbursement for the product itself or the treatment or procedure in which our product is used may not be available. A decision by a third-party payor not to cover or not to separately reimburse for our products or procedures using our products could reduce physician utilization of our products once approved. Assuming there is coverage for our product candidates, or procedures using our product candidates by a third-party payor, the resulting reimbursement payment rates may not be adequate or may require co-payments that patients find unacceptably high. We cannot be sure that coverage and reimbursement in the United States, the European Union or elsewhere will be available for our current or future product candidates, or for any procedures using such product candidates, and any reimbursement that may become available may not be adequate or may be decreased or eliminated in the future.</w:t>
      </w:r>
    </w:p>
    <w:p>
      <w:pPr>
        <w:spacing w:after="0" w:line="18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Our ability to successfully commercialize any product candidate, whether as a single agent or combination therapy, will also depend in part on the extent to which coverage and reimbursement for these product candidates and related treatments will be available from third-party payors. Third-party payors decide which medications they will pay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for and establish reimbursement levels. It is difficult to predict at this time what government authorities and third-party payors will decide with respect to coverage and reimbursement for our current and future product candidates.</w:t>
      </w:r>
    </w:p>
    <w:p>
      <w:pPr>
        <w:spacing w:after="0" w:line="14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In addition, third-party payors are increasingly challenging prices charged for pharmaceutical and biological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third-party payors may deny or revoke the reimbursement status of our product candidates, if approved, or establish prices for our product candidates at levels that are too low to enable us to realize an appropriate return on our investment. If reimbursement is not available or is available only at limited levels, we may not be able to successfully commercialize our product candidates and may not be able to obtain a satisfactory financial return on our product candidates.</w:t>
      </w:r>
    </w:p>
    <w:p>
      <w:pPr>
        <w:spacing w:after="0" w:line="168"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There is significant uncertainty related to the insurance coverage and reimbursement of newly-approved products, especially novel products like our immunomedicines. To date, no regulatory authority has granted approval for an immunomedicine targeting the LAIR pathway or B7-H4. The Medicare and Medicaid programs are increasingly used as models in the United States for how private third-party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Moreover, eligibility for reimbursement does not imply that any drug will be reimbursed in all cases or at a rate that covers our costs, including research, development, manufacture, sale and distribution. Interim reimbursement levels for new drugs, if applicable, may also not be sufficient to cover our costs and may not be made permanent. We cannot predict at this time what third-party payors will decide with respect to the coverage and reimbursement for our product candidates.</w:t>
      </w:r>
    </w:p>
    <w:p>
      <w:pPr>
        <w:spacing w:after="0" w:line="16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No uniform policy for coverage and reimbursement for products exist among third-party payors in the United States. Therefore, coverage and reimbursement for products can differ significantly from payor to payor. As a result, the coverage determination process is often a time-consuming and costly process that may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can change, in some cases on short notice, and we believe that changes in these rules and regulations are likely.</w:t>
      </w:r>
    </w:p>
    <w:p>
      <w:pPr>
        <w:spacing w:after="0" w:line="19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Additionally, if we or our collaborators develop companion diagnostic tests for use with our product candidates, we, or our collaborators, will be required to obtain coverage and reimbursement for these tests separate and apart from the coverage and reimbursement we seek for our product candidates, once approved. While we and our collaborators have not yet developed any companion diagnostic test for our product candidates, if we or our collaborators do, there is significant uncertainty regarding the ability to obtain coverage and adequate reimbursement for the same reasons applicable to our product candidates.</w:t>
      </w:r>
    </w:p>
    <w:p>
      <w:pPr>
        <w:spacing w:after="0" w:line="19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Moreover, a primary trend in the healthcare industry in the United States and elsewhere is cost containment. Government authorities and third-party payors have attempted to control costs by limiting coverage and the amount of reimbursement for particular medications.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medical products. We cannot be sure that coverage and reimbursement will be available for any drug that we commercialize and, if coverage and reimbursement are available, we cannot be sure as to the level of reimbursement.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b w:val="1"/>
          <w:bCs w:val="1"/>
          <w:i w:val="1"/>
          <w:iCs w:val="1"/>
          <w:color w:val="auto"/>
        </w:rPr>
        <w:t>Enacted healthcare legislation, changes in healthcare law and implementation of regulations, as well as changes in healthcare policy, may increase the difficulty and cost for us to commercialize our product candidates, may impact our business in ways that we cannot currently predict, could affect the prices we may set, and could have a material adverse effect on our business and financial condition.</w:t>
      </w:r>
    </w:p>
    <w:p>
      <w:pPr>
        <w:spacing w:after="0" w:line="171"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In particular, there have been and continue to be a number of initiatives at the U.S. federal and state levels that seek to reduce healthcare costs and improve the quality of healthcare. For example, the ACA substantially changed the way healthcare is financed by both governmental and private insurers, and significantly impacted the U.S. pharmaceutical industry. The ACA, among other things, subjects biologics to potential competition by lower-cost biosimilars, addresses a methodology by which rebates owed by manufacturers under the MDRP are calculated for drugs that are inhaled, infused, instilled, implanted or injected, increases the minimum Medicaid rebates owed by manufacturers under the MDRP and extends the rebate program to individuals enrolled in Medicaid managed care organizations, and establishes annual fees and taxes on manufacturers of certain branded prescription drugs.</w:t>
      </w:r>
    </w:p>
    <w:p>
      <w:pPr>
        <w:spacing w:after="0" w:line="181"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The ACA and certain of its provisions have been subject to judicial challenges as well as legislative and regulatory efforts to repeal or replace them or to alter their interpretation or implementation. For example, Congress has considered legislation that would repeal or repeal and replace all or part of the ACA. While Congress has not passed comprehensive repeal legislation, bills affecting the implementation of certain taxes under the ACA have been signed into law. The Tax Act included a provision that repealed the tax-based shared responsibility payment imposed by the ACA on certain individuals who fail to maintain qualifying health coverage for all or part of a year that is commonly referred to as the “individual mandate.” The Bipartisan Budget Act of 2018, among other things, amended the ACA to increase the point-of-sale discounts that manufacturers must agree to offer under the Medicare Part D coverage discount program from 50% to 70% off negotiated prices of applicable brand drugs to eligible beneficiaries during their coverage gap period, as a condition for the manufacturer’s outpatient drugs to be covered under Medicare Part D. Also, in 2018, CMS issued final rules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The Further Consolidated Appropriations Act of 2020 fully repealed the ACA’s “Cadillac Tax” on certain high cost employer-sponsored insurance plans and, effective in 2021, the annual fee imposed on certain health insurance providers based on market share. On January 28, 2021,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policies that create barriers to obtaining access to health insurance coverage through the ACA marketplaces. Most recently, on March 11, 2021, Congress enacted the American Rescue Plan Act of 2021, which included among its provisions a sunset of the ACA’s cap on pharmaceutical manufacturers’ rebate liability under the Medicaid Drug Rebate Program. Under the ACA, manufacturers’ rebate liability was capped at 100% of the average manufacturer price for a covered outpatient drug. Effective January 1, 2024, manufacturers’ MDRP rebate liability will no longer be capped, potentially resulting in a manufacturer paying more in MDRP rebates than it receives on the sale of certain covered outpatient drugs. The American Rescue Plan Act also temporarily increased premium tax credit assistance for individuals eligible for subsidies under the ACA for 2021 and 2022 and removed the 400% federal poverty level limit that otherwise applies for purposes of eligibility to receive premium tax credits. In the future, there may be additional challenges and/or amendments to the ACA. It remains to be seen precisely what any new legislation will provide, when or if it will be enacted, and what impact it will have on the availability and cost of healthcare items and services, including drug products.</w:t>
      </w:r>
    </w:p>
    <w:p>
      <w:pPr>
        <w:spacing w:after="0" w:line="188"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December 2018, the United States District Court for the Northern District of Texas ruled that the individual mandate is (i) unconstitutional as a result of the associated tax penalty being repealed by Congress as part of the Tax Act and (ii) not severable from the rest of the ACA, and that as a result the entire ACA is invalid. In December 2019, the U.S. Court of Appeals for the Fifth Circuit affirmed the district court’s decision that the individual mandate is unconstitutional but remanded the case to the district court to reconsider the severability question. The Supreme Court of the United States granted certiorari on March 2, 2020 and heard oral argument on November 10, 2020. On June 17, 2021, the Supreme Court dismissed the lawsuit without ruling on the merits of the states’ constitutionality arguments.</w:t>
      </w:r>
    </w:p>
    <w:p>
      <w:pPr>
        <w:spacing w:after="0" w:line="16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Other healthcare-related legislative and regulatory initiatives and reforms have been proposed and adopted in the United States since the ACA was enacted. In August 2011, the Budget Control Act of 2011, among other things, created measures for automatic spending reductions under certain circumstances. A Joint Select Committee on Deficit Reduction tasked with recommending a targeted deficit reduction of at least $1.2 trillion for the years 2013 through 2021 was unable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to reach required goals, thereby triggering the legislation’s automatic reductions. In conjunction with the operation of subsequently enacted law, this has resulted in aggregate reductions of Medicare payments to providers of, on average, 2% per fiscal year into 2031, with the exception of a temporary suspension from May 1, 2020 through March 31, 2022 and a subsequent reduction to 1% from April 1, 2022 until June 30, 2022, unless Congress takes additional action. The American Taxpayer Relief Act of 2012, which was signed into law in January 2013, among other things, further reduced Medicare payments to several types of providers and increased the statute of limitations period for the government to recover overpayments to providers from three to five years.</w:t>
      </w:r>
    </w:p>
    <w:p>
      <w:pPr>
        <w:spacing w:after="0" w:line="17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beginning in 2018, CMS has maintained a reduced rate of payment under the Medicare outpatient prospective payment system and ambulatory surgical center payment system for certain separately payable drugs or biologics acquired under the 340B Drug Pricing Program, and a CMS indicated in a recent rule that it will continue to consider setting an even lower payment rate based on collected hospital survey data.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 we develop or complementary or companion diagnostics or additional pricing pressures.</w:t>
      </w:r>
    </w:p>
    <w:p>
      <w:pPr>
        <w:spacing w:after="0" w:line="165"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CMS may develop new payment and delivery models, such as bundled payment models. In addition,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and reform government program reimbursement methodologies for drugs. . For example, included in the Consolidated Appropriations Act, 2021 were several drug price reporting and transparency measures, such as a new requirement for certain Medicare plans to develop tools to display Medicare Part D prescription drug benefit information in real time and for group and health insurance issuers to report information on pharmacy benefit and drug costs to the Secretaries of the Departments of Health and Human Services, Labor and the Treasury. Additionally, in August 2022, President Biden signed into law the Inflation Reduction Act of 2022, which implements substantial changes to the Medicare program, including drug pricing reforms and the creation of new Medicare inflation rebates. Namely, the IRA imposes inflation rebates on drug manufacturers for products reimbursed under Medicare Parts B and D if the prices of those products increase faster than inflation; implements changes to the Medicare Part D benefit that, beginning in 2025, will cap beneficiary annual out-of-pocket spending at $2,000, while imposing new discount obligations for pharmaceutical manufacturers; and, beginning in 2026, establishes a “maximum fair price” for a fixed number of high expenditure pharmaceutical and biological products covered under Medicare Parts B and D following a price negotiation process with CMS. On October 14, 2022 President Biden issued an Executive Order on Lowering Prescription Drug Costs for Americans, which instructed the Secretary of the Department of Health and Human Services to consider whether to select for testing by the CMS Innovation Center new health care payment and delivery models that would lower drug costs and promote access to innovative drug therapies for beneficiaries enrolled in the Medicare and Medicaid programs. Most recently, on February 14, 2023, the Department of Health and Human Services issued a report in response to the October 14, 2022 Executive Order, which, among other things, selects three potential drug affordability and accessibility models to be tested by the CMS Innovation Center. Specifically, the report addresses: (1) a model that would allow Part D Sponsors to establish a “high-value drug list” setting the maximum co-payment amount for certain common generic drugs at $2; (2) a Medicaid-focused model that would establish a partnership between CMS, manufacturers, and state Medicaid agencies that would result in multi-state outcomes-based agreements or certain cell and gene therapy drugs; and (3) a model that would adjust Medicare Part B payment amounts for Accelerated Approval Program drugs to advance the developments of novel treatments. We expect that additional U.S. federal healthcare reform measures will be adopted in the future, any of which could limit the extent to which the U.S. federal government covers particular healthcare products and services and could limit the amounts that the U.S. federal government will pay for healthcare products and services. This could result in reduced demand for our product candidates or additional pricing pressures.</w:t>
      </w:r>
    </w:p>
    <w:p>
      <w:pPr>
        <w:spacing w:after="0" w:line="200" w:lineRule="exact"/>
        <w:rPr>
          <w:sz w:val="20"/>
          <w:szCs w:val="20"/>
          <w:color w:val="auto"/>
        </w:rPr>
      </w:pPr>
    </w:p>
    <w:p>
      <w:pPr>
        <w:spacing w:after="0" w:line="203"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Individual states in the United States have also increasingly passed legislation and implemented regulations designed to control pharmaceutical and biological product pricing, including price or patient reimbursement limitations,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their prescription drug and other healthcare programs. This could reduce the ultimate demand for our product candidates that we successfully commercialize or put pressure on our product pricing.</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Additionally, in May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8"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b w:val="1"/>
          <w:bCs w:val="1"/>
          <w:i w:val="1"/>
          <w:iCs w:val="1"/>
          <w:color w:val="auto"/>
        </w:rPr>
        <w:t>Our relationships with customers, third-party payors and others may be subject to applicable anti-kickback, fraud and abuse and other healthcare laws and regulations, which could expose us to criminal sanctions, civil penalties, contractual damages, reputational harm, administrative burdens and diminished profits and future earnings.</w:t>
      </w:r>
    </w:p>
    <w:p>
      <w:pPr>
        <w:spacing w:after="0" w:line="14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applicable federal and state healthcare laws and regulations that may affect our ability to operate include, but are not limited to, those described in “Business—Government Regulation—Healthcare Regulation.”</w:t>
      </w:r>
    </w:p>
    <w:p>
      <w:pPr>
        <w:spacing w:after="0" w:line="19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 consuming and can divert management’s attention from the business.</w:t>
      </w:r>
    </w:p>
    <w:p>
      <w:pPr>
        <w:spacing w:after="0" w:line="16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the physicians or other providers or entities with whom we expect to do business are found not to be in compliance with applicable laws, they may be subject to criminal, civil and administrative sanctions, including exclusion from government funded healthcare programs.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182"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w:t>
      </w:r>
    </w:p>
    <w:p>
      <w:pPr>
        <w:spacing w:after="0" w:line="184"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Our business is heavily regulated and therefore involves significant interaction with public officials. We have direct or indirect interactions with officials and employees of government agencies or government-affiliated hospitals, universities and other organizations. We also expect our non-U.S. activities to increase in time.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U.S. Foreign Corrupt Practices Act of 1977, as amended, or “FCPA”.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In particular, our operations will be subject to FCPA,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government-owned or affiliated entities, candidates for foreign political office, and foreign political parties or officials thereof.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also result in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177" w:lineRule="exact"/>
        <w:rPr>
          <w:sz w:val="20"/>
          <w:szCs w:val="20"/>
          <w:color w:val="auto"/>
        </w:rPr>
      </w:pPr>
    </w:p>
    <w:p>
      <w:pPr>
        <w:ind w:left="60" w:right="399"/>
        <w:spacing w:after="0" w:line="342"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Manufacturing</w:t>
      </w:r>
    </w:p>
    <w:p>
      <w:pPr>
        <w:spacing w:after="0" w:line="121"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Given our limited operating history, our manufacturing experience as an organization and with our manufacturing facility is limited.</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Manufacturing is a critical component of our approach to developing immunomedicines and we have invested significantly in our manufacturing facility. We currently manufacture our product candidates for preclinical and clinical trials.</w:t>
      </w:r>
    </w:p>
    <w:p>
      <w:pPr>
        <w:spacing w:after="0" w:line="184"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Manufacturing drugs for clinical trials and for commercial sale is subject to oversight by the FDA to ensure compliance with cGMP and by other regulatory authorities under other laws, regulations and standards. We cannot assure you that we can successfully manufacture our products in compliance with cGMP and with any other applicable laws,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regulations and standards in sufficient quantities for clinical trials or for commercial sale, or in a timely or economical manner.</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manufacturing facility requires specialized personnel and is expensive to operate and maintain. Validation is an ongoing process that must be maintained to allow us to manufacture under cGMP guidelines. We cannot guarantee that our facility will remain in compliance with cGMP.</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Manufacturing pharmaceutical products is a highly complex process in which a variety of difficulties may arise from time to time. We are currently the sole manufacturer of NC410, NC762 and NC525 and if anything were to interfere with our continuing manufacturing operations in our facility, it could materially adversely affect our business and financial condition.</w:t>
      </w:r>
    </w:p>
    <w:p>
      <w:pPr>
        <w:spacing w:after="0" w:line="18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If we fail to develop sufficient manufacturing capacity and experience, whether internally or with a third party, or fail to manufacture our product candidates economically or on reasonable scale or volumes, or in accordance with cGMP, our development programs and commercialization of any approved products will be materially adversely affected. This may result in delays in commencing or continuing our clinical trials for NC410, NC762 or NC525. Any such delays could materially adversely affect our business and financial condition.</w:t>
      </w:r>
    </w:p>
    <w:p>
      <w:pPr>
        <w:spacing w:after="0" w:line="176" w:lineRule="exact"/>
        <w:rPr>
          <w:sz w:val="20"/>
          <w:szCs w:val="20"/>
          <w:color w:val="auto"/>
        </w:rPr>
      </w:pPr>
    </w:p>
    <w:p>
      <w:pPr>
        <w:ind w:left="60" w:right="219"/>
        <w:spacing w:after="0" w:line="381" w:lineRule="auto"/>
        <w:rPr>
          <w:sz w:val="20"/>
          <w:szCs w:val="20"/>
          <w:color w:val="auto"/>
        </w:rPr>
      </w:pPr>
      <w:r>
        <w:rPr>
          <w:rFonts w:ascii="Arial" w:cs="Arial" w:eastAsia="Arial" w:hAnsi="Arial"/>
          <w:sz w:val="15"/>
          <w:szCs w:val="15"/>
          <w:b w:val="1"/>
          <w:bCs w:val="1"/>
          <w:i w:val="1"/>
          <w:iCs w:val="1"/>
          <w:color w:val="auto"/>
        </w:rPr>
        <w:t>We may be unable to successfully scale-up manufacturing of our product candidates in sufficient quality and quantity, which would delay or prevent us from developing and, if approved, commercializing our product candidates</w:t>
      </w:r>
      <w:r>
        <w:rPr>
          <w:rFonts w:ascii="Arial" w:cs="Arial" w:eastAsia="Arial" w:hAnsi="Arial"/>
          <w:sz w:val="15"/>
          <w:szCs w:val="15"/>
          <w:color w:val="auto"/>
        </w:rPr>
        <w:t>.</w:t>
      </w:r>
    </w:p>
    <w:p>
      <w:pPr>
        <w:spacing w:after="0" w:line="10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order to conduct clinical trials of our product candidates, we will need to manufacture them in large quantities. Currently, our product candidates are manufactured in small quantities for use in various preclinical studies and our ongoing Phase 1/2 clinical trials of NC410 and NC762 and Phase 1 clinical trial of NC525. We intend to expand our manufacturing capacity, which will require us to incur significant expenses. If one or more of our product candidates progress to late-stage development, we may incur additional significant expenses in the further expansion or construction of manufacturing facilities and increases in personnel in order to manufacture product candidates in sufficient quantities. We cannot assure you that we will be able to successfully manufacture product candidates at a larger scale in a timely or economical manner, or at all. If we are unable to successfully increase our manufacturing scale or capacity, the development, testing and clinical trials of our current or future product candidates may be delayed or infeasible, and regulatory approval or commercial launch of any resulting product may be delayed or not obtained, which could significantly harm our business.</w:t>
      </w:r>
    </w:p>
    <w:p>
      <w:pPr>
        <w:spacing w:after="0" w:line="398"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b w:val="1"/>
          <w:bCs w:val="1"/>
          <w:i w:val="1"/>
          <w:iCs w:val="1"/>
          <w:color w:val="auto"/>
        </w:rPr>
        <w:t>The loss of our third-party manufacturing partners or our, or our partners’, failure to comply with applicable regulatory requirements or to supply sufficient quantities at acceptable quality levels or prices, or at all, would materially and adversely affect our business.</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Although we currently manufacture our product candidates for preclinical and clinical trials, certain elements of manufacturing, including Master Cell Bank manufacturing and fill-finish services, take place at qualified third-party contract manufacturing organizations, or CMOs. If approved, commercial supply of NC410, NC762, NC525 and any future product candidates may be manufactured at a CMO or CMOs.</w:t>
      </w:r>
    </w:p>
    <w:p>
      <w:pPr>
        <w:spacing w:after="0" w:line="187"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facilities used by our CMOs to manufacture our product candidates are subject to various regulatory requirements and may be subject to the inspection of the FDA or other regulatory authorities. We do not control the manufacturing process at our CMOs and are completely dependent on them for compliance with current regulatory requirements. If we or our CMOs cannot successfully manufacture material that conforms to our specifications and the strict regulatory requirements of the FDA or comparable regulatory authorities in foreign jurisdictions, we may not be able to rely on their manufacturing facilities for manufacturing elements of our product candidates. In addition, we have limited control over the ability of our CMOs to maintain adequate quality control, quality assurance and qualified personnel. If the FDA or a comparable foreign regulatory authority finds our facilities or those of our CMOs inadequate for manufacturing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w:t>
      </w:r>
    </w:p>
    <w:p>
      <w:pPr>
        <w:spacing w:after="0" w:line="182"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Additionally, our CMOs may experience manufacturing difficulties due to resource constraints or as a result of labor disputes or unstable political environments. If our CMOs were to encounter any of these difficulties, our ability to</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provide our product candidate to patients in clinical trials, or to provide product for the treatment of patients once approved, would be jeopardized.</w:t>
      </w:r>
    </w:p>
    <w:p>
      <w:pPr>
        <w:spacing w:after="0" w:line="170"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We are subject to multiple manufacturing risks, any of which could substantially increase our costs and limit supply of our product candidates.</w:t>
      </w:r>
    </w:p>
    <w:p>
      <w:pPr>
        <w:spacing w:after="0" w:line="170"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process of manufacturing immunomedicines, including our product candidates, is complex, time-consuming, highly regulated and subject to several risks, including:</w:t>
      </w:r>
    </w:p>
    <w:p>
      <w:pPr>
        <w:spacing w:after="0" w:line="170" w:lineRule="exact"/>
        <w:rPr>
          <w:sz w:val="20"/>
          <w:szCs w:val="20"/>
          <w:color w:val="auto"/>
        </w:rPr>
      </w:pPr>
    </w:p>
    <w:p>
      <w:pPr>
        <w:jc w:val="both"/>
        <w:ind w:left="1040" w:right="79" w:hanging="315"/>
        <w:spacing w:after="0" w:line="273"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product loss during the manufacturing process, including loss caused by contamination, equipment failure or improper installation or operation of equipment, or operator error.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w:t>
      </w:r>
    </w:p>
    <w:p>
      <w:pPr>
        <w:spacing w:after="0" w:line="177" w:lineRule="exact"/>
        <w:rPr>
          <w:rFonts w:ascii="Arial" w:cs="Arial" w:eastAsia="Arial" w:hAnsi="Arial"/>
          <w:sz w:val="17"/>
          <w:szCs w:val="17"/>
          <w:color w:val="auto"/>
        </w:rPr>
      </w:pPr>
    </w:p>
    <w:p>
      <w:pPr>
        <w:jc w:val="both"/>
        <w:ind w:left="1040" w:right="79" w:hanging="315"/>
        <w:spacing w:after="0" w:line="259"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including due to restrictions on the movement of people or goods, natural disasters, public health emergencies, power failures, other business disruptions and numerous other factors; and</w:t>
      </w:r>
    </w:p>
    <w:p>
      <w:pPr>
        <w:spacing w:after="0" w:line="186" w:lineRule="exact"/>
        <w:rPr>
          <w:rFonts w:ascii="Arial" w:cs="Arial" w:eastAsia="Arial" w:hAnsi="Arial"/>
          <w:sz w:val="18"/>
          <w:szCs w:val="18"/>
          <w:color w:val="auto"/>
        </w:rPr>
      </w:pPr>
    </w:p>
    <w:p>
      <w:pPr>
        <w:jc w:val="both"/>
        <w:ind w:left="1040" w:right="79" w:hanging="315"/>
        <w:spacing w:after="0" w:line="25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88"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may also make changes to our manufacturing processes at various points during development, for a number of reasons, such as controlling costs, achieving scale, decreasing processing time, increasing manufacturing success rate or other reasons. Such changes carry the risk that they will not achieve their intended objectives, and any of these changes could cause our product candidates to perform differently and affect the results of our ongoing or future clinical trials. In some circumstances, changes in the manufacturing process may require us to perform ex vivo comparability studies and to collect additional data from patients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w:t>
      </w:r>
    </w:p>
    <w:p>
      <w:pPr>
        <w:spacing w:after="0" w:line="165"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b w:val="1"/>
          <w:bCs w:val="1"/>
          <w:i w:val="1"/>
          <w:iCs w:val="1"/>
          <w:color w:val="auto"/>
        </w:rPr>
        <w:t>We depend on third-party suppliers for key materials used in our manufacturing processes, and the loss of these third-party suppliers or their inability to supply us with adequate materials, or rising prices due to inflation, could harm our business.</w:t>
      </w:r>
    </w:p>
    <w:p>
      <w:pPr>
        <w:spacing w:after="0" w:line="184"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As a small company, our negotiation leverage is limited, and we are likely to get lower priority than our competitors that are larger than we are. In addition, COVID-19, the war in Russia and Ukraine, and resulting economic conditions have disrupted global supply chains, including pharmaceutical and medical supply chains. We cannot be certain that our suppliers will continue to provide us with the quantities of the raw materials that we require or satisfy our anticipated specifications and quality requirements whether due to our size, COVID-19, or otherwise.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 In addition, the current inflationary period may result in higher prices from our suppliers, which could materially increase our costs.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Changes in methods of product candidate manufacturing or formulation may result in additional costs or delay.</w:t>
      </w:r>
    </w:p>
    <w:p>
      <w:pPr>
        <w:spacing w:after="0" w:line="24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60" w:right="139"/>
        <w:spacing w:after="0" w:line="327" w:lineRule="auto"/>
        <w:rPr>
          <w:sz w:val="20"/>
          <w:szCs w:val="20"/>
          <w:color w:val="auto"/>
        </w:rPr>
      </w:pPr>
      <w:r>
        <w:rPr>
          <w:rFonts w:ascii="Arial" w:cs="Arial" w:eastAsia="Arial" w:hAnsi="Arial"/>
          <w:sz w:val="15"/>
          <w:szCs w:val="15"/>
          <w:b w:val="1"/>
          <w:bCs w:val="1"/>
          <w:i w:val="1"/>
          <w:iCs w:val="1"/>
          <w:color w:val="auto"/>
        </w:rPr>
        <w:t>We have filed patent applications for our product candidates, but no patent has yet issued from these applications. 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w:t>
      </w:r>
    </w:p>
    <w:p>
      <w:pPr>
        <w:spacing w:after="0" w:line="14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product candidates. We and our licensors have sought, and intend to seek, to protect our proprietary position by filing patent applications in the United States and abroad related to our product candidates and technology that are important to our business. To date, only a limited number of patents have issued from our patent applications. 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that effectively prevent others from commercializing competitive technologies and product candidates. Because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Furthermore, if third parties have filed such patent applications, we may challenge their ownership, for example in a derivation proceeding before the USPTO, to determine who has the right to the claimed subject matter in the applications. Similarly, if our patent applications are challenged in a derivation proceeding, the USPTO may hold that a third-party is entitled to certain patent ownership rights instead of us. We may then be forced to seek a license from the third party that may not be available on commercially favorable terms, or at all.</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that do not infringe our patents.</w:t>
      </w:r>
    </w:p>
    <w:p>
      <w:pPr>
        <w:spacing w:after="0" w:line="171"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b w:val="1"/>
          <w:bCs w:val="1"/>
          <w:i w:val="1"/>
          <w:iCs w:val="1"/>
          <w:color w:val="auto"/>
        </w:rPr>
        <w:t>We are party to a license agreement with Yale University under which we acquired rights to intellectual property related to certain of our product candidates. If we breach our obligations under this agreement, the agreement could be terminated, which would adversely affect our business and prospects.</w:t>
      </w:r>
    </w:p>
    <w:p>
      <w:pPr>
        <w:spacing w:after="0" w:line="16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are a party to a license agreement with Yale pursuant to which we in-license patents and technology for certain of our product candidates. This license imposes various diligence, milestone payment, royalty, insurance and other obligations on us. If we fail to comply with these and other obligations or otherwise materially breach this license agreement, Yale may have the right to terminate the license. If this agreement is terminated, we may not be able to develop, manufacture, market or sell the product candidates or products covered by the agreement, or we would have to negotiate a new or reinstated agreement, which may not be available to us on equally favorable terms, or at all.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95" w:lineRule="exact"/>
        <w:rPr>
          <w:sz w:val="20"/>
          <w:szCs w:val="20"/>
          <w:color w:val="auto"/>
        </w:rPr>
      </w:pPr>
    </w:p>
    <w:p>
      <w:pPr>
        <w:ind w:left="60" w:right="419"/>
        <w:spacing w:after="0" w:line="28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6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patents or applications will be due to be paid to the USPTO and various government patent agencies outside of the United States over the lifetime of our licensed patents or applications and any patent rights we own or may own in the future. We rely, in part, on our outside counsel or our licensing partners to pay these fees due to the USPTO and to non-U.S. patent agencies. The USPTO and various non-U.S.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Filing, prosecuting and enforcing patents on product candidates in all countries throughout the world would be prohibitively expensive, and our intellectual property rights in some countries outside the United States are and could remain less extensive than those in the United States. In addition, the laws of some foreign countries do not protect intellectual property rights to the same extent as federal and state laws in the United States. Consequently, we may be less likely to be able to prevent third parties from infringing our patents in all countries outside the United States, or from selling or importing products that infringe our patents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92"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were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party was the first to invent the claimed invention. The America Invents Act also included a number of significant changes that affected the way patent applications are prosecuted and also may affect patent litigation. These include allowing third-party submission of prior art to the USPTO during patent prosecution and additional procedures to attack the validity or ownership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Additional changes in patent law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6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rulings from the U.S. Court of Appeals for the Federal Circuit and the U.S. Supreme Court have narrowed the scope of patent protection available in certain circumstances and weakened the rights of patent owners in certain situations. This combination of events has created uncertainty with respect to the validity and enforceability of patents.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66"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Competitors may infringe our patents or the patents of our licensors, or we may be required to defend against claims of infringement. Countering infringement or unauthorized use claims or defending against claims of infringement can be expensive and time-consuming.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marketing, sales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7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addition,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own, develop or license.</w:t>
      </w:r>
    </w:p>
    <w:p>
      <w:pPr>
        <w:spacing w:after="0" w:line="182"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If we or one of our licensing partners initiate legal proceedings against a third party to enforce any patent that is issued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In addition, patent validity challenges may, under certain circumstances, be based upon non-statutory obviousness-type double patenting, which, if successful, could result in a finding that the claims are invalid for obviousness-type double patenting or the loss of patent term, including a patent term adjustment granted by the USPTO, if a terminal disclaimer is filed to obviate a finding of obviousness-type double patenting. Grounds for an unenforceability assertion could be an allegation that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and equivalent proceedings in foreign jurisdictions. Such proceedings could result in the revocation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cancellation of or amendment to our patents in such a way that they no longer cover our product candidates. The outcome following legal assertions of invalidity and unenforceability is unpredictable. We cannot be certain that there is no invalidating prior art of which the patent examiner and we or our licensing partners were unaware during prosecution. If a defendant were to prevail on a legal assertion of invalidity or unenforceability, we could lose part, and perhaps all, of the patent protection on one or more of our product candidates. Such a loss of patent protection could have a material adverse impact on our business.</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including portions of our FIND-IO platform. However, trade secrets can be difficult to protect, and some courts inside and outside the United States are less willing or unwilling to protect trade secrets.</w:t>
      </w:r>
    </w:p>
    <w:p>
      <w:pPr>
        <w:spacing w:after="0" w:line="192" w:lineRule="exact"/>
        <w:rPr>
          <w:sz w:val="20"/>
          <w:szCs w:val="20"/>
          <w:color w:val="auto"/>
        </w:rPr>
      </w:pPr>
    </w:p>
    <w:p>
      <w:pPr>
        <w:ind w:left="60" w:right="539"/>
        <w:spacing w:after="0" w:line="263"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 and financial condition.</w:t>
      </w:r>
    </w:p>
    <w:p>
      <w:pPr>
        <w:spacing w:after="0" w:line="18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commercial success depends upon our ability and the ability of any collaborators to develop, manufacture, market and sell our product candidates and use our proprietary technologies without infringing the proprietary rights and intellectual property of third parties. We cannot provide any assurances that third-party patents do not exist which might be enforced against our current manufacturing methods, product candidates or future methods or products, resulting in either an injunction prohibiting our manufacture or sales, or, with respect to our sales, an obligation on our part to pay royalties or other forms of compensation to third parties.</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 xml:space="preserve">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post grant review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before the USPTO. The risks of being involved in such litigation and proceedings may also increase as our product candidates approach commercialization and as we gain greater visibility as a public company.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materially and adversely affect our ability to commercialize any of our product candidates or technologies covered by the asserted third-party patents.</w:t>
      </w:r>
    </w:p>
    <w:p>
      <w:pPr>
        <w:spacing w:after="0" w:line="18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Others may claim an ownership interest in our intellectual property and our product candidates, which could expose us to litigation and have a significant adverse effect on our prospects.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While we are presently unaware of any claims or assertions by third parties with respect to our patents or other intellectual property, we cannot guarantee that a third party will not assert a claim or an interest in any of such patents or intellectual property. For example, a third party may claim an ownership interest in one or more of our, or our licensors’, patents or other proprietary or intellectual property rights. A third party could bring legal actions against us to seek monetary damages or enjoin clinical testing, manufacturing or marketing of the affected product candidate or product. If we become involved in any litigation, it could consume a substantial portion of our resources and cause a significant diversion of effort by our technical and management personnel. If any such action is successful, in addition to any potential liability for damages, we could be required to obtain a license to continue to manufacture or market the affected product candidate or product, in which case we could be required to pay substantial royalties or grant cross-licenses to patents. We cannot, however, assure you that any such license would be available on acceptable terms, if at all. Ultimately, we could be prevented from commercializing a product, or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which may turn on the testimony of experts as to technical facts upon which experts may reasonably disagree. Any of the foregoing could have a material adverse effect on our business, financial condition, results of operations or prospects.</w:t>
      </w:r>
    </w:p>
    <w:p>
      <w:pPr>
        <w:spacing w:after="0" w:line="1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the value of our technology and products could be adversely affected.</w:t>
      </w:r>
    </w:p>
    <w:p>
      <w:pPr>
        <w:spacing w:after="0" w:line="17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Trade secrets and know-how can be difficult to protect. To maintain the confidentiality of trade secrets and proprietary information, we enter into confidentiality agreements with our employees, consultants, collaborators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cannot guarantee that we have entered into such agreements with each party that may have or have had access to our trade secrets or proprietary technology and processes, and individuals with whom we have these agreements may not comply with their terms. Thus, despite such agreement, there can be no assurance that such inventions will not be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We also seek to preserve the integrity and confidentiality of our trade secrets by other means, including maintaining physical security of our premises and physical and electronic security of our information technology systems. However, these security measures may be breached, and we may be forced to bring claims against third parties, or defend claims that they may bring against us, to determine the ownership of what we regard as our intellectual property.</w:t>
      </w:r>
    </w:p>
    <w:p>
      <w:pPr>
        <w:spacing w:after="0" w:line="39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Adequate remedies may not exist in the event of unauthorized use or disclosure of our proprietary information.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others may independently discover or develop our trade secrets and proprietary information, and the existence of our own trade secrets affords no protection against such independent discovery. For example, a public presentation in the scientific or popular press on the properties of our product candidates could motivate a third party, despite any perceived difficulty, to assemble a team of scientists having backgrounds similar to those of our employees to attempt to independently reverse engineer or otherwise duplicate our antibody technologies to replicate our success.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or that patents and applications we have filed to protect inventions of these employees, even those related to one or more of our product candidates, are rightfully owned by their former or current employer. Litigation may be necessary to defend against these claims. For example, in 2021, a third party filed a lawsuit in Federal court against the Company, and in 2022 claims were added to that lawsuit to add our Chief Executive Officer as a co-defendant with Company. This lawsuit alleges that our Chief Executive Officer breached contractual and fiduciary duties he owed to the plaintiff by, among other things, improperly utilizing plaintiff’s purported confidential information to benefit the Company’s business, including with respect to our discovery efforts. For more information regarding these proceedings, please refer to Note 8 to the Company’s Financial Statements. If we fail in defending claims of misappropriation and similar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67"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Any registered trademarks or trade names may be challenged,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84" w:lineRule="exact"/>
        <w:rPr>
          <w:sz w:val="20"/>
          <w:szCs w:val="20"/>
          <w:color w:val="auto"/>
        </w:rPr>
      </w:pPr>
    </w:p>
    <w:p>
      <w:pPr>
        <w:ind w:left="1040" w:right="79" w:hanging="315"/>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license or may own in the future;</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any partners or collaborators, might not have been the first to make the inventions covered by the issued patent or pending patent application that we license or may own in the future;</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any partners or collaborators, might not have been the first to file patent applications covering certain of our or their inventions;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3"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170"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21"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b w:val="1"/>
          <w:bCs w:val="1"/>
          <w:i w:val="1"/>
          <w:iCs w:val="1"/>
          <w:color w:val="auto"/>
        </w:rPr>
        <w:t>We rely or will rely on third parties to help conduct our ongoing and planned preclinical studies and clinical trials for NC410, NC762, NC525 and any future product candidates we develop. If these third parties do not successfully carry out their contractual duties, comply with regulatory requirements or meet expected deadlines, we may not be able to obtain marketing approval for or commercialize NC410, NC762, NC525 and any future product candidates we develop, and our business could be materially harmed.</w:t>
      </w:r>
    </w:p>
    <w:p>
      <w:pPr>
        <w:spacing w:after="0" w:line="176"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We currently do not have the ability to independently conduct preclinical studies that comply with GLP requirements. We also do not currently have the ability to independently conduct any clinical trials. The FDA and regulatory authorities in other jurisdictions require us to comply with regulations and standards, including cGCP, or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medical institutions, clinical investigators, contract laboratories and other third parties, such as CROs, to conduct GLP-compliant preclinical studies and cGCP-compliant clinical trials on our product candidates properly and on time. While we have agreements governing their activities, we control only certain aspects of their activities and have limited influence over their actual performance. The third parties with whom we contract for execution of our GLP-compliant preclinical studies and our cGCP-compliant clinical trials play a significant role in the conduct of these studies and trials and the subsequent collection and analysis of data. These third parties are not our employees and, except for restrictions imposed by our contracts with such third parties, we have limited ability to control the amount or timing of resources that they devote to our current or future product candidates. Although we rely on these third parties to conduct our GLP-compliant preclinical studies and cGCP-compliant clinical trials, we remain responsible for ensuring that each of our preclinical studies and clinical trials is conducted in accordance with its investigational plan and protocol and applicable laws and regulations, and our reliance on the CROs does not relieve us of our regulatory responsibilities.</w:t>
      </w:r>
    </w:p>
    <w:p>
      <w:pPr>
        <w:spacing w:after="0" w:line="19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Further, under certain circumstances, these third parties may terminate their agreements with us upon as little as 10 days’ prior written notice. Some of these agreements may also be terminated by such third parties under certain other circumstances. If the third parties conducting our preclinical studies or our clinical trials do not adequately perform their contractual duties or obligations, experience significant business challenges, disruptions or failures, including as a result of natural disasters or public health emergencies such as the COVID-19 pandemic, do not meet expected deadlines, terminate their agreements with us or need to be replaced, or if the quality or accuracy of the data they obtain is compromised due to their failure to adhere to our protocols or to GLP and cGCP, or for any other reason, we may need to enter into new arrangements with alternative third parties. This could be difficult, costly or impossible, and our preclinical studies or clinical trials may need to be extended, delayed, terminated or repeated. As a result, we may not be able to obtain regulatory approval in a timely fashion, or at all, for the applicable product candidate, our financial results and the commercial prospects for our product candidates would be harmed, our costs could increase and our ability to generate revenues could be delayed.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We may depend on third-party collaborators for the discovery, development and commercialization of certain of our current and future product candidates. If our collaborations are not successful, we may not be able to capitalize on the market potential of these product candidates.</w:t>
      </w:r>
    </w:p>
    <w:p>
      <w:pPr>
        <w:spacing w:after="0" w:line="184"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In the future, 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Our collaborations pose, and potential future collaborations involving our product candidates may pose, the following risks to us:</w:t>
      </w:r>
    </w:p>
    <w:p>
      <w:pPr>
        <w:spacing w:after="0" w:line="170" w:lineRule="exact"/>
        <w:rPr>
          <w:sz w:val="20"/>
          <w:szCs w:val="20"/>
          <w:color w:val="auto"/>
        </w:rPr>
      </w:pPr>
    </w:p>
    <w:p>
      <w:pPr>
        <w:ind w:left="1040" w:right="79" w:hanging="315"/>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70"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not properly enforce, maintain or defend our intellectual property rights or may use our proprietary information in a way that gives rise to actual or threatened litigation or that could jeopardize or invalidate our intellectual property or proprietary information, exposing us to potential litigation or other intellectual property proceedings;</w:t>
      </w:r>
    </w:p>
    <w:p>
      <w:pPr>
        <w:spacing w:after="0" w:line="186"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183" w:lineRule="exact"/>
        <w:rPr>
          <w:rFonts w:ascii="Arial" w:cs="Arial" w:eastAsia="Arial" w:hAnsi="Arial"/>
          <w:sz w:val="18"/>
          <w:szCs w:val="18"/>
          <w:color w:val="auto"/>
        </w:rPr>
      </w:pPr>
    </w:p>
    <w:p>
      <w:pPr>
        <w:ind w:left="1040" w:right="79" w:hanging="315"/>
        <w:spacing w:after="0" w:line="342" w:lineRule="auto"/>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products;</w:t>
      </w:r>
    </w:p>
    <w:p>
      <w:pPr>
        <w:spacing w:after="0" w:line="123" w:lineRule="exact"/>
        <w:rPr>
          <w:rFonts w:ascii="Arial" w:cs="Arial" w:eastAsia="Arial" w:hAnsi="Arial"/>
          <w:sz w:val="16"/>
          <w:szCs w:val="16"/>
          <w:color w:val="auto"/>
        </w:rPr>
      </w:pPr>
    </w:p>
    <w:p>
      <w:pPr>
        <w:jc w:val="both"/>
        <w:ind w:left="1040" w:right="79" w:hanging="315"/>
        <w:spacing w:after="0" w:line="263"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 present or future collaborator were to be involved in a business combination, the continued pursuit and emphasis on our product development or commercialization program under such collaboration could be delayed, diminished or terminated; and</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collaboration agreements may restrict our right to independently pursue new product candidates.</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net income that justifies such transaction. Any of the factors set forth above and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166" w:lineRule="exact"/>
        <w:rPr>
          <w:sz w:val="20"/>
          <w:szCs w:val="20"/>
          <w:color w:val="auto"/>
        </w:rPr>
      </w:pPr>
    </w:p>
    <w:p>
      <w:pPr>
        <w:jc w:val="both"/>
        <w:ind w:left="60" w:right="79" w:firstLine="707"/>
        <w:spacing w:after="0" w:line="342" w:lineRule="auto"/>
        <w:rPr>
          <w:sz w:val="20"/>
          <w:szCs w:val="20"/>
          <w:color w:val="auto"/>
        </w:rPr>
      </w:pPr>
      <w:r>
        <w:rPr>
          <w:rFonts w:ascii="Arial" w:cs="Arial" w:eastAsia="Arial" w:hAnsi="Arial"/>
          <w:sz w:val="16"/>
          <w:szCs w:val="16"/>
          <w:color w:val="auto"/>
        </w:rPr>
        <w:t>In the event a present or future collaborator terminates their agreement with us, we would be prevented from receiving the benefits of any such agreement, which could have a materially adverse effect on our results of operations</w:t>
      </w:r>
      <w:r>
        <w:rPr>
          <w:rFonts w:ascii="Arial" w:cs="Arial" w:eastAsia="Arial" w:hAnsi="Arial"/>
          <w:sz w:val="12"/>
          <w:szCs w:val="12"/>
          <w:color w:val="auto"/>
        </w:rPr>
        <w:t>.</w:t>
      </w:r>
    </w:p>
    <w:p>
      <w:pPr>
        <w:spacing w:after="0" w:line="124"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advancement of our product candidates and development programs and the potential commercialization of our current and future product candidates will require substantial additional cash to fund expenses. For some of our current or future product candidates, we may decide to collaborate with additional pharmaceutical and biotechnology companies with respect to development and potential commercialization. Any of these relationships may require us to incur non-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recurring and other charges, increase our near- and long-term expenditures, issue securities that dilute our existing stockholders, or disrupt our management and business.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8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49"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Such exclusivity could limit our ability to enter into strategic collaborations with future collaborators. In addition, there have been a significant number of recent business combinations among large pharmaceutical companies that have resulted in a reduced number of potential future collaborators.</w:t>
      </w:r>
    </w:p>
    <w:p>
      <w:pPr>
        <w:spacing w:after="0" w:line="17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marketing or sales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60" w:right="499"/>
        <w:spacing w:after="0" w:line="342" w:lineRule="auto"/>
        <w:rPr>
          <w:sz w:val="20"/>
          <w:szCs w:val="20"/>
          <w:color w:val="auto"/>
        </w:rPr>
      </w:pPr>
      <w:r>
        <w:rPr>
          <w:rFonts w:ascii="Arial" w:cs="Arial" w:eastAsia="Arial" w:hAnsi="Arial"/>
          <w:sz w:val="16"/>
          <w:szCs w:val="16"/>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2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are highly dependent on members of our executive team. The loss of the services of any of them may adversely impact the achievement of our objectives. Any of our executive officers could leave our employment at any time, as all of our employees are “at-will” employees, and we do not have “key person” insurance on them. The loss of the services of one or more of our executive officers or of certain members of our SAB could impede the achievement of our research, development and commercialization objectives.</w:t>
      </w:r>
    </w:p>
    <w:p>
      <w:pPr>
        <w:spacing w:after="0" w:line="18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Recruiting and retaining qualified employees, consultants and advisors for our business, including scientific and technical personnel, is critical to our success. We have observed an increasingly competitive labor market. Increased employee turnover and changes in the availability of our workers could result in increased costs.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growth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biotechnology industry is intensely competitive and subject to rapid and significant technological change. Our current or future product candidates may face competition from major pharmaceutical companies, specialty pharmaceutical companies, universities and other research institutions and from products and therapies that currently exist or are being developed, some of which products and therapies we may not currently know about.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and they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FDA or other regulatory approval or discovering, developing and commercializing products in our field before we do, which could result in our competitors establishing a strong market position before we are able to enter the market.</w:t>
      </w:r>
    </w:p>
    <w:p>
      <w:pPr>
        <w:spacing w:after="0" w:line="18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competitors may obtain FDA or other regulatory approval of their product candidates more rapidly than we may or may obtain patent protection or other intellectual property rights that limit our ability to develop or commercialize our product candidates or platform technologies. Our competitors may also develop drugs or discovery platforms that are more effective, more convenient, more widely used or less costly than our product candidates or our FIND-IO platform or, in the case of drugs, have a better safety profile than our product candidates. These competitors may also be more successful than us in manufacturing and marketing their products and have significantly greater financial resources and expertise in research and development.</w:t>
      </w:r>
    </w:p>
    <w:p>
      <w:pPr>
        <w:spacing w:after="0" w:line="19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There are a large number of companies developing or marketing treatments for cancer, including many major pharmaceutical and biotechnology companies. Currently marketed oncology drugs and therapeutics range from traditional cancer therapies, including chemotherapy, to antibody-drug conjugates, such as Genentech’s Kadcyla, to immune checkpoint inhibitors targeting CTLA-4, such as BMS’ Yervoy, and PD-1/PD-L1, such as BMS’ Opdivo, Merck &amp; Co.’s Keytruda and Genentech’s Tecentriq, to T-cell-engager immunotherapies, such as Amgen’s Blincyto. Companies are also developing treatments targeting the Siglec family of proteins, such as Celldex Therapeutics and Palleon Pharmaceuticals, both of which are currently engaged in preclinical studies. In addition, numerous compounds are in clinical development for cancer treatment. Many of these companies are well-capitalized and have significant clinical experience (see “Business —Competition”).</w:t>
      </w:r>
    </w:p>
    <w:p>
      <w:pPr>
        <w:spacing w:after="0" w:line="18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Smaller and other early-stage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current and future product candidates.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19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have a broader label, are marketed more effectively, are reimbursed or are less expensive than any products that we may develop. Our competitors may also obtain patent protection or other intellectual property rights that limit our ability to develop or commercialize our product candidates or platform technologies. Even if our product candidates achieve marketing approval, they may be priced at a significant premium over competitive products if any have been approved by then, resulting in reduced competitiveness. If we do not compete successfully, we may not generate or derive sufficient revenue from any product candidate for which we obtain marketing approval and may not become or remain profitable.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We will need to grow the size of our organization, and we may experience difficulties in managing this growth.</w:t>
      </w:r>
    </w:p>
    <w:p>
      <w:pPr>
        <w:spacing w:after="0" w:line="237"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As our development plans and strategies develop, we expect to need additional managerial, operational, marketing, sales, financial and other personnel. Future growth would impose significant added responsibilities on members of management, including:</w:t>
      </w:r>
    </w:p>
    <w:p>
      <w:pPr>
        <w:spacing w:after="0" w:line="184" w:lineRule="exact"/>
        <w:rPr>
          <w:sz w:val="20"/>
          <w:szCs w:val="20"/>
          <w:color w:val="auto"/>
        </w:rPr>
      </w:pPr>
    </w:p>
    <w:p>
      <w:pPr>
        <w:ind w:left="1040" w:hanging="31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2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NC410, NC762 and any future product candidates we develop, while complying with our contractual obligations to contractors and other third parties; and</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Our future financial performance and our ability to advance development of and, if approved, commercialize NC410, NC762, NC525 and any future product candidates we develop will depend, in part, on our ability to effectively manage any future growth, and our management may have to divert a disproportionate amount of its attention away from day-to-day activities in order to devote a substantial amount of time to managing these growth activities.</w:t>
      </w:r>
    </w:p>
    <w:p>
      <w:pPr>
        <w:spacing w:after="0" w:line="17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16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NC410, NC762, NC525 and any future product candidates we develop and, accordingly, may not achieve our research, development and commercialization goals.</w:t>
      </w:r>
    </w:p>
    <w:p>
      <w:pPr>
        <w:spacing w:after="0" w:line="187"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b w:val="1"/>
          <w:bCs w:val="1"/>
          <w:i w:val="1"/>
          <w:iCs w:val="1"/>
          <w:color w:val="auto"/>
        </w:rPr>
        <w:t>If we are unable to establish marketing, sales and distribution capabilities for NC410, NC762, NC525 or any other product candidate that may receive regulatory approval, we may not be successful in commercializing those product candidates if and when they are approved.</w:t>
      </w:r>
    </w:p>
    <w:p>
      <w:pPr>
        <w:spacing w:after="0" w:line="184" w:lineRule="exact"/>
        <w:rPr>
          <w:sz w:val="20"/>
          <w:szCs w:val="20"/>
          <w:color w:val="auto"/>
        </w:rPr>
      </w:pPr>
    </w:p>
    <w:p>
      <w:pPr>
        <w:jc w:val="both"/>
        <w:ind w:left="60" w:right="79" w:firstLine="648"/>
        <w:spacing w:after="0" w:line="270" w:lineRule="auto"/>
        <w:rPr>
          <w:sz w:val="20"/>
          <w:szCs w:val="20"/>
          <w:color w:val="auto"/>
        </w:rPr>
      </w:pPr>
      <w:r>
        <w:rPr>
          <w:rFonts w:ascii="Arial" w:cs="Arial" w:eastAsia="Arial" w:hAnsi="Arial"/>
          <w:sz w:val="17"/>
          <w:szCs w:val="17"/>
          <w:color w:val="auto"/>
        </w:rPr>
        <w:t>We do not have sales or marketing infrastructure. To achieve commercial success for NC410, NC762, NC525 and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marketing, sales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Factors that may inhibit our efforts to market our products on our own include:</w:t>
      </w:r>
    </w:p>
    <w:p>
      <w:pPr>
        <w:spacing w:after="0" w:line="225" w:lineRule="exact"/>
        <w:rPr>
          <w:sz w:val="20"/>
          <w:szCs w:val="20"/>
          <w:color w:val="auto"/>
        </w:rPr>
      </w:pPr>
    </w:p>
    <w:p>
      <w:pPr>
        <w:ind w:left="1040" w:hanging="315"/>
        <w:spacing w:after="0"/>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inability to recruit, train and retain adequate numbers of effective sales and marketing personnel;</w:t>
      </w:r>
    </w:p>
    <w:p>
      <w:pPr>
        <w:spacing w:after="0" w:line="23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in order to educate physicians about our product candidates, once approved;</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24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If we are unable to establish our own marketing, sales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marketing, sales and distribution capabilities successfully, either on our own or in collaboration with third parties, we will not be successful in commercializing our product candidates.</w:t>
      </w:r>
    </w:p>
    <w:p>
      <w:pPr>
        <w:spacing w:after="0" w:line="178"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our product candidates.</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may face greater risk if we commercialize any products that we develop. Product liability claims may be brought against us by subjects enrolled in our trials, patients, healthcare providers or others using, administering or selling our products. If we cannot successfully defend ourselves against such claims, we could incur substantial liabilities. Regardless of merit or eventual outcome, liability claims may result in:</w:t>
      </w:r>
    </w:p>
    <w:p>
      <w:pPr>
        <w:spacing w:after="0" w:line="188" w:lineRule="exact"/>
        <w:rPr>
          <w:sz w:val="20"/>
          <w:szCs w:val="20"/>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decreased demand for any product candidate we may develop;</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While we currently hold trial liability insurance coverage consistent with industry standards, the amount of coverage may not adequately cover all liabilities that we may incur. We may not be able to maintain insurance coverage at a reasonable cost or in an amount adequate to satisfy any liability that may arise.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8"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 carryforwards to offset future taxable income may be subject to certain limitations.</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As of December 31, 2022, we had federal and state net operating loss carryforwards of $180.2 million and $183.1 million, respectively. Certain federal and state net operating loss carryforwards will begin to expire, if not utilized, by 2036. Limitations imposed by the applicable jurisdictions on our ability to utilize net operating loss carryforwards could cause income taxes to be paid earlier than would be paid if such limitations were not in effect and could cause such net operating loss carryforwards to expire unused, in each case reducing or eliminating the benefit of such net operating loss carryforwards. Furthermore, we may not be able to generate sufficient taxable income to utilize our net operating loss carryforwards before they expire. If any of these events occur, we may not derive some or all of the expected benefits from our net operating loss carryforwards. In addition, we may experience ownership changes in the future as a result of subsequent shifts in our stock ownership, some of which may be outside of our control. As a result, even if we earn net taxable income, our ability to use our net operating loss and tax credit carryforwards may be materially limited, which could harm our future operating results by effectively increasing our future tax obligations.</w:t>
      </w:r>
    </w:p>
    <w:p>
      <w:pPr>
        <w:spacing w:after="0" w:line="184"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Natural disasters or other unexpected events may disrupt our operations, adversely affect our results of operations and financial condition, and may not be covered by insurance.</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occurrence of one or more unexpected events, including fires, tornadoes, tsunamis, hurricanes, earthquakes, floods, and other forms of severe hazards in the United States or in other countries in which we or our suppliers or manufacturers operate or are located could adversely affect our operations and financial performance. These types of unexpected events could result in physical damage to and complete or partial closure of one or more of the manufacturing facilities operated by our contract manufacturers, or the temporary or long-term disruption in the supply of products, and/or disruption of our ability to deliver products to customers. Further,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natural resources, necessary to run our businesses. Existing insurance arrangements may not provide protection for the costs that may arise from such events, particularly if such events are catastrophic in nature or occur in combination. Any long-term disruption in our ability to service our customers from one or more distribution centers or outsourcing facilities could have a material adverse effect on our operations, our business, results of operations and stock price.</w:t>
      </w:r>
    </w:p>
    <w:p>
      <w:pPr>
        <w:spacing w:after="0" w:line="174"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Failure to meet investor and stakeholder expectations regarding environmental, social and corporate governance, or “ESG” matters may damage our reputation.</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There is an increasing focus from certain investors, customers, consumers, employees and other stakeholders concerning ESG matters. Additionally, public interest and legislative pressure related to public companies’ ESG practices continue to grow. If our ESG practices fail to meet investor, customer, consumer, employee or other stakeholders’ evolving expectations and standards for responsible corporate citizenship in areas including environmental stewardship, Board of Directors and employee diversity, human capital management, corporate governance and transparency, our reputation, brand, appeal to investors and employee retention may be negatively impacted, which could have a material adverse effect on our business or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has been and may continue to be volatile and fluctuate substantially.</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stock price has been and is likely to remain volatile. The stock market in general, and the market for biopharmaceutical companies in particular, have experienced extreme volatility that has often been unrelated to the operating performance or prospects of particular companies. As a result of this volatility, you may not be able to sell your common stock at or above a recently reported price, or at all. The market price for our common stock may be influenced by many factors, including:</w:t>
      </w:r>
    </w:p>
    <w:p>
      <w:pPr>
        <w:spacing w:after="0" w:line="188" w:lineRule="exact"/>
        <w:rPr>
          <w:sz w:val="20"/>
          <w:szCs w:val="20"/>
          <w:color w:val="auto"/>
        </w:rPr>
      </w:pPr>
    </w:p>
    <w:p>
      <w:pPr>
        <w:ind w:left="1040" w:right="79" w:hanging="315"/>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commencement, enrollment or results of our ongoing or future clinical trials, or changes in the development status of our product candidates;</w:t>
      </w:r>
    </w:p>
    <w:p>
      <w:pPr>
        <w:spacing w:after="0" w:line="170" w:lineRule="exact"/>
        <w:rPr>
          <w:rFonts w:ascii="Arial" w:cs="Arial" w:eastAsia="Arial" w:hAnsi="Arial"/>
          <w:sz w:val="18"/>
          <w:szCs w:val="18"/>
          <w:color w:val="auto"/>
        </w:rPr>
      </w:pPr>
    </w:p>
    <w:p>
      <w:pPr>
        <w:jc w:val="both"/>
        <w:ind w:left="1040" w:right="79" w:hanging="315"/>
        <w:spacing w:after="0" w:line="286" w:lineRule="auto"/>
        <w:tabs>
          <w:tab w:leader="none" w:pos="10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65" w:lineRule="exact"/>
        <w:rPr>
          <w:rFonts w:ascii="Arial" w:cs="Arial" w:eastAsia="Arial" w:hAnsi="Arial"/>
          <w:sz w:val="17"/>
          <w:szCs w:val="17"/>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 results or delays in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decision to initiate a clinical trial, not to initiate a clinical trial or to terminate an existing clinical trial;</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adverse regulatory decisions, including failure to receive regulatory approval of our product candidates;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size and growth of our target markets;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regulatory actions with respect to our product candidates or our competitors’ products or product candidates;</w:t>
      </w:r>
    </w:p>
    <w:p>
      <w:pPr>
        <w:spacing w:after="0" w:line="248" w:lineRule="exact"/>
        <w:rPr>
          <w:rFonts w:ascii="Arial" w:cs="Arial" w:eastAsia="Arial" w:hAnsi="Arial"/>
          <w:sz w:val="16"/>
          <w:szCs w:val="16"/>
          <w:color w:val="auto"/>
        </w:rPr>
      </w:pPr>
    </w:p>
    <w:p>
      <w:pPr>
        <w:ind w:left="1040" w:right="79" w:hanging="315"/>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applicable to our product candidates, including but not limited to clinical trial requirements for approvals;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product candidates;</w:t>
      </w:r>
    </w:p>
    <w:p>
      <w:pPr>
        <w:spacing w:after="0" w:line="225"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 or publications of research reports about us or our industry;</w:t>
      </w:r>
    </w:p>
    <w:p>
      <w:pPr>
        <w:spacing w:after="0" w:line="14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variations in our annual or quarterly financial results or those of companies that are perceived by investors to be similar to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sales of our common stock by us, our directors, officers or their affiliated funds or our other stockholders;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significant lawsuits, including intellectual property or stockholder litigation;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 or unrelated to our operating performance or prospects.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addition, the stock market in general, and Nasdaq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material adverse impact on the market price of our common stock.</w:t>
      </w:r>
    </w:p>
    <w:p>
      <w:pPr>
        <w:spacing w:after="0" w:line="192"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inaccurate or unfavorable research about our business, the price of our stock could decline.</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We currently receive only limited coverage by equity research analysts. If additional analysts do not commence coverage of us, the trading price of our stock could decrease. In addition, if one or more of the analysts covering our business issue adverse reports about us or downgrade their evaluations of our stock, the price of our stock could decline. If one or more of these analysts cease to cover our stock or fail to publish reports on us regularly, we could lose visibility in the market for our stock, which, in turn, could cause our stock price to decline.</w:t>
      </w:r>
    </w:p>
    <w:p>
      <w:pPr>
        <w:spacing w:after="0" w:line="164"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 even if our business is doing well.</w:t>
      </w:r>
    </w:p>
    <w:p>
      <w:pPr>
        <w:spacing w:after="0" w:line="170"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 significantly.</w:t>
      </w:r>
    </w:p>
    <w:p>
      <w:pPr>
        <w:spacing w:after="0" w:line="17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7"/>
          <w:szCs w:val="17"/>
          <w:color w:val="auto"/>
        </w:rPr>
        <w:t>We have filed registration statements on Form S-8 shares of common stock that are either subject to options or other equity awards issued or reserved for future issuance under our equity incentive plans. The number of shares available for issuance under the 2019 Omnibus Plan is subject to an automatic annual increase on January 1st of each year, continuing until the expiration of the 2019 Omnibus Plan, in an amount equal to four percent (4%) of the total number of shares of Common Stock outstanding on December 31st of the preceding calendar year. The number of shares available for issuance under the 2019 Employee Stock Purchase Plan, or “ESPP”, is subject to an automatic annual increase on January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of each year, continuing until the expiration of the ESPP, in an amount equal to the least of (i) one percent (1%) of the total number of shares of Common Stock outstanding on December 31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of the preceding calendar year, (ii) 480,000 shares of Common Stock (subject to the capitalization adjustment provisions included in the ESPP) and (iii) a number of shares of Common Stock determined by the administrator of the ESPP. Shares registered under our registration statements on Form S-8 will be available for sale in the public market subject to vesting arrangements and exercise of options and the restrictions of Rule 144 in the case of our affiliates.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Our executive officers, directors and current beneficial owners of 5% or more of our common stock and their respective affiliates exercise significant influence over our company, which limits your ability to influence corporate matters and could delay or prevent a change in corporate control.</w:t>
      </w:r>
    </w:p>
    <w:p>
      <w:pPr>
        <w:spacing w:after="0" w:line="18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executive officers, directors and current beneficial owners of 5% or more of our common stock and their respective affiliates beneficially own, in the aggregate, a majority of our outstanding common stock.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This concentration of ownership might adversely affect the market price of our common stock by:</w:t>
      </w:r>
    </w:p>
    <w:p>
      <w:pPr>
        <w:spacing w:after="0" w:line="192" w:lineRule="exact"/>
        <w:rPr>
          <w:sz w:val="20"/>
          <w:szCs w:val="20"/>
          <w:color w:val="auto"/>
        </w:rPr>
      </w:pPr>
    </w:p>
    <w:p>
      <w:pPr>
        <w:ind w:left="1040" w:hanging="315"/>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248" w:lineRule="exact"/>
        <w:rPr>
          <w:sz w:val="20"/>
          <w:szCs w:val="20"/>
          <w:color w:val="auto"/>
        </w:rPr>
      </w:pPr>
    </w:p>
    <w:p>
      <w:pPr>
        <w:ind w:left="60" w:right="939"/>
        <w:spacing w:after="0" w:line="277" w:lineRule="auto"/>
        <w:rPr>
          <w:sz w:val="20"/>
          <w:szCs w:val="20"/>
          <w:color w:val="auto"/>
        </w:rPr>
      </w:pPr>
      <w:r>
        <w:rPr>
          <w:rFonts w:ascii="Arial" w:cs="Arial" w:eastAsia="Arial" w:hAnsi="Arial"/>
          <w:sz w:val="18"/>
          <w:szCs w:val="18"/>
          <w:b w:val="1"/>
          <w:bCs w:val="1"/>
          <w:i w:val="1"/>
          <w:iCs w:val="1"/>
          <w:color w:val="auto"/>
        </w:rPr>
        <w:t>We are now and may in the future be subject to securities litigation, which can be expensive and could divert management’s attention.</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On September 21, 2020, a putative stockholder class action was filed in the U.S. District Court for the Southern District of New York styled Ye Zhou v. NextCure, Inc., et. al., Case 1:20-cv-0772 (S.D.N.Y.). On February 26, 2021, the Lead Plaintiff filed a consolidated amended complaint that asserts claims against us, certain of our officers and members of our board of directors, and the underwriters in our May 2019 initial public offering and November 2019 underwritten secondary public offering. The complaint alleges that the defendants violated provisions of the Exchange Act and the Securities Act of 1933, as amended, with respect to statements made regarding our product candidate, NC318, and the FIND-IO platform.</w:t>
      </w:r>
    </w:p>
    <w:p>
      <w:pPr>
        <w:spacing w:after="0" w:line="195" w:lineRule="exact"/>
        <w:rPr>
          <w:sz w:val="20"/>
          <w:szCs w:val="20"/>
          <w:color w:val="auto"/>
        </w:rPr>
      </w:pPr>
    </w:p>
    <w:p>
      <w:pPr>
        <w:jc w:val="both"/>
        <w:ind w:left="60" w:right="79" w:firstLine="648"/>
        <w:spacing w:after="0" w:line="275" w:lineRule="auto"/>
        <w:rPr>
          <w:sz w:val="20"/>
          <w:szCs w:val="20"/>
          <w:color w:val="auto"/>
        </w:rPr>
      </w:pPr>
      <w:r>
        <w:rPr>
          <w:rFonts w:ascii="Arial" w:cs="Arial" w:eastAsia="Arial" w:hAnsi="Arial"/>
          <w:sz w:val="17"/>
          <w:szCs w:val="17"/>
          <w:color w:val="auto"/>
        </w:rPr>
        <w:t>On March 24, 2021, a purported shareholder derivative lawsuit was filed in the U.S. District Court for the District of Maryland, Southern Division, styled Zach Liu v. Richman et. al., Case:21-cv-00754, alleging breaches of fiduciary duty by officers and/or directors, unjust enrichment, abuse of control, gross mismanagement, waste of corporate assets and violations of the Exchange Act and the Securities Act of 1933. The Complaint seeks unspecified damages, attorneys’ fees and costs, declaratory relief, corporate governance changes, and restitution.</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more information regarding these proceedings, please refer to Note 8 to the Company’s Financial Statements.</w:t>
      </w:r>
    </w:p>
    <w:p>
      <w:pPr>
        <w:spacing w:after="0" w:line="24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intend to vigorously defend these actions. However, whether or not the claims are successful, litigation is often expensive and can divert management’s attention and resources from other business concerns, which could adversely affect our business. If we are ultimately required to pay significant defense costs, damages or settlement amounts, such payments could adversely affect our operations.</w:t>
      </w:r>
    </w:p>
    <w:p>
      <w:pPr>
        <w:spacing w:after="0" w:line="18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may be the target of similar litigation in the future. The market price of our common stock has experienced and may continue to experience volatility, and in the past, companies that have experienced volatility in the market price of their stock have been subject to securities litigation. Any future litigation could result in substantial costs and divert our management’s attention from other business concerns, which could seriously harm our business. We maintain liability insurance; however, if any costs or expenses associated with the Ye Zhou action, Liu action, or any other litigation exceed our insurance coverage, we may be forced to bear some or all costs and expenses directly, which could be substantial.</w:t>
      </w:r>
    </w:p>
    <w:p>
      <w:pPr>
        <w:spacing w:after="0" w:line="164"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8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delay or prevent an acquisition of us or a change in our management.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and the voting and other rights of our stockholders may be adversely affected. An issuance of shares of preferred stock may result in the loss of voting control to other stockholders.</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These provisions also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94"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8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When we lose our status as an “emerging growth company,” our independent registered public accounting firm will be required to attest to the effectiveness of our internal control over financial reporting pursuant to Section 404 of the Sarbanes Oxley Act.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w:t>
      </w:r>
    </w:p>
    <w:p>
      <w:pPr>
        <w:spacing w:after="0" w:line="16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cannot assure you that there will not be material weaknesses or significant deficiencies in our internal control over financial reporting in the future.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do not intend to pay dividends on our common stock, so any returns will be limited to the value of our stock.</w:t>
      </w:r>
    </w:p>
    <w:p>
      <w:pPr>
        <w:spacing w:after="0" w:line="24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4" w:lineRule="exact"/>
        <w:rPr>
          <w:sz w:val="20"/>
          <w:szCs w:val="20"/>
          <w:color w:val="auto"/>
        </w:rPr>
      </w:pPr>
    </w:p>
    <w:p>
      <w:pPr>
        <w:ind w:left="60" w:right="219"/>
        <w:spacing w:after="0" w:line="308" w:lineRule="auto"/>
        <w:rPr>
          <w:sz w:val="20"/>
          <w:szCs w:val="20"/>
          <w:color w:val="auto"/>
        </w:rPr>
      </w:pPr>
      <w:r>
        <w:rPr>
          <w:rFonts w:ascii="Arial" w:cs="Arial" w:eastAsia="Arial" w:hAnsi="Arial"/>
          <w:sz w:val="17"/>
          <w:szCs w:val="17"/>
          <w:b w:val="1"/>
          <w:bCs w:val="1"/>
          <w:i w:val="1"/>
          <w:iCs w:val="1"/>
          <w:color w:val="auto"/>
        </w:rPr>
        <w:t>We have incurred and will continue to incur significantly increased costs as a result of operating as a public company, and our management will be required to devote substantial time to new compliance initiatives.</w:t>
      </w:r>
    </w:p>
    <w:p>
      <w:pPr>
        <w:spacing w:after="0" w:line="146"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As a public company we have incurred, and we expect, particularly after we are no longer an emerging growth company, to continue to incur significant legal, accounting, investor relations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7"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or the United States District Court for the District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or, if subject matter jurisdiction over the matter that is the subject of such action is vested exclusively in the federal courts, the United States District Court for the District of Delaware will, to the fullest extent permitted by law, be the sole and exclusive forum for (i) any derivative action or proceeding brought on our behalf,</w:t>
      </w:r>
    </w:p>
    <w:p>
      <w:pPr>
        <w:spacing w:after="0" w:line="1" w:lineRule="exact"/>
        <w:rPr>
          <w:sz w:val="20"/>
          <w:szCs w:val="20"/>
          <w:color w:val="auto"/>
        </w:rPr>
      </w:pPr>
    </w:p>
    <w:p>
      <w:pPr>
        <w:jc w:val="both"/>
        <w:ind w:left="60" w:right="59" w:hanging="10"/>
        <w:spacing w:after="0" w:line="266" w:lineRule="auto"/>
        <w:tabs>
          <w:tab w:leader="none" w:pos="333"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current or former directors, officers and employees, (iii) any action asserting a claim arising pursuant to any provision of the Delaware General Corporation Law, our certificate of incorporation or our bylaws, (iv) any action or proceeding to interpret, apply, enforce or determine the validity of our certificate of incorporation or the bylaws or (v) any action asserting a claim that is governed by the internal affairs doctrine, in each case subject to the Court of Chancery or the United States District Court for the District of Delaware, as applicable, having personal jurisdiction over the indispensable parties named as defendants therein. In addition, any person holding, owning or otherwise acquiring any interest in any of our securities shall be deemed to have notice of and to have consented to this provision of our bylaws. The choice of forum provision does not apply to any actions arising under the Securities Act or the Exchange Act. The choice of forum provision may limit a stockholder’s ability to bring a claim in a judicial forum that it finds favorable for disputes with us or our directors, officers or employees, which may discourage such lawsuits against us and our directors, officers and employees even though an action, if successful, might benefit our stockholders. Stockholders who do bring a claim in the Court of Chancery or the United States District Court for the District of Delaware could face additional litigation costs in pursuing any such claim, particularly if they do not reside in or near the jurisdiction. The Court of Chancery or the United States District Court for the District of Delaware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amended and restated bylaws inapplicable to, or unenforceable in respect of, one or more of the specified types of actions or proceedings, we may incur additional costs, which could have a material adverse effect on our business, financial condition or results of operations.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Our corporate headquarters are located in Beltsville, Maryland and consists of approximately 28,500 square feet of office, 20,600 square feet of laboratory and manufacturing and 20,200 square feet of warehouse space. The lease terms expire in March 2030. We believe that these facilities are adequate for our current needs and that suitable additional or substitute space will be available in the future if needed.</w:t>
      </w:r>
    </w:p>
    <w:p>
      <w:pPr>
        <w:spacing w:after="0" w:line="2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information set forth under the heading “Legal Proceedings” in Note 8, Commitments and Contingencies, in Notes to Financial Statements in Part II Item 8 of this Annual Report, is incorporated herein by reference.</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00" w:right="41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 and Holders of Record</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common stock trades on the Nasdaq Global Select Market, or “Nasdaq”, under the symbol “NXTC.” As of February 24, 2023 we had 13 holders of record of our common stock.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by other entities.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have never declared or paid cash dividends on our capital stock, and we do not anticipate paying any cash dividends in the foreseeable future. We currently intend to retain all available funds and any future earnings to support our operations and finance the growth and development of our business.</w:t>
      </w:r>
    </w:p>
    <w:p>
      <w:pPr>
        <w:spacing w:after="0" w:line="200" w:lineRule="exact"/>
        <w:rPr>
          <w:sz w:val="20"/>
          <w:szCs w:val="20"/>
          <w:color w:val="auto"/>
        </w:rPr>
      </w:pPr>
    </w:p>
    <w:p>
      <w:pPr>
        <w:spacing w:after="0" w:line="2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322"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4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financial statements and the related notes appearing elsewhere in this Annual Report. This discussion contains forward-looking statements that are based on management’s current expectations, estimates, and projections about our business and operations, and involve risks and uncertainties. Our actual results could differ materially from those discussed in these forward-looking statements. Factors that could cause or contribute to such differences include, but are not limited to, those discussed in the sections entitled “Risk Factors” and “Special Note Regarding Forward-Looking Statements” and elsewhere in this Annual Report. The following discussion and analysis is expected to better allow investors to view the company from management’s perspective.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w:t>
      </w:r>
    </w:p>
    <w:p>
      <w:pPr>
        <w:spacing w:after="0" w:line="18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Our product candidate NC410 is a fusion protein of LAIR-2, a naturally occurring soluble version of and decoy protein for LAIR-1 and is designed to block immune suppression mediated by LAIR-1 In June 2020, we initiated a Phase 1/2 clinical trial of NC410 in patients with advanced or metastatic solid tumors. The Phase 1 dose-escalation portion of this open-label trial was designed to evaluate the safety and tolerability of NC410 and determine its pharmacologically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active and/or maximum tolerated dose. In October 2022, we announced the initiation of a Phase 1b/2 clinical trial to evaluate NC410 in combination with KEYTRUDA® (pembrolizumab), Merck’s anti-PD-1 therapy, in immune checkpoint refractory patients (colorectal, esophageal, endometrial and head and neck cancers) or immune checkpoint naïve solid tumor patients (colorectal and ovarian cancers).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Our product candidate NC762 is a monoclonal antibody that binds specifically to human B7 homolog 4 protein, or “B7-H4”, a protein expressed on multiple tumor types. In July 2021, we initiated a Phase 1/2 clinical trial of NC762 in patients with lung cancer, breast cancer, ovarian cancer or potentially other tumor types. The Phase 1 dose-escalation portion of this open-label trial was designed to evaluate the safety and tolerability of NC762 and determine its pharmacologically active and/or maximum tolerated dose. In November 2022, we announced initial data from the Phase 1 portion of this trial which indicate that NC762 appears to be well tolerated. Safety expansion studies are ongoing with the intent of selecting a recommended Phase 2 dose.</w:t>
      </w:r>
    </w:p>
    <w:p>
      <w:pPr>
        <w:spacing w:after="0" w:line="19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product candidate NC525 (LAIR-1 mAb) is a novel LAIR-1 antibody that selectively targets Acute Myeloid Leukemia, or “AML”, blast cells and leukemic stem cells, or “LSCs”. Preclinical data show that NC525 kills AML blast cells and LSCs while sparing hematopoietic stem and progenitor cells, or “HSPCs”. In February 2023 we initiated a Phase 1 trial for NC525 to evaluate the safety and preliminary efficacy of NC525 in AML, high-risk myelodysplastic syndrome, and chronic myelomonocytic leukemia (CMML).</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Since commencing operations in 2015,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discovery programs and FIND-IO platform.</w:t>
      </w:r>
    </w:p>
    <w:p>
      <w:pPr>
        <w:spacing w:after="0" w:line="15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have not generated any revenue from product sales and only limited revenue from other sources. As a result, with the exception of the three months ended March 31, 2020, for which we reported a profit due to recognition of deferred revenue in connection with the termination of our former research and development collaboration agreement with Eli Lilly and Company, or “Lilly,” we have never been profitable and have incurred net losses since the commencement of our operations. Our net losses for the years ended December 31, 2022 and 2021 were $74.9 million and $69.4 million, respectively. As of December 31, 2022, we had an accumulated deficit of $261.8, million primarily as a result of research and development and general and administrative expenses. We do not expect to generate product revenue unless and until we obtain marketing approval for and commercialize a product candidate, and we cannot make assurances that we will ever generate significant revenue or profits.</w:t>
      </w:r>
    </w:p>
    <w:p>
      <w:pPr>
        <w:spacing w:after="0" w:line="181"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have funded our operations to date primarily with proceeds from public offerings of our common stock, with private placements of our preferred stock and with upfront fees received under our former research collaboration and development agreement with Lilly, or the “Lilly Agreement,” which was terminated in March 2020. From our inception through December 31, 2022, we received gross proceeds of $164.4 million through private placements of preferred stock.</w:t>
      </w:r>
    </w:p>
    <w:p>
      <w:pPr>
        <w:spacing w:after="0" w:line="15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November 2018, we entered into the Lilly Agreement to use our FIND-IO platform to identify novel oncology targets for additional collaborative research and drug discovery by us and Lilly. We received an upfront payment of $25.0 million in cash and an equity investment of $15.0 million from Lilly upon entering into the Lilly Agreement, and we were eligible for quarterly research and development support payments during a portion of the term of the Lilly Agreement. Effective March 3, 2020, Lilly terminated the Lilly Agreement without cause.</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May 13, 2019, we closed our initial public offering, or IPO, in which we sold 5,750,000 shares of common stock, at a public offering price of $15.00 per share, for aggregate gross proceeds of $86.3 million. The net offering proceeds to us were approximately $77.0 million after deducting underwriting discounts and commissions of $6.0 million and offering expenses of $3.4 million. See Note 1 to our audited financial statements included elsewhere in this Annual Report for more information.</w:t>
      </w:r>
    </w:p>
    <w:p>
      <w:pPr>
        <w:spacing w:after="0" w:line="18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On November 19, 2019, we completed an underwritten public offering, in which we issued and sold 4,077,192 shares of common stock at a public offering price of $36.75 per share. On December 2, 2019, the underwriters exercised in full their option to purchase an additional 611,578 shares of common stock at the public offering price of $36.75, for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total net proceeds to us of approximately $160.9 million after deducting underwriting discounts and commissions of approximately $10.3 million and offering expenses of approximately $1.0 million.</w:t>
      </w:r>
    </w:p>
    <w:p>
      <w:pPr>
        <w:spacing w:after="0" w:line="170"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As of December 31, 2022, we had cash, cash equivalents and marketable securities, excluding restricted cash, of $159.9 million. We believe that our existing cash, cash equivalents and marketable securities will be sufficient to fund our planned operations into mid-2025. We have based this estimate on assumptions that may prove to be incorrect, and we could exhaust our available capital resources sooner than we currently expect.</w:t>
      </w:r>
    </w:p>
    <w:p>
      <w:pPr>
        <w:spacing w:after="0" w:line="17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expect to incur substantial expenditures in the foreseeable future as we advance our product candidates through clinical development, the regulatory approval process and, if approved, commercialization. Specifically, in the near term, we expect to incur substantial expenses relating to our Phase 1b/2 clinical trial of NC410 in combination with pembrolizumab, our ongoing Phase 1/2 clinical trial for NC762, our ongoing Phase 1 clinical trial for NC525, and, and other research and development activities. We expect to continue to incur significantly increased costs as a result of operating as a public company, including significant legal, accounting, investor relations and other expenses that we did not incur as a private company.</w:t>
      </w:r>
    </w:p>
    <w:p>
      <w:pPr>
        <w:spacing w:after="0" w:line="19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and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clinical trials, discovery efforts, research activities, and development and testing of our product candidates:</w:t>
      </w:r>
    </w:p>
    <w:p>
      <w:pPr>
        <w:spacing w:after="0" w:line="170" w:lineRule="exact"/>
        <w:rPr>
          <w:sz w:val="20"/>
          <w:szCs w:val="20"/>
          <w:color w:val="auto"/>
        </w:rPr>
      </w:pPr>
    </w:p>
    <w:p>
      <w:pPr>
        <w:jc w:val="both"/>
        <w:ind w:left="1040" w:right="79" w:hanging="315"/>
        <w:spacing w:after="0" w:line="263"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agreements with third parties that conduct research, preclinical activities or clinical trials on our behalf, such as our license agreement with Yale University, or “Yale”;</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costs of outside consultants, including their fees, stock-based compensation and related travel expenses;</w:t>
      </w:r>
    </w:p>
    <w:p>
      <w:pPr>
        <w:spacing w:after="0" w:line="236" w:lineRule="exact"/>
        <w:rPr>
          <w:rFonts w:ascii="Arial" w:cs="Arial" w:eastAsia="Arial" w:hAnsi="Arial"/>
          <w:sz w:val="17"/>
          <w:szCs w:val="17"/>
          <w:color w:val="auto"/>
        </w:rPr>
      </w:pPr>
    </w:p>
    <w:p>
      <w:pPr>
        <w:ind w:left="1040" w:right="79" w:hanging="315"/>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and clinical trial materials; and</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for personnel engaged in research and development functions;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and allocated expenses for rent and maintenance of facilities and other operating costs.</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expense research and development costs as incurred. Our expenses related to clinical trials are based on actual costs incurred and estimates of other incurred costs. These estimated costs are based on several factors, including patient enrollment and related expenses at clinical investigator sites, contract services received, consulting agreement costs and efforts expended under contracts with research institutions and third-party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 contracts are modified based on changes in the clinical trial protocol or scope of work to be performed, we would modify our estimates of accrued expenses accordingly on a prospective basis. Historically, any such modifications have not been material.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Research and development activities are central to our business model. We expect that our research and development expenses will continue to increase substantially for the foreseeable future as we advance our product candidates through development and expand the number of trials we are conducting and the patients enrolled in those trials, as we utilize our current good manufacturing practice, or “cGMP”, manufacturing capacity, including to provide drug supply of NC410, NC762 and NC525 for future clinical trials.</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cannot determine with certainty the duration and costs of future clinical trials of NC410, NC762, NC525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NC410, NC762, NC525 and any other product candidate we may develop will depend on a variety of factors, including:</w:t>
      </w:r>
    </w:p>
    <w:p>
      <w:pPr>
        <w:spacing w:after="0" w:line="192" w:lineRule="exact"/>
        <w:rPr>
          <w:sz w:val="20"/>
          <w:szCs w:val="20"/>
          <w:color w:val="auto"/>
        </w:rPr>
      </w:pPr>
    </w:p>
    <w:p>
      <w:pPr>
        <w:jc w:val="both"/>
        <w:ind w:left="1040" w:right="79" w:hanging="315"/>
        <w:spacing w:after="0" w:line="342" w:lineRule="auto"/>
        <w:tabs>
          <w:tab w:leader="none" w:pos="10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scope, progress, results and costs of clinical trials of NC410, NC762 and NC525, as well as of any future clinical trials of other product candidates and other research and development activities that we may conduct;</w:t>
      </w:r>
    </w:p>
    <w:p>
      <w:pPr>
        <w:spacing w:after="0" w:line="123" w:lineRule="exact"/>
        <w:rPr>
          <w:rFonts w:ascii="Arial" w:cs="Arial" w:eastAsia="Arial" w:hAnsi="Arial"/>
          <w:sz w:val="16"/>
          <w:szCs w:val="16"/>
          <w:color w:val="auto"/>
        </w:rPr>
      </w:pPr>
    </w:p>
    <w:p>
      <w:pPr>
        <w:ind w:left="1040" w:right="79" w:hanging="315"/>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impact of the COVID-19 pandemic, including delays and slowdowns as a result of strain on our clinical trial sites and concerns about patient safety;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uncertainties in selection of indications, clinical trial design and patient enrollment rates;</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probability of success for our product candidates, including safety and efficacy, early clinical data, competition, ease and ability of manufacturing and commercial viability;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and receipt of any development or marketing approvals; and</w:t>
      </w:r>
    </w:p>
    <w:p>
      <w:pPr>
        <w:spacing w:after="0" w:line="225"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lead to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to complete clinical development for any such product candidate.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General and administrative expenses consist primarily of personnel-related costs, including payroll and stock-based compensation, for personnel in executive, finance, human resources, business and corporate development and other administrative functions, professional fees for legal, intellectual property, consulting and accounting services, rent and other facility-related costs, depreciation and other general operating expenses not otherwise classified as research and development expenses. General and administrative expenses also include all patent-related costs incurred in connection with filing and prosecuting patent applications, which are expensed as incurred.</w:t>
      </w:r>
    </w:p>
    <w:p>
      <w:pPr>
        <w:spacing w:after="0" w:line="178"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We anticipate that our general and administrative expenses will increase during the next few years as a result of staff expansion, additional occupancy costs, higher legal and accounting fees, investor relations costs, higher insurance premiums and other compliance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Other income, net consists primarily of interest income earned on marketable securities and payment of interest on our term loan with a commercial bank, or the “Term Loan”, which was paid in full and closed in August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Year Ended</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76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96"/>
              </w:rPr>
              <w:t>2021</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54,199</w:t>
            </w:r>
          </w:p>
        </w:tc>
        <w:tc>
          <w:tcPr>
            <w:tcW w:w="5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50,192</w:t>
            </w:r>
          </w:p>
        </w:tc>
        <w:tc>
          <w:tcPr>
            <w:tcW w:w="140" w:type="dxa"/>
            <w:vAlign w:val="bottom"/>
          </w:tcPr>
          <w:p>
            <w:pPr>
              <w:spacing w:after="0"/>
              <w:rPr>
                <w:sz w:val="18"/>
                <w:szCs w:val="18"/>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17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21,710</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Arial" w:cs="Arial" w:eastAsia="Arial" w:hAnsi="Arial"/>
                <w:sz w:val="18"/>
                <w:szCs w:val="18"/>
                <w:color w:val="auto"/>
              </w:rPr>
              <w:t>Loss from operations</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(75,909)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(70,765)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7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Arial" w:cs="Arial" w:eastAsia="Arial" w:hAnsi="Arial"/>
                <w:sz w:val="18"/>
                <w:szCs w:val="18"/>
                <w:color w:val="auto"/>
              </w:rPr>
              <w:t>Net loss</w:t>
            </w:r>
          </w:p>
        </w:tc>
        <w:tc>
          <w:tcPr>
            <w:tcW w:w="17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(74,733)</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(69,389)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9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summarizes our research and development expenses by product candidate for the periods indicated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External research and development expenses: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ind w:left="120"/>
              <w:spacing w:after="0"/>
              <w:rPr>
                <w:sz w:val="20"/>
                <w:szCs w:val="20"/>
                <w:color w:val="auto"/>
              </w:rPr>
            </w:pPr>
            <w:r>
              <w:rPr>
                <w:rFonts w:ascii="Arial" w:cs="Arial" w:eastAsia="Arial" w:hAnsi="Arial"/>
                <w:sz w:val="18"/>
                <w:szCs w:val="18"/>
                <w:color w:val="auto"/>
              </w:rPr>
              <w:t>NC410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6,211</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3,533</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NC762</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5040" w:type="dxa"/>
            <w:vAlign w:val="bottom"/>
            <w:gridSpan w:val="2"/>
          </w:tcPr>
          <w:p>
            <w:pPr>
              <w:ind w:left="120"/>
              <w:spacing w:after="0"/>
              <w:rPr>
                <w:sz w:val="20"/>
                <w:szCs w:val="20"/>
                <w:color w:val="auto"/>
              </w:rPr>
            </w:pPr>
            <w:r>
              <w:rPr>
                <w:rFonts w:ascii="Arial" w:cs="Arial" w:eastAsia="Arial" w:hAnsi="Arial"/>
                <w:sz w:val="18"/>
                <w:szCs w:val="18"/>
                <w:color w:val="auto"/>
              </w:rPr>
              <w:t>NC525</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programs and preclinical development</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15,941</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18,388</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1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external research and development expenses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31,171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internal research and development expenses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23,028</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22,283</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54,199</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50,192</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We do not allocate personnel-related costs, including stock-based compensation costs, or other indirect costs to specific programs, as they are deployed across multiple projects under development and discovery and, as such are separately classified as internal research and development expenses in the table above.</w:t>
      </w:r>
    </w:p>
    <w:p>
      <w:pPr>
        <w:spacing w:after="0" w:line="16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Research and development expenses for the year ended December 31, 2022 increased by $4.0 million to $54.4 million compared to $50.2 million for the year ending December 31, 2021. The increase was driven primarily by $3.3 million in clinical-related and $1.6 million in personnel-related expenses, partially offset by lower internal research costs.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General and administrative expenses for the year ended December 31, 2022 increased by $1.1 million to $21.7 million as compared to $20.6 million for the year ending December 31, 2021. The increase was driven primarily by $1.1 million higher personnel-related costs and $0.2 million in higher occupancy costs, partially offset by $0.4 million lower professional services expenses.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185"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Other income, net for the year ended December 31, 2022 decreased by $0.2 million to $1.2 million from $1.4 million for the year ended December 31, 2021 due to lower interest income as a result of lower cash and investments.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have financed our operations primarily with proceeds from public offerings of our common stock, with private placements of our preferred stock and with upfront fees received under the Lilly Agreement. On May 13, 2019, we closed our IPO in which we sold 5,750,000 shares of common stock at a public offering price of $15.00 per share, for aggregate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gross proceeds of $86.3 million. The net offering proceeds to us were approximately $77.0 million after deducting underwriting discounts and commissions and offering expenses. On November 19, 2019, we completed an underwritten public offering, in which we sold 4,077,192 shares of common stock at a public offering price of $36.75 per share. On December 2, 2019, the underwriters exercised in full their option to purchase an additional 611,578 shares of common stock at the public offering price of $36.75 per share. The total gross proceeds to us were $172.2 million and the total net offering proceeds to us were approximately $160.9 million after deducting underwriting discounts and commissions and offering expenses. Since inception, we have received aggregate gross proceeds of $164.4 million from the sale and issuance of shares of our preferred stock. In addition, in November 2018, we received an upfront payment of $25.0 million in cash from Lilly pursuant to the Lilly Agreement. Our cash equivalents are held in money market funds.</w:t>
      </w:r>
    </w:p>
    <w:p>
      <w:pPr>
        <w:spacing w:after="0" w:line="16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On May 6, 2021, the Company entered into a sales agreement, or the “Sales Agreement,” with SVB Leerink LLC, or the “Agent”, pursuant to which the Company may sell, from time to time, up to an aggregate sales price of $75 million of its common stock through the Agent in negotiated transactions that are deemed to be an “at the market offering.” The Agent will be entitled to compensation equal to 3.0% of the gross proceeds from the sale of all shares of common stock sold through it as Agent under the Sales Agreement. Actual sales will depend on a variety of factors to be determined by the Company from time to time, including, among other things, market conditions, the trading price of the common stock, capital needs and determinations by the Company of the appropriate sources of funding for the Company. We have not yet sold any shares of our common stock pursuant to the Sales Agreement.</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of December 31, 2022, we had cash, cash equivalents and marketable securities, excluding restricted cash, of $159.9 million. We believe that our existing cash, cash equivalents and marketable securities will be sufficient to fund our planned operations into mid-2025.</w:t>
      </w:r>
    </w:p>
    <w:p>
      <w:pPr>
        <w:spacing w:after="0" w:line="18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will continue to require additional capital to develop our product candidates and fund operations for the foreseeable future. We may seek to raise capital through sale of equity, debt financings, strategic alliances and licensing arrangements. Adequate additional funding may not be available to us on acceptable terms or at all. If we fail to raise capital or enter into such agreements as and when needed, we may have to significantly delay, scale back or discontinue the development of our product candidates or delay our efforts to expand our pipeline of product candidates. Our need to raise additional capital will depend on many factors, including:</w:t>
      </w:r>
    </w:p>
    <w:p>
      <w:pPr>
        <w:spacing w:after="0" w:line="192" w:lineRule="exact"/>
        <w:rPr>
          <w:sz w:val="20"/>
          <w:szCs w:val="20"/>
          <w:color w:val="auto"/>
        </w:rPr>
      </w:pPr>
    </w:p>
    <w:p>
      <w:pPr>
        <w:jc w:val="both"/>
        <w:ind w:left="720" w:right="79" w:hanging="319"/>
        <w:spacing w:after="0" w:line="263"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NC410, NC762, NC525 and our other programs, including targets identified through our FIND-IO platform, and of conducting preclinical studies and clinical trials;</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approvals for NC410, NC762, NC525 and any future product candidates we develop, if clinical trials are successful;</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of manufacturing NC410, NC762, NC525 and any future product candidates we develop for preclinical studies and clinical trials in preparation for marketing approval and commercialization;</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marketing, sales and distribution costs, for NC410, NC762, NC525 and any future product candidates we develop, whether alone or with a collaborator, if any such product candidates are approved for sale, including marketing, sales and distribution costs;</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licenses or other arrangements on favorable terms, if at all;</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any such litigation;</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current collaboration and license agreements remaining in effect and our achievement of milestones and the timing and amount of milestone payments we are required to make, or that we may be eligible to receive, under those agreements;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emergence of competing therapies and other adverse developments in the oncology market.</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Adequate additional financing may not be available to us on acceptable terms, or at all.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raise additional funds through government or private grants, collaborations, strategic alliances or marketing, distribution or licensing arrangements with third parties, we may be required to relinquish valuable rights to our future revenue streams, product candidates or research programs or to grant licenses on terms that may not be favorable to us. If we are unable to raise additional funds when needed, we may be required to delay, reduce or terminate some or all of our development programs and clinical trials. We may also be required to sell or license to others rights to our product candidates in certain territories or indications that we would prefer to retain for ourselves. See the section entitled “Risk Factors” for additional risks associated with our substantial capital requirements.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 (in thousands):</w:t>
      </w:r>
    </w:p>
    <w:p>
      <w:pPr>
        <w:spacing w:after="0" w:line="256"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Year Ended</w:t>
      </w:r>
    </w:p>
    <w:p>
      <w:pPr>
        <w:ind w:left="67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(53,886)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(57,283)</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36,601</w:t>
            </w: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Financing activities</w:t>
            </w:r>
          </w:p>
        </w:tc>
        <w:tc>
          <w:tcPr>
            <w:tcW w:w="6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increase (decrease) in cash and cash equivalents</w:t>
            </w:r>
          </w:p>
        </w:tc>
        <w:tc>
          <w:tcPr>
            <w:tcW w:w="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(23,947)</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19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Net cash used in operating activities was $53.9 million for the year ended December 31, 2022, which was primarily due to our net loss of $74.7 million, partially offset by non-cash charges for depreciation and amortization of $4.1 million, amortization of premiums and discounts on marketable securities of $3.0 million, stock-based compensation of $9.5 million, a $2.0 million decrease in prepaid expenses and other assets and a $2.3 million increase in accounts payable. Net cash used in operating activities was $57.3 million for the year ended December 31, 2021, which was primarily due to our net loss of $69.4 million, an increase in prepaid expenses of $4.9 million, and $2.0 million lower accounts payable, partially offset by non-cash charges for depreciation and amortization of $4.2 million, amortization of premiums and discounts on marketable securities of $3.0 million, stock-based compensation of $10.3 million and $1.7 million higher deferred rent.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Investing Activities</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Cash provided by investing activities for the year ended December 31, 2022 was $68.0 million, which was primarily due to net proceeds from marketable securities of $70.1 million, partially offset by purchases of property and equipment of $2.1 million. Cash provided by investing activities for the year ended December 31, 2021 was $36.6 million, which was primarily due to net proceeds from marketable securities of $39.0 million, partially offset by purchases of property and equipment of $2.4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Financing Activities</w:t>
      </w:r>
    </w:p>
    <w:p>
      <w:pPr>
        <w:spacing w:after="0" w:line="18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Cash provided by financing activities was $0.2 million for the year ended December 31, 2022, which was due to the exercise of stock options and sales of our stock under the Employee Stock Purchase Plan (ESPP). Cash used in financing activities was $3.3 million for the year ended December 31, 2021, which consisted primarily of payments related to the closure of the Term Loan.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We are party to several non-cancelable lease agreements for office and laboratory space that expire in March 2030. The monthly base rent for these leases totals $89,319 as of December 31, 2022 per month plus our prorated share of operating expenses. The monthly base rent is subject to annual 3% increases through the lease term.</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Term Loan</w:t>
      </w:r>
    </w:p>
    <w:p>
      <w:pPr>
        <w:spacing w:after="0" w:line="12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April 2016, we entered into a $1.0 million term loan, or the Term Loan. In January 2019, we amended the Term Loan to increase our borrowing capacity to $5.0 million, secured by our certificates of deposit, money market account, investment property and deposit or investment accounts. In August 2021, we fully paid the remaining principal balance of $2.4 million of the Term Loan. Interest expense under the Term Loan was approximately $77,000 for the year ended December 31, 2021.</w:t>
      </w:r>
    </w:p>
    <w:p>
      <w:pPr>
        <w:spacing w:after="0" w:line="18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also have potential contingent payment obligations upon the achievement by us of clinical, regulatory, and commercial events, as applicable, or royalty payments that we may be required to make under license agreements we have entered into with various entities pursuant to which we have in-licensed intellectual property, including our license agreement with Yale. The timing and amount (if any) of any such payments cannot be reasonably estimated at this time. See “Business—Our Collaboration Agreements” for additional information.</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enter into contracts in the normal course of business with third-party contract organizations for clinical trials, non-clinical studies and testing, manufacturing and other services and products for operating purposes. These contracts generally provide for termination following a certain period after notice, and therefore we believe that our non-cancelable obligations under these agreements are not material.</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financial statements have been prepared in accordance with U.S. generally accepted accounting principles, or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valuing share-based compensation.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w:t>
      </w:r>
    </w:p>
    <w:p>
      <w:pPr>
        <w:spacing w:after="0" w:line="181"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While our significant accounting policies are described in the notes to our financial statements, we believe that the following critical accounting policies are most important to understanding and evaluating our reported financial results, as these policies relate to the more significant areas involving management’s judgments and estimates.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Expenses, Including Clinical Trial Accruals</w:t>
      </w:r>
    </w:p>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Research costs consist of employee-related costs, contractor expenses, laboratory supplies and facility costs, for research and development of product candidates which are expensed as incurred. Development costs, including clinical trial-related expenses, incurred by third parties, such as CROs, are expensed as the contracted work is performed. Where contingent milestone payments are due to third parties under research and development arrangements, the milestone payment obligations are expensed when the milestone results are probable of being achieved. When evaluating the adequacy of the accrued liabilities, we analyze progress of the studies, including the phase or completion of events, invoices received and contracted costs. For further discussion of research and development expenses, including clinical trial accruals, see Note 2 to our audited financial statements included elsewhere in this Annual Report.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We account for stock-based compensation, including stock options and restricted stock units, based on the fair value of the award as of the grant date. We utilize the Black-Scholes option-pricing model as the method for estimating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fair value of our stock option grants. The Black-Scholes option-pricing model requires the use of highly subjective and complex assumptions, including the options’ expected term and the price volatility of the underlying stock. The fair value of the portion of the award that is ultimately expected to vest is recognized as compensation expense over the award’s requisite service period. We recognize stock-based compensation to expense using the straight-line method and recognize forfeitures as they occur. If there are any modifications or cancelations of stock-based awards, we may be required to accelerate, increase, or decrease any remaining unrecognized stock-based compensation expense.</w:t>
      </w:r>
    </w:p>
    <w:p>
      <w:pPr>
        <w:spacing w:after="0" w:line="178"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For further discussion of our accounting for stock-based compensation, see Note 2 to our audited financial statements included elsewhere in this Annual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Securities and Exchange Commission.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Jumpstart Our Business Startups Act of 2012, or “the JOBS Act”, permits an “emerging growth company” such as us to take advantage of an extended transition period to comply with new or revised accounting standards applicable to public companies. We have elected to take advantage of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6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404(b) of the Sarbanes-Oxley Act of 2002. We will remain an emerging growth company until the earliest of (i) December 31, 2024,</w:t>
      </w:r>
    </w:p>
    <w:p>
      <w:pPr>
        <w:spacing w:after="0" w:line="1" w:lineRule="exact"/>
        <w:rPr>
          <w:sz w:val="20"/>
          <w:szCs w:val="20"/>
          <w:color w:val="auto"/>
        </w:rPr>
      </w:pPr>
    </w:p>
    <w:p>
      <w:pPr>
        <w:jc w:val="both"/>
        <w:ind w:left="60" w:right="59" w:hanging="10"/>
        <w:spacing w:after="0" w:line="225" w:lineRule="auto"/>
        <w:tabs>
          <w:tab w:leader="none" w:pos="3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last day of the first fiscal year in which we have total annual gross revenues of at least $1.2 billion, (iii) the last day of the first fiscal year in which the market value of our common stock that is held by non-affiliates exceeds $700.0 million on June 30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and (iv) the date on which we have issued more than $1.0 billion in non-convertible debt securities during the prior three-year period.</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See Note 2 to our audited financial statements included elsewhere in this Annual Report for a discussion of recent accounting pronouncements that have impacted or may impact our financial position and results of operations.</w:t>
      </w:r>
    </w:p>
    <w:p>
      <w:pPr>
        <w:spacing w:after="0" w:line="200" w:lineRule="exact"/>
        <w:rPr>
          <w:sz w:val="20"/>
          <w:szCs w:val="20"/>
          <w:color w:val="auto"/>
        </w:rPr>
      </w:pP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smaller reporting company, we are not required to provide the information requested by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340" w:type="dxa"/>
            <w:vAlign w:val="bottom"/>
            <w:gridSpan w:val="7"/>
            <w:vMerge w:val="restart"/>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42)</w:t>
            </w: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340" w:type="dxa"/>
            <w:vAlign w:val="bottom"/>
            <w:gridSpan w:val="7"/>
            <w:vMerge w:val="continue"/>
          </w:tcPr>
          <w:p>
            <w:pPr>
              <w:spacing w:after="0"/>
              <w:rPr>
                <w:sz w:val="13"/>
                <w:szCs w:val="13"/>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9"/>
        </w:trPr>
        <w:tc>
          <w:tcPr>
            <w:tcW w:w="42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Balance Sheets as of December 31, 2021 and 2020</w:t>
            </w:r>
          </w:p>
        </w:tc>
        <w:tc>
          <w:tcPr>
            <w:tcW w:w="412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8"/>
              </w:rPr>
              <w:t>Statements of Operations and Comprehensive Loss for the Years Ended December 31, 2021 and 2020</w:t>
            </w:r>
          </w:p>
        </w:tc>
        <w:tc>
          <w:tcPr>
            <w:tcW w:w="10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8340" w:type="dxa"/>
            <w:vAlign w:val="bottom"/>
            <w:gridSpan w:val="7"/>
          </w:tcPr>
          <w:p>
            <w:pPr>
              <w:spacing w:after="0" w:line="196" w:lineRule="exact"/>
              <w:rPr>
                <w:sz w:val="20"/>
                <w:szCs w:val="20"/>
                <w:color w:val="auto"/>
              </w:rPr>
            </w:pPr>
            <w:r>
              <w:rPr>
                <w:rFonts w:ascii="Arial" w:cs="Arial" w:eastAsia="Arial" w:hAnsi="Arial"/>
                <w:sz w:val="18"/>
                <w:szCs w:val="18"/>
                <w:color w:val="0000EE"/>
              </w:rPr>
              <w:t>Statements of Stockholders’ Equity for the Years Ended December 31, 2021 and 2020</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618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9"/>
              </w:rPr>
              <w:t>Statements of Cash Flows for the Years Ended December 31, 2021 and 2020</w:t>
            </w:r>
          </w:p>
        </w:tc>
        <w:tc>
          <w:tcPr>
            <w:tcW w:w="216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55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Notes to Financial Statements</w:t>
            </w:r>
          </w:p>
        </w:tc>
        <w:tc>
          <w:tcPr>
            <w:tcW w:w="284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14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NextCure,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have audited the accompanying balance sheets of NextCure, Inc. (the “Company”) as of December 31, 2022 and 2021, the related statements of operations and comprehensive loss, stockholders’ equity and cash flows for the years then ended and the related notes (collectively referred to as the “financial statements”). In our opinion, the financial statements present fairly, in all material respects, the financial position of the Company at December 31, 2022 and 2021, and the results of its operations and its cash flows for the years then ended in conformity with U.S. generally accepted accounting principles.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Baltimore, MD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3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196"/>
        </w:trPr>
        <w:tc>
          <w:tcPr>
            <w:tcW w:w="6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340" w:type="dxa"/>
            <w:vAlign w:val="bottom"/>
          </w:tcPr>
          <w:p>
            <w:pPr>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54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26,630</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12,337</w:t>
            </w:r>
          </w:p>
        </w:tc>
        <w:tc>
          <w:tcPr>
            <w:tcW w:w="160" w:type="dxa"/>
            <w:vAlign w:val="bottom"/>
            <w:shd w:val="clear" w:color="auto" w:fill="CCEEFF"/>
          </w:tcPr>
          <w:p>
            <w:pPr>
              <w:spacing w:after="0"/>
              <w:rPr>
                <w:sz w:val="17"/>
                <w:szCs w:val="17"/>
                <w:color w:val="auto"/>
              </w:rPr>
            </w:pPr>
          </w:p>
        </w:tc>
      </w:tr>
      <w:tr>
        <w:trPr>
          <w:trHeight w:val="203"/>
        </w:trPr>
        <w:tc>
          <w:tcPr>
            <w:tcW w:w="6340" w:type="dxa"/>
            <w:vAlign w:val="bottom"/>
          </w:tcPr>
          <w:p>
            <w:pPr>
              <w:ind w:left="100"/>
              <w:spacing w:after="0"/>
              <w:rPr>
                <w:sz w:val="20"/>
                <w:szCs w:val="20"/>
                <w:color w:val="auto"/>
              </w:rPr>
            </w:pPr>
            <w:r>
              <w:rPr>
                <w:rFonts w:ascii="Arial" w:cs="Arial" w:eastAsia="Arial" w:hAnsi="Arial"/>
                <w:sz w:val="16"/>
                <w:szCs w:val="16"/>
                <w:color w:val="auto"/>
              </w:rPr>
              <w:t>Marketable securities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133,281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207,254</w:t>
            </w:r>
          </w:p>
        </w:tc>
        <w:tc>
          <w:tcPr>
            <w:tcW w:w="160" w:type="dxa"/>
            <w:vAlign w:val="bottom"/>
          </w:tcPr>
          <w:p>
            <w:pPr>
              <w:spacing w:after="0"/>
              <w:rPr>
                <w:sz w:val="17"/>
                <w:szCs w:val="17"/>
                <w:color w:val="auto"/>
              </w:rPr>
            </w:pP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8,226</w:t>
            </w:r>
          </w:p>
        </w:tc>
        <w:tc>
          <w:tcPr>
            <w:tcW w:w="160" w:type="dxa"/>
            <w:vAlign w:val="bottom"/>
            <w:shd w:val="clear" w:color="auto" w:fill="CCEEFF"/>
          </w:tcPr>
          <w:p>
            <w:pPr>
              <w:spacing w:after="0"/>
              <w:rPr>
                <w:sz w:val="17"/>
                <w:szCs w:val="17"/>
                <w:color w:val="auto"/>
              </w:rPr>
            </w:pPr>
          </w:p>
        </w:tc>
      </w:tr>
      <w:tr>
        <w:trPr>
          <w:trHeight w:val="196"/>
        </w:trPr>
        <w:tc>
          <w:tcPr>
            <w:tcW w:w="6340" w:type="dxa"/>
            <w:vAlign w:val="bottom"/>
          </w:tcPr>
          <w:p>
            <w:pPr>
              <w:spacing w:after="0"/>
              <w:rPr>
                <w:sz w:val="20"/>
                <w:szCs w:val="20"/>
                <w:color w:val="auto"/>
              </w:rPr>
            </w:pPr>
            <w:r>
              <w:rPr>
                <w:rFonts w:ascii="Arial" w:cs="Arial" w:eastAsia="Arial" w:hAnsi="Arial"/>
                <w:sz w:val="16"/>
                <w:szCs w:val="16"/>
                <w:color w:val="auto"/>
              </w:rPr>
              <w:t>Total current assets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163,983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227,817</w:t>
            </w:r>
          </w:p>
        </w:tc>
        <w:tc>
          <w:tcPr>
            <w:tcW w:w="160" w:type="dxa"/>
            <w:vAlign w:val="bottom"/>
          </w:tcPr>
          <w:p>
            <w:pPr>
              <w:spacing w:after="0"/>
              <w:rPr>
                <w:sz w:val="17"/>
                <w:szCs w:val="17"/>
                <w:color w:val="auto"/>
              </w:rPr>
            </w:pP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Property and equipment, net</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13,992</w:t>
            </w:r>
          </w:p>
        </w:tc>
        <w:tc>
          <w:tcPr>
            <w:tcW w:w="160" w:type="dxa"/>
            <w:vAlign w:val="bottom"/>
            <w:shd w:val="clear" w:color="auto" w:fill="CCEEFF"/>
          </w:tcPr>
          <w:p>
            <w:pPr>
              <w:spacing w:after="0"/>
              <w:rPr>
                <w:sz w:val="17"/>
                <w:szCs w:val="17"/>
                <w:color w:val="auto"/>
              </w:rPr>
            </w:pPr>
          </w:p>
        </w:tc>
      </w:tr>
      <w:tr>
        <w:trPr>
          <w:trHeight w:val="203"/>
        </w:trPr>
        <w:tc>
          <w:tcPr>
            <w:tcW w:w="6340" w:type="dxa"/>
            <w:vAlign w:val="bottom"/>
          </w:tcPr>
          <w:p>
            <w:pPr>
              <w:ind w:left="100"/>
              <w:spacing w:after="0"/>
              <w:rPr>
                <w:sz w:val="20"/>
                <w:szCs w:val="20"/>
                <w:color w:val="auto"/>
              </w:rPr>
            </w:pPr>
            <w:r>
              <w:rPr>
                <w:rFonts w:ascii="Arial" w:cs="Arial" w:eastAsia="Arial" w:hAnsi="Arial"/>
                <w:sz w:val="16"/>
                <w:szCs w:val="16"/>
                <w:color w:val="auto"/>
              </w:rPr>
              <w:t>Right of use assets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5,016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assets</w:t>
            </w:r>
          </w:p>
        </w:tc>
        <w:tc>
          <w:tcPr>
            <w:tcW w:w="3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60" w:type="dxa"/>
            <w:vAlign w:val="bottom"/>
            <w:shd w:val="clear" w:color="auto" w:fill="CCEEFF"/>
          </w:tcPr>
          <w:p>
            <w:pPr>
              <w:spacing w:after="0"/>
              <w:rPr>
                <w:sz w:val="17"/>
                <w:szCs w:val="17"/>
                <w:color w:val="auto"/>
              </w:rPr>
            </w:pPr>
          </w:p>
        </w:tc>
      </w:tr>
      <w:tr>
        <w:trPr>
          <w:trHeight w:val="236"/>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184,161</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242,386</w:t>
            </w:r>
          </w:p>
        </w:tc>
        <w:tc>
          <w:tcPr>
            <w:tcW w:w="160" w:type="dxa"/>
            <w:vAlign w:val="bottom"/>
            <w:tcBorders>
              <w:bottom w:val="single" w:sz="8" w:color="CCEEFF"/>
            </w:tcBorders>
          </w:tcPr>
          <w:p>
            <w:pPr>
              <w:spacing w:after="0"/>
              <w:rPr>
                <w:sz w:val="20"/>
                <w:szCs w:val="20"/>
                <w:color w:val="auto"/>
              </w:rPr>
            </w:pPr>
          </w:p>
        </w:tc>
      </w:tr>
      <w:tr>
        <w:trPr>
          <w:trHeight w:val="183"/>
        </w:trPr>
        <w:tc>
          <w:tcPr>
            <w:tcW w:w="634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3"/>
        </w:trPr>
        <w:tc>
          <w:tcPr>
            <w:tcW w:w="6340" w:type="dxa"/>
            <w:vAlign w:val="bottom"/>
          </w:tcPr>
          <w:p>
            <w:pPr>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54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4,270</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w:t>
            </w:r>
          </w:p>
        </w:tc>
        <w:tc>
          <w:tcPr>
            <w:tcW w:w="160" w:type="dxa"/>
            <w:vAlign w:val="bottom"/>
            <w:shd w:val="clear" w:color="auto" w:fill="CCEEFF"/>
          </w:tcPr>
          <w:p>
            <w:pPr>
              <w:spacing w:after="0"/>
              <w:rPr>
                <w:sz w:val="17"/>
                <w:szCs w:val="17"/>
                <w:color w:val="auto"/>
              </w:rPr>
            </w:pPr>
          </w:p>
        </w:tc>
      </w:tr>
      <w:tr>
        <w:trPr>
          <w:trHeight w:val="203"/>
        </w:trPr>
        <w:tc>
          <w:tcPr>
            <w:tcW w:w="63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Accrued liabilities and other liabilities</w:t>
            </w:r>
          </w:p>
        </w:tc>
        <w:tc>
          <w:tcPr>
            <w:tcW w:w="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4,666</w:t>
            </w:r>
          </w:p>
        </w:tc>
        <w:tc>
          <w:tcPr>
            <w:tcW w:w="160" w:type="dxa"/>
            <w:vAlign w:val="bottom"/>
            <w:tcBorders>
              <w:bottom w:val="single" w:sz="8" w:color="CCEEFF"/>
            </w:tcBorders>
          </w:tcPr>
          <w:p>
            <w:pPr>
              <w:spacing w:after="0"/>
              <w:rPr>
                <w:sz w:val="17"/>
                <w:szCs w:val="17"/>
                <w:color w:val="auto"/>
              </w:rPr>
            </w:pPr>
          </w:p>
        </w:tc>
      </w:tr>
      <w:tr>
        <w:trPr>
          <w:trHeight w:val="19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6,608</w:t>
            </w:r>
          </w:p>
        </w:tc>
        <w:tc>
          <w:tcPr>
            <w:tcW w:w="160" w:type="dxa"/>
            <w:vAlign w:val="bottom"/>
            <w:shd w:val="clear" w:color="auto" w:fill="CCEEFF"/>
          </w:tcPr>
          <w:p>
            <w:pPr>
              <w:spacing w:after="0"/>
              <w:rPr>
                <w:sz w:val="17"/>
                <w:szCs w:val="17"/>
                <w:color w:val="auto"/>
              </w:rPr>
            </w:pPr>
          </w:p>
        </w:tc>
      </w:tr>
      <w:tr>
        <w:trPr>
          <w:trHeight w:val="203"/>
        </w:trPr>
        <w:tc>
          <w:tcPr>
            <w:tcW w:w="6340" w:type="dxa"/>
            <w:vAlign w:val="bottom"/>
          </w:tcPr>
          <w:p>
            <w:pPr>
              <w:ind w:left="100"/>
              <w:spacing w:after="0"/>
              <w:rPr>
                <w:sz w:val="20"/>
                <w:szCs w:val="20"/>
                <w:color w:val="auto"/>
              </w:rPr>
            </w:pPr>
            <w:r>
              <w:rPr>
                <w:rFonts w:ascii="Arial" w:cs="Arial" w:eastAsia="Arial" w:hAnsi="Arial"/>
                <w:sz w:val="16"/>
                <w:szCs w:val="16"/>
                <w:color w:val="auto"/>
              </w:rPr>
              <w:t>Lease liabilities, long term</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6,605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long-term liabilities</w:t>
            </w:r>
          </w:p>
        </w:tc>
        <w:tc>
          <w:tcPr>
            <w:tcW w:w="3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2,392</w:t>
            </w:r>
          </w:p>
        </w:tc>
        <w:tc>
          <w:tcPr>
            <w:tcW w:w="160" w:type="dxa"/>
            <w:vAlign w:val="bottom"/>
            <w:shd w:val="clear" w:color="auto" w:fill="CCEEFF"/>
          </w:tcPr>
          <w:p>
            <w:pPr>
              <w:spacing w:after="0"/>
              <w:rPr>
                <w:sz w:val="17"/>
                <w:szCs w:val="17"/>
                <w:color w:val="auto"/>
              </w:rPr>
            </w:pPr>
          </w:p>
        </w:tc>
      </w:tr>
      <w:tr>
        <w:trPr>
          <w:trHeight w:val="196"/>
        </w:trPr>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16,631</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9,000</w:t>
            </w:r>
          </w:p>
        </w:tc>
        <w:tc>
          <w:tcPr>
            <w:tcW w:w="160" w:type="dxa"/>
            <w:vAlign w:val="bottom"/>
            <w:tcBorders>
              <w:bottom w:val="single" w:sz="8" w:color="CCEEFF"/>
            </w:tcBorders>
          </w:tcPr>
          <w:p>
            <w:pPr>
              <w:spacing w:after="0"/>
              <w:rPr>
                <w:sz w:val="17"/>
                <w:szCs w:val="17"/>
                <w:color w:val="auto"/>
              </w:rPr>
            </w:pPr>
          </w:p>
        </w:tc>
      </w:tr>
      <w:tr>
        <w:trPr>
          <w:trHeight w:val="19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3"/>
        </w:trPr>
        <w:tc>
          <w:tcPr>
            <w:tcW w:w="6340" w:type="dxa"/>
            <w:vAlign w:val="bottom"/>
          </w:tcPr>
          <w:p>
            <w:pPr>
              <w:ind w:left="100"/>
              <w:spacing w:after="0"/>
              <w:rPr>
                <w:sz w:val="20"/>
                <w:szCs w:val="20"/>
                <w:color w:val="auto"/>
              </w:rPr>
            </w:pPr>
            <w:r>
              <w:rPr>
                <w:rFonts w:ascii="Arial" w:cs="Arial" w:eastAsia="Arial" w:hAnsi="Arial"/>
                <w:sz w:val="16"/>
                <w:szCs w:val="16"/>
                <w:color w:val="auto"/>
              </w:rPr>
              <w:t>Preferred stock, par value of $0.001 per share; 10,000,000 shares authorized at</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3"/>
        </w:trPr>
        <w:tc>
          <w:tcPr>
            <w:tcW w:w="6340" w:type="dxa"/>
            <w:vAlign w:val="bottom"/>
          </w:tcPr>
          <w:p>
            <w:pPr>
              <w:ind w:left="100"/>
              <w:spacing w:after="0"/>
              <w:rPr>
                <w:sz w:val="20"/>
                <w:szCs w:val="20"/>
                <w:color w:val="auto"/>
              </w:rPr>
            </w:pPr>
            <w:r>
              <w:rPr>
                <w:rFonts w:ascii="Arial" w:cs="Arial" w:eastAsia="Arial" w:hAnsi="Arial"/>
                <w:sz w:val="16"/>
                <w:szCs w:val="16"/>
                <w:color w:val="auto"/>
              </w:rPr>
              <w:t>December 31, 2022 and December 31, 2021; No shares issued and outstanding at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9"/>
        </w:trPr>
        <w:tc>
          <w:tcPr>
            <w:tcW w:w="6340" w:type="dxa"/>
            <w:vAlign w:val="bottom"/>
          </w:tcPr>
          <w:p>
            <w:pPr>
              <w:ind w:left="100"/>
              <w:spacing w:after="0"/>
              <w:rPr>
                <w:sz w:val="20"/>
                <w:szCs w:val="20"/>
                <w:color w:val="auto"/>
              </w:rPr>
            </w:pPr>
            <w:r>
              <w:rPr>
                <w:rFonts w:ascii="Arial" w:cs="Arial" w:eastAsia="Arial" w:hAnsi="Arial"/>
                <w:sz w:val="16"/>
                <w:szCs w:val="16"/>
                <w:color w:val="auto"/>
              </w:rPr>
              <w:t>December 31, 2022 and December 31, 2021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196"/>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Common stock, par value of $0.001 per share; 100,000,000 shares authorized at</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4"/>
              </w:rPr>
              <w:t>December 31, 2022 and December 31, 2021; 27,774,536 and 27,680,997 shares issued and</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2"/>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outstanding at December 31, 2022 and December 31, 2021, respectively</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8"/>
                <w:szCs w:val="18"/>
                <w:color w:val="auto"/>
              </w:rPr>
            </w:pPr>
          </w:p>
        </w:tc>
      </w:tr>
      <w:tr>
        <w:trPr>
          <w:trHeight w:val="203"/>
        </w:trPr>
        <w:tc>
          <w:tcPr>
            <w:tcW w:w="634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430,755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421,047</w:t>
            </w:r>
          </w:p>
        </w:tc>
        <w:tc>
          <w:tcPr>
            <w:tcW w:w="160" w:type="dxa"/>
            <w:vAlign w:val="bottom"/>
          </w:tcPr>
          <w:p>
            <w:pPr>
              <w:spacing w:after="0"/>
              <w:rPr>
                <w:sz w:val="17"/>
                <w:szCs w:val="17"/>
                <w:color w:val="auto"/>
              </w:rPr>
            </w:pPr>
          </w:p>
        </w:tc>
      </w:tr>
      <w:tr>
        <w:trPr>
          <w:trHeight w:val="203"/>
        </w:trPr>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60" w:type="dxa"/>
            <w:vAlign w:val="bottom"/>
            <w:shd w:val="clear" w:color="auto" w:fill="CCEEFF"/>
          </w:tcPr>
          <w:p>
            <w:pPr>
              <w:spacing w:after="0"/>
              <w:rPr>
                <w:sz w:val="17"/>
                <w:szCs w:val="17"/>
                <w:color w:val="auto"/>
              </w:rPr>
            </w:pPr>
          </w:p>
        </w:tc>
      </w:tr>
      <w:tr>
        <w:trPr>
          <w:trHeight w:val="203"/>
        </w:trPr>
        <w:tc>
          <w:tcPr>
            <w:tcW w:w="63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(261,759)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(187,026)</w:t>
            </w:r>
          </w:p>
        </w:tc>
        <w:tc>
          <w:tcPr>
            <w:tcW w:w="160" w:type="dxa"/>
            <w:vAlign w:val="bottom"/>
            <w:tcBorders>
              <w:bottom w:val="single" w:sz="8" w:color="CCEEFF"/>
            </w:tcBorders>
          </w:tcPr>
          <w:p>
            <w:pPr>
              <w:spacing w:after="0"/>
              <w:rPr>
                <w:sz w:val="17"/>
                <w:szCs w:val="17"/>
                <w:color w:val="auto"/>
              </w:rPr>
            </w:pPr>
          </w:p>
        </w:tc>
      </w:tr>
      <w:tr>
        <w:trPr>
          <w:trHeight w:val="196"/>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3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167,530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233,386</w:t>
            </w:r>
          </w:p>
        </w:tc>
        <w:tc>
          <w:tcPr>
            <w:tcW w:w="160" w:type="dxa"/>
            <w:vAlign w:val="bottom"/>
            <w:shd w:val="clear" w:color="auto" w:fill="CCEEFF"/>
          </w:tcPr>
          <w:p>
            <w:pPr>
              <w:spacing w:after="0"/>
              <w:rPr>
                <w:sz w:val="17"/>
                <w:szCs w:val="17"/>
                <w:color w:val="auto"/>
              </w:rPr>
            </w:pPr>
          </w:p>
        </w:tc>
      </w:tr>
      <w:tr>
        <w:trPr>
          <w:trHeight w:val="196"/>
        </w:trPr>
        <w:tc>
          <w:tcPr>
            <w:tcW w:w="634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184,161</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242,386</w:t>
            </w:r>
          </w:p>
        </w:tc>
        <w:tc>
          <w:tcPr>
            <w:tcW w:w="160" w:type="dxa"/>
            <w:vAlign w:val="bottom"/>
          </w:tcPr>
          <w:p>
            <w:pPr>
              <w:spacing w:after="0"/>
              <w:rPr>
                <w:sz w:val="17"/>
                <w:szCs w:val="17"/>
                <w:color w:val="auto"/>
              </w:rPr>
            </w:pPr>
          </w:p>
        </w:tc>
      </w:tr>
      <w:tr>
        <w:trPr>
          <w:trHeight w:val="20"/>
        </w:trPr>
        <w:tc>
          <w:tcPr>
            <w:tcW w:w="6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54,199</w:t>
            </w:r>
          </w:p>
        </w:tc>
        <w:tc>
          <w:tcPr>
            <w:tcW w:w="26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21,710</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75,909</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(74,733)</w:t>
            </w:r>
          </w:p>
        </w:tc>
        <w:tc>
          <w:tcPr>
            <w:tcW w:w="2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Arial" w:cs="Arial" w:eastAsia="Arial" w:hAnsi="Arial"/>
                <w:sz w:val="18"/>
                <w:szCs w:val="18"/>
                <w:color w:val="auto"/>
              </w:rPr>
              <w:t>Net loss per common share - basic and diluted</w:t>
            </w: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w:t>
            </w:r>
          </w:p>
        </w:tc>
        <w:tc>
          <w:tcPr>
            <w:tcW w:w="26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shares outstanding - basic and diluted</w:t>
            </w: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27,744,209</w:t>
            </w:r>
          </w:p>
        </w:tc>
        <w:tc>
          <w:tcPr>
            <w:tcW w:w="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27,615,977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(74,733)</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120"/>
              <w:spacing w:after="0"/>
              <w:rPr>
                <w:sz w:val="20"/>
                <w:szCs w:val="20"/>
                <w:color w:val="auto"/>
              </w:rPr>
            </w:pPr>
            <w:r>
              <w:rPr>
                <w:rFonts w:ascii="Arial" w:cs="Arial" w:eastAsia="Arial" w:hAnsi="Arial"/>
                <w:sz w:val="18"/>
                <w:szCs w:val="18"/>
                <w:color w:val="auto"/>
              </w:rPr>
              <w:t>Unrealized (loss) on marketable securities</w:t>
            </w:r>
          </w:p>
        </w:tc>
        <w:tc>
          <w:tcPr>
            <w:tcW w:w="2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(831)</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(75,564)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31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5"/>
          </w:tcPr>
          <w:p>
            <w:pPr>
              <w:ind w:left="580"/>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10"/>
        </w:trPr>
        <w:tc>
          <w:tcPr>
            <w:tcW w:w="3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5"/>
              </w:rPr>
              <w:t>Additional</w:t>
            </w:r>
          </w:p>
        </w:tc>
        <w:tc>
          <w:tcPr>
            <w:tcW w:w="1260" w:type="dxa"/>
            <w:vAlign w:val="bottom"/>
            <w:gridSpan w:val="3"/>
          </w:tcPr>
          <w:p>
            <w:pPr>
              <w:jc w:val="center"/>
              <w:ind w:right="120"/>
              <w:spacing w:after="0" w:line="110" w:lineRule="exact"/>
              <w:rPr>
                <w:sz w:val="20"/>
                <w:szCs w:val="20"/>
                <w:color w:val="auto"/>
              </w:rPr>
            </w:pPr>
            <w:r>
              <w:rPr>
                <w:rFonts w:ascii="Arial" w:cs="Arial" w:eastAsia="Arial" w:hAnsi="Arial"/>
                <w:sz w:val="12"/>
                <w:szCs w:val="12"/>
                <w:b w:val="1"/>
                <w:bCs w:val="1"/>
                <w:color w:val="auto"/>
                <w:w w:val="95"/>
              </w:rPr>
              <w:t>Accumulated Other</w:t>
            </w: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53"/>
        </w:trPr>
        <w:tc>
          <w:tcPr>
            <w:tcW w:w="3120" w:type="dxa"/>
            <w:vAlign w:val="bottom"/>
          </w:tcPr>
          <w:p>
            <w:pPr>
              <w:spacing w:after="0"/>
              <w:rPr>
                <w:sz w:val="13"/>
                <w:szCs w:val="13"/>
                <w:color w:val="auto"/>
              </w:rPr>
            </w:pPr>
          </w:p>
        </w:tc>
        <w:tc>
          <w:tcPr>
            <w:tcW w:w="158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3"/>
                <w:szCs w:val="13"/>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b w:val="1"/>
                <w:bCs w:val="1"/>
                <w:color w:val="auto"/>
                <w:w w:val="88"/>
              </w:rPr>
              <w:t>Stockholders’</w:t>
            </w:r>
          </w:p>
        </w:tc>
      </w:tr>
      <w:tr>
        <w:trPr>
          <w:trHeight w:val="128"/>
        </w:trPr>
        <w:tc>
          <w:tcPr>
            <w:tcW w:w="3120" w:type="dxa"/>
            <w:vAlign w:val="bottom"/>
          </w:tcPr>
          <w:p>
            <w:pPr>
              <w:spacing w:after="0"/>
              <w:rPr>
                <w:sz w:val="11"/>
                <w:szCs w:val="11"/>
                <w:color w:val="auto"/>
              </w:rPr>
            </w:pPr>
          </w:p>
        </w:tc>
        <w:tc>
          <w:tcPr>
            <w:tcW w:w="780" w:type="dxa"/>
            <w:vAlign w:val="bottom"/>
          </w:tcPr>
          <w:p>
            <w:pPr>
              <w:jc w:val="right"/>
              <w:ind w:right="13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1"/>
                <w:szCs w:val="11"/>
                <w:color w:val="auto"/>
              </w:rPr>
            </w:pPr>
          </w:p>
        </w:tc>
        <w:tc>
          <w:tcPr>
            <w:tcW w:w="116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6"/>
              </w:rPr>
              <w:t>(Loss) Income</w:t>
            </w:r>
          </w:p>
        </w:tc>
        <w:tc>
          <w:tcPr>
            <w:tcW w:w="120" w:type="dxa"/>
            <w:vAlign w:val="bottom"/>
          </w:tcPr>
          <w:p>
            <w:pPr>
              <w:spacing w:after="0"/>
              <w:rPr>
                <w:sz w:val="11"/>
                <w:szCs w:val="11"/>
                <w:color w:val="auto"/>
              </w:rPr>
            </w:pPr>
          </w:p>
        </w:tc>
        <w:tc>
          <w:tcPr>
            <w:tcW w:w="1020" w:type="dxa"/>
            <w:vAlign w:val="bottom"/>
            <w:gridSpan w:val="2"/>
          </w:tcPr>
          <w:p>
            <w:pPr>
              <w:jc w:val="right"/>
              <w:ind w:right="440"/>
              <w:spacing w:after="0" w:line="129"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920" w:type="dxa"/>
            <w:vAlign w:val="bottom"/>
          </w:tcPr>
          <w:p>
            <w:pPr>
              <w:jc w:val="right"/>
              <w:ind w:right="257"/>
              <w:spacing w:after="0" w:line="129" w:lineRule="exact"/>
              <w:rPr>
                <w:sz w:val="20"/>
                <w:szCs w:val="20"/>
                <w:color w:val="auto"/>
              </w:rPr>
            </w:pPr>
            <w:r>
              <w:rPr>
                <w:rFonts w:ascii="Arial" w:cs="Arial" w:eastAsia="Arial" w:hAnsi="Arial"/>
                <w:sz w:val="13"/>
                <w:szCs w:val="13"/>
                <w:b w:val="1"/>
                <w:bCs w:val="1"/>
                <w:color w:val="auto"/>
              </w:rPr>
              <w:t>Equity</w:t>
            </w:r>
          </w:p>
        </w:tc>
      </w:tr>
      <w:tr>
        <w:trPr>
          <w:trHeight w:val="128"/>
        </w:trPr>
        <w:tc>
          <w:tcPr>
            <w:tcW w:w="31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2020</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27,568,802</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545"/>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28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410,551</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(117,637)</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293,721</w:t>
            </w:r>
          </w:p>
        </w:tc>
      </w:tr>
      <w:tr>
        <w:trPr>
          <w:trHeight w:val="135"/>
        </w:trPr>
        <w:tc>
          <w:tcPr>
            <w:tcW w:w="312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10,288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10,288</w:t>
            </w:r>
          </w:p>
        </w:tc>
      </w:tr>
      <w:tr>
        <w:trPr>
          <w:trHeight w:val="135"/>
        </w:trPr>
        <w:tc>
          <w:tcPr>
            <w:tcW w:w="31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112,195</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208</w:t>
            </w:r>
          </w:p>
        </w:tc>
      </w:tr>
      <w:tr>
        <w:trPr>
          <w:trHeight w:val="135"/>
        </w:trPr>
        <w:tc>
          <w:tcPr>
            <w:tcW w:w="3120" w:type="dxa"/>
            <w:vAlign w:val="bottom"/>
          </w:tcPr>
          <w:p>
            <w:pPr>
              <w:ind w:left="100"/>
              <w:spacing w:after="0" w:line="135" w:lineRule="exact"/>
              <w:rPr>
                <w:sz w:val="20"/>
                <w:szCs w:val="20"/>
                <w:color w:val="auto"/>
              </w:rPr>
            </w:pPr>
            <w:r>
              <w:rPr>
                <w:rFonts w:ascii="Arial" w:cs="Arial" w:eastAsia="Arial" w:hAnsi="Arial"/>
                <w:sz w:val="13"/>
                <w:szCs w:val="13"/>
                <w:color w:val="auto"/>
                <w:w w:val="96"/>
              </w:rPr>
              <w:t>Unrealized loss on marketable securities, net of tax $0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(1,442)</w:t>
            </w:r>
          </w:p>
        </w:tc>
        <w:tc>
          <w:tcPr>
            <w:tcW w:w="12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(1,442)</w:t>
            </w:r>
          </w:p>
        </w:tc>
      </w:tr>
      <w:tr>
        <w:trPr>
          <w:trHeight w:val="135"/>
        </w:trPr>
        <w:tc>
          <w:tcPr>
            <w:tcW w:w="31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(69,389)</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(69,389)</w:t>
            </w:r>
          </w:p>
        </w:tc>
      </w:tr>
      <w:tr>
        <w:trPr>
          <w:trHeight w:val="128"/>
        </w:trPr>
        <w:tc>
          <w:tcPr>
            <w:tcW w:w="31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Balance as of December 31, 2021</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27,680,997</w:t>
            </w:r>
          </w:p>
        </w:tc>
        <w:tc>
          <w:tcPr>
            <w:tcW w:w="14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28</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421,047</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(663)</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(187,026)</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233,386</w:t>
            </w:r>
          </w:p>
        </w:tc>
      </w:tr>
      <w:tr>
        <w:trPr>
          <w:trHeight w:val="128"/>
        </w:trPr>
        <w:tc>
          <w:tcPr>
            <w:tcW w:w="3120" w:type="dxa"/>
            <w:vAlign w:val="bottom"/>
            <w:shd w:val="clear" w:color="auto" w:fill="CCEEFF"/>
          </w:tcPr>
          <w:p>
            <w:pPr>
              <w:ind w:left="100"/>
              <w:spacing w:after="0" w:line="129" w:lineRule="exact"/>
              <w:rPr>
                <w:sz w:val="20"/>
                <w:szCs w:val="20"/>
                <w:color w:val="auto"/>
              </w:rPr>
            </w:pPr>
            <w:r>
              <w:rPr>
                <w:rFonts w:ascii="Arial" w:cs="Arial" w:eastAsia="Arial" w:hAnsi="Arial"/>
                <w:sz w:val="13"/>
                <w:szCs w:val="13"/>
                <w:color w:val="auto"/>
              </w:rPr>
              <w:t>Stock-based compensation</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9,508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9,508</w:t>
            </w:r>
          </w:p>
        </w:tc>
      </w:tr>
      <w:tr>
        <w:trPr>
          <w:trHeight w:val="135"/>
        </w:trPr>
        <w:tc>
          <w:tcPr>
            <w:tcW w:w="3120" w:type="dxa"/>
            <w:vAlign w:val="bottom"/>
          </w:tcPr>
          <w:p>
            <w:pPr>
              <w:ind w:left="100"/>
              <w:spacing w:after="0" w:line="135" w:lineRule="exact"/>
              <w:rPr>
                <w:sz w:val="20"/>
                <w:szCs w:val="20"/>
                <w:color w:val="auto"/>
              </w:rPr>
            </w:pPr>
            <w:r>
              <w:rPr>
                <w:rFonts w:ascii="Arial" w:cs="Arial" w:eastAsia="Arial" w:hAnsi="Arial"/>
                <w:sz w:val="13"/>
                <w:szCs w:val="13"/>
                <w:color w:val="auto"/>
              </w:rPr>
              <w:t>Exercise of stock options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50,420</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66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66</w:t>
            </w:r>
          </w:p>
        </w:tc>
      </w:tr>
      <w:tr>
        <w:trPr>
          <w:trHeight w:val="135"/>
        </w:trPr>
        <w:tc>
          <w:tcPr>
            <w:tcW w:w="31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Issuance of shares under ESPP</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43,119</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w:t>
            </w:r>
          </w:p>
        </w:tc>
      </w:tr>
      <w:tr>
        <w:trPr>
          <w:trHeight w:val="135"/>
        </w:trPr>
        <w:tc>
          <w:tcPr>
            <w:tcW w:w="3120" w:type="dxa"/>
            <w:vAlign w:val="bottom"/>
          </w:tcPr>
          <w:p>
            <w:pPr>
              <w:ind w:left="100"/>
              <w:spacing w:after="0" w:line="135" w:lineRule="exact"/>
              <w:rPr>
                <w:sz w:val="20"/>
                <w:szCs w:val="20"/>
                <w:color w:val="auto"/>
              </w:rPr>
            </w:pPr>
            <w:r>
              <w:rPr>
                <w:rFonts w:ascii="Arial" w:cs="Arial" w:eastAsia="Arial" w:hAnsi="Arial"/>
                <w:sz w:val="13"/>
                <w:szCs w:val="13"/>
                <w:color w:val="auto"/>
                <w:w w:val="96"/>
              </w:rPr>
              <w:t>Unrealized loss on marketable securities, net of tax $0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(831)</w:t>
            </w:r>
          </w:p>
        </w:tc>
        <w:tc>
          <w:tcPr>
            <w:tcW w:w="12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(831)</w:t>
            </w:r>
          </w:p>
        </w:tc>
      </w:tr>
      <w:tr>
        <w:trPr>
          <w:trHeight w:val="135"/>
        </w:trPr>
        <w:tc>
          <w:tcPr>
            <w:tcW w:w="31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(74,733)</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(74,733)</w:t>
            </w:r>
          </w:p>
        </w:tc>
      </w:tr>
      <w:tr>
        <w:trPr>
          <w:trHeight w:val="128"/>
        </w:trPr>
        <w:tc>
          <w:tcPr>
            <w:tcW w:w="3120" w:type="dxa"/>
            <w:vAlign w:val="bottom"/>
          </w:tcPr>
          <w:p>
            <w:pPr>
              <w:spacing w:after="0" w:line="129" w:lineRule="exact"/>
              <w:rPr>
                <w:sz w:val="20"/>
                <w:szCs w:val="20"/>
                <w:color w:val="auto"/>
              </w:rPr>
            </w:pPr>
            <w:r>
              <w:rPr>
                <w:rFonts w:ascii="Arial" w:cs="Arial" w:eastAsia="Arial" w:hAnsi="Arial"/>
                <w:sz w:val="13"/>
                <w:szCs w:val="13"/>
                <w:color w:val="auto"/>
              </w:rPr>
              <w:t>Balance as of December 31, 2022</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27,774,536</w:t>
            </w:r>
          </w:p>
        </w:tc>
        <w:tc>
          <w:tcPr>
            <w:tcW w:w="1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28</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430,755</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(1,494)</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(261,759)</w:t>
            </w: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167,530</w:t>
            </w:r>
          </w:p>
        </w:tc>
      </w:tr>
      <w:tr>
        <w:trPr>
          <w:trHeight w:val="20"/>
        </w:trPr>
        <w:tc>
          <w:tcPr>
            <w:tcW w:w="3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Year Ended</w:t>
      </w:r>
    </w:p>
    <w:p>
      <w:pPr>
        <w:ind w:left="74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(74,733)</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premiums and discounts on marketable securities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operating lease expense</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00"/>
              <w:spacing w:after="0"/>
              <w:rPr>
                <w:sz w:val="20"/>
                <w:szCs w:val="20"/>
                <w:color w:val="auto"/>
              </w:rPr>
            </w:pPr>
            <w:r>
              <w:rPr>
                <w:rFonts w:ascii="Arial" w:cs="Arial" w:eastAsia="Arial" w:hAnsi="Arial"/>
                <w:sz w:val="18"/>
                <w:szCs w:val="18"/>
                <w:color w:val="auto"/>
              </w:rPr>
              <w:t>Accrued liabilities and other liabilities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long-term liabilities</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cash used in operating activities</w:t>
            </w: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(53,886)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Arial" w:cs="Arial" w:eastAsia="Arial" w:hAnsi="Arial"/>
                <w:sz w:val="18"/>
                <w:szCs w:val="18"/>
                <w:color w:val="auto"/>
              </w:rPr>
              <w:t>Sales and maturities of marketable securities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104,739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Purchases of marketable securities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investing activities</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67,979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exercise of stock options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80"/>
              <w:spacing w:after="0"/>
              <w:rPr>
                <w:sz w:val="20"/>
                <w:szCs w:val="20"/>
                <w:color w:val="auto"/>
              </w:rPr>
            </w:pPr>
            <w:r>
              <w:rPr>
                <w:rFonts w:ascii="Arial" w:cs="Arial" w:eastAsia="Arial" w:hAnsi="Arial"/>
                <w:sz w:val="18"/>
                <w:szCs w:val="18"/>
                <w:color w:val="auto"/>
              </w:rPr>
              <w:t>Proceeds from shares issued under ESPP</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Payments of the term loan</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cash provided by (used in) financing activities</w:t>
            </w: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 beginning of period</w:t>
            </w: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for interest</w:t>
            </w:r>
          </w:p>
        </w:tc>
        <w:tc>
          <w:tcPr>
            <w:tcW w:w="9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40" w:type="dxa"/>
            <w:vAlign w:val="bottom"/>
          </w:tcPr>
          <w:p>
            <w:pPr>
              <w:ind w:left="8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9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6,047</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Borders>
              <w:top w:val="single" w:sz="8" w:color="CCEEFF"/>
              <w:bottom w:val="single" w:sz="8" w:color="CCEEFF"/>
            </w:tcBorders>
            <w:shd w:val="clear" w:color="auto" w:fill="CCEEFF"/>
          </w:tcPr>
          <w:p>
            <w:pPr>
              <w:ind w:left="80"/>
              <w:spacing w:after="0" w:line="190" w:lineRule="exact"/>
              <w:rPr>
                <w:sz w:val="20"/>
                <w:szCs w:val="20"/>
                <w:color w:val="auto"/>
              </w:rPr>
            </w:pPr>
            <w:r>
              <w:rPr>
                <w:rFonts w:ascii="Arial" w:cs="Arial" w:eastAsia="Arial" w:hAnsi="Arial"/>
                <w:sz w:val="18"/>
                <w:szCs w:val="18"/>
                <w:color w:val="auto"/>
              </w:rPr>
              <w:t>Recognition of initial lease liabilities</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7,549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NextCure, Inc. (“NextCure” or the “Company”) was incorporated in Delaware in September 2015 and is headquartered in Beltsville, Maryland. The Company is a clinical-stage biopharmaceutical company committed to discovering and developing novel, first-in-class immunomedicines to treat cancer and other immune-related diseases by restoring normal immune function. Through its proprietary Functional, Integrated, NextCure Discovery in Immuno-Oncology (“FIND-IO”) platform, the Company studies various immune cells in order to discover and understand targets and structural components of immune cells and their functional impact in order to develop immunomedicines. Since inception, the Company has devoted substantially all of its efforts and financial resources to organizing and staffing the Company, identifying business development opportunities, raising capital, securing intellectual property rights related to the Company’s product candidates, building and optimizing the Company’s manufacturing capabilities and conducting discovery, research and development activities for the Company’s product candidates, discovery programs and its FIND-IO platform.</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Public Offerings of Common Stock</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On May 13, 2019, the Company closed its initial public offering (“IPO”), in which the Company issued and sold 5,750,000 shares of common stock at a public offering price of $15.00 per share, for net proceeds to the Company of approximately $77.0 million after deducting underwriting discounts and commissions of $6.0 million and offering expenses of $3.4 million.</w:t>
      </w:r>
    </w:p>
    <w:p>
      <w:pPr>
        <w:spacing w:after="0" w:line="187"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In preparation for the IPO, on May 3, 2019, the Company effected a 1-for-8.0338 reverse stock split of its issued and outstanding common stock. The par value and authorized shares of common stock were not adjusted as a result of the reverse stock split. All of the share and per share information presented in the accompanying financial statements has been adjusted to reflect the reverse common stock split on a retroactive basis for all periods and as of all dates presented.</w:t>
      </w:r>
    </w:p>
    <w:p>
      <w:pPr>
        <w:spacing w:after="0" w:line="157"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Upon the closing of the IPO, all of the outstanding shares of the Company’s convertible preferred stock automatically converted into 15,560,569 shares of common stock at the applicable conversion ratio then in effect. Subsequent to the closing of the IPO, there were no shares of preferred stock outstanding. Additionally, the Company’s certificate of incorporation was amended and restated to provide for 100,000,000 authorized shares of common stock with a par value of $0.001 per share and 10,000,000 authorized shares of preferred stock with a par value of $0.001 per share.</w:t>
      </w:r>
    </w:p>
    <w:p>
      <w:pPr>
        <w:spacing w:after="0" w:line="16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November 19, 2019, the Company completed an underwritten public offering, in which the Company issued and sold 4,077,192 shares of common stock at a public offering price of $36.75 per share. On December 2, 2019, the underwriters exercised in full their option to purchase an additional 611,578 shares of common stock at the public offering price of $36.75, for total net proceeds to the Company of $160.9 million after deducting underwriting discounts and commissions of $10.3 million and offering expenses of $1.0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has not generated any revenue to date from product sales and does not expect to generate any revenues from product sales in the foreseeable future. Through December 2022, the Company has funded its operations primarily with proceeds from public offerings of its common stock, private placements of its preferred stock and upfront fees received under the Company’s former agreement with Eli Lilly and Company. The Company expects to incur additional operating losses and negative operating cash flows for the foreseeable future.</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of the issuance date of the financial statements for the year ended December 31, 2022, the Company expects that its cash and cash equivalents will be sufficient to fund its operating expenses and capital expenditure requirements to mid-2025. The future viability of the Company beyond that date may depend on its ability to raise additional capital to finance its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Company plans to seek additional funding through public or private equity offerings, debt financings, marketing and distribution arrangements, other collaborations, strategic alliances, licensing arrangements or other methods.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9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Although management continues to pursue these funding plans, there is no assurance that the Company will be successful in obtaining sufficient funding on terms acceptable to the Company, if at all, to fund continuing operations past two years from the issuance date of these financial statements.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5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Company is subject to risks common to early-stage companies in the biotechnology industry including, but not limited to: having a limited operating history and no products approved for commercial sale; having a history of significant losses; its need to obtain additional financing; dependence on its ability to advance its current and future product candidates through clinical trials, marketing approval and commercialization; the unproven approach to the discovery and development of product candidates based on the Company’s FIND-IO platform; the lengthy and expensive nature and uncertain outcomes of the clinical development process; the lengthy, time-consuming and unpredictable nature of the regulatory approval process; the results of preclinical studies and early-stage clinical trials that may not be predictive of future results; dependence on its key personnel; its limited manufacturing experience as an organization and with its manufacturing facility; risks related to patent protection and the Company’s pending patent applications; dependence on third-party collaborators for the discovery, development and commercialization of current and future product candidates; and significant competition from other biotechnology and pharmaceutical companies. Pursuit of the Company’s business efforts will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w:t>
      </w:r>
    </w:p>
    <w:p>
      <w:pPr>
        <w:spacing w:after="0" w:line="15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impact of the COVID-19 pandemic (including the impact of emerging variant strains of the COVID-19 virus) on the Company’s business and financial performance is uncertain and depends on various factors, including the scope and duration of the pandemic, the efficacy and global distribution of vaccines, government restrictions and other actions, including relief measures, implemented to address the impact of the pandemic, and resulting impacts on the financial markets and overall economy. The imposition of “lockdown,” “social distancing” and “shelter in place” directives and other restrictions on business operations, travel and gatherings by state and federal governments in the United States, as well as governments in other regions of the world in response to the COVID-19 pandemic, has placed significant strain on the Company’s clinical trial sites, has raised concerns around monitoring patient safety, and has caused enrollment to slow in the Company’s clinical trials. Any rise of COVID-19 infection rates, especially in the United States, could continue to negatively affect enrollment going forward. The Company continues to closely monitor the COVID-19 situation and any potential impact to the Company’s planned activities.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Operating segments are defined as components of an entity about which separate discrete information is available for evaluation by the chief operating decision maker, or decision-making group, in deciding how to allocate resources and in assessing performance. The chief operating decision maker views the operations and manage the business in one operating segment that operates exclusively in the United States.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accompanying financial statements include the accounts of the Company. The Company’s financial statements have been prepared in accordance with United States generally accepted accounting principles (‘‘GAAP’’). Any reference in these notes to applicable guidance is meant to refer to the authoritative GAAP as found in the Accounting</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Standards Codification (‘‘ASC’’) and Accounting Standards Update (‘‘ASU’’) of the Financial Accounting Standards Board (‘‘FASB’’).</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financial statements and accompanying notes. These estimates and assumptions affect the reported amounts of assets and liabilities, the disclosure of contingent assets and liabilities at the date of the financial statements and the reported amounts of revenues and expenses for the period presented. Although actual results could differ from those estimates, management does not believe that such differences would be material.</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jc w:val="both"/>
        <w:ind w:left="60" w:right="79" w:firstLine="648"/>
        <w:spacing w:after="0" w:line="311"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 The Company deposits its cash primarily in checking, sweep account and money market accounts. Cash equivalents are stated at amortized cost, plus accrued interest, which approximates fair value.</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98"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In August 2021, the Company fully paid the remaining principal balance of $2.4 million of its $5.0 million term loan (the “Term Loan”). As a result of this payment, the Company has no restricted cash held in support of the Term Loan.</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Marketable securities primarily consist of government debt securities, corporate bonds and agency bonds. These marketable securities are classified as available-for-sale, and as such, are carried at fair value as determined by prices for identical or similar securities at the balance sheet date. Marketable securities consist of Level 2 financial instruments in the fair-value hierarchy. The Company’s policy is to classify all investments with contractual maturities within one year as current. At each reporting date, the Company evaluates the classification of its investments with maturities beyond one year based on the nature of the investment securities and whether the investments are considered available for use in current operations. Investment income is recognized when earned and reported net of investment expenses. Unrealized holding gains and losses are reported within accumulated other comprehensive income (loss) as a separate component of stockholders’ equity. The amortized cost of debt securities is adjusted for amortization of premiums and accretion of discounts to maturity. Such amortization and interest on securities are included in other income, net, on the Company’s statements of operations.</w:t>
      </w:r>
    </w:p>
    <w:p>
      <w:pPr>
        <w:spacing w:after="0" w:line="18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At each balance sheet date, the Company assesses available-for-sale securities in an unrealized loss position to determine whether the unrealized loss is other-than-temporary. If a decline in the fair value of a marketable security below the Company’s cost basis is determined to be other-than-temporary, such marketable security is written down to its estimated fair value as a new cost basis and the amount of the write-down is included in earnings as an impairment charge. The Company considers factors including the significance of the decline in value compared to the cost basis, underlying factors contributing to a decline in the prices of securities in a single asset class, the length of time the market value of the security has been less than its cost basis, the security's relative performance versus its peers, sector or asset class, expected market volatility and the market and economy in general. The Company also evaluates whether it is more likely than not that it will be required to sell a security prior to recovery of its fair value. The cost of securities sold is based on the specific identification method.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Financial instruments that potentially expose the Company to concentrations of credit risk primarily consist of cash and cash equivalents. The Company maintains its cash and cash equivalents at one accredited financial institution that is federally insured. While balances deposited often exceed federally insured limits, the Company does not believe that it is subject to unusual credit risk beyond the normal credit risk associated with commercial banking relationships. The Company's investment policy limits investments to certain types of debt securities issued by the U.S. government, its agencies and institutions with investment-grade credit ratings and places restrictions on maturities and concentration by type and issuer. The counterparties are various corporations, financial institutions and government agencies of high credit standing.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value hierarchy that distinguishes between the following:</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Level 3—Unobservable inputs developed using estimates of assumptions developed by the Company, which reflect those that a market participant would use. Use of these inputs involves significant and subjective judgments to be made by a reporting entity – e.g., determining an appropriate adjustment to a discount factor for illiquidity associated with a given security.</w:t>
      </w:r>
    </w:p>
    <w:p>
      <w:pPr>
        <w:spacing w:after="0" w:line="187"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Property and equipment are valued at cost less accumulated depreciation. Depreciation is recognized on a straight-line basis over the estimated useful lives of the related assets. Leasehold improvements are amortized on a straight-line basis over the shorter of the useful life or term of the lease. Upon retirement or disposal, the cost and related accumulated depreciation are removed from the balance sheet and the resulting gain or loss is recorded to general and administrative expenses in the accompanying statement of operations and comprehensive loss. Routine expenditures for maintenance and repairs are expensed as incurred.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Estimated useful lives for property and equipment are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100" w:type="dxa"/>
            <w:vAlign w:val="bottom"/>
            <w:vMerge w:val="restart"/>
          </w:tcPr>
          <w:p>
            <w:pPr>
              <w:spacing w:after="0"/>
              <w:rPr>
                <w:sz w:val="20"/>
                <w:szCs w:val="20"/>
                <w:color w:val="auto"/>
              </w:rPr>
            </w:pPr>
            <w:r>
              <w:rPr>
                <w:rFonts w:ascii="Arial" w:cs="Arial" w:eastAsia="Arial" w:hAnsi="Arial"/>
                <w:sz w:val="18"/>
                <w:szCs w:val="18"/>
                <w:color w:val="auto"/>
              </w:rPr>
              <w:t>Computers and peripherals</w:t>
            </w:r>
          </w:p>
        </w:tc>
        <w:tc>
          <w:tcPr>
            <w:tcW w:w="4020" w:type="dxa"/>
            <w:vAlign w:val="bottom"/>
            <w:tcBorders>
              <w:bottom w:val="single" w:sz="8" w:color="auto"/>
            </w:tcBorders>
          </w:tcPr>
          <w:p>
            <w:pPr>
              <w:jc w:val="right"/>
              <w:ind w:right="1254"/>
              <w:spacing w:after="0"/>
              <w:rPr>
                <w:sz w:val="20"/>
                <w:szCs w:val="20"/>
                <w:color w:val="auto"/>
              </w:rPr>
            </w:pPr>
            <w:r>
              <w:rPr>
                <w:rFonts w:ascii="Arial" w:cs="Arial" w:eastAsia="Arial" w:hAnsi="Arial"/>
                <w:sz w:val="14"/>
                <w:szCs w:val="14"/>
                <w:b w:val="1"/>
                <w:bCs w:val="1"/>
                <w:color w:val="auto"/>
              </w:rPr>
              <w:t>Estimated Useful Life</w:t>
            </w:r>
          </w:p>
        </w:tc>
        <w:tc>
          <w:tcPr>
            <w:tcW w:w="0" w:type="dxa"/>
            <w:vAlign w:val="bottom"/>
          </w:tcPr>
          <w:p>
            <w:pPr>
              <w:spacing w:after="0"/>
              <w:rPr>
                <w:sz w:val="1"/>
                <w:szCs w:val="1"/>
                <w:color w:val="auto"/>
              </w:rPr>
            </w:pPr>
          </w:p>
        </w:tc>
      </w:tr>
      <w:tr>
        <w:trPr>
          <w:trHeight w:val="195"/>
        </w:trPr>
        <w:tc>
          <w:tcPr>
            <w:tcW w:w="3100" w:type="dxa"/>
            <w:vAlign w:val="bottom"/>
            <w:vMerge w:val="continue"/>
          </w:tcPr>
          <w:p>
            <w:pPr>
              <w:spacing w:after="0"/>
              <w:rPr>
                <w:sz w:val="16"/>
                <w:szCs w:val="16"/>
                <w:color w:val="auto"/>
              </w:rPr>
            </w:pPr>
          </w:p>
        </w:tc>
        <w:tc>
          <w:tcPr>
            <w:tcW w:w="4020" w:type="dxa"/>
            <w:vAlign w:val="bottom"/>
          </w:tcPr>
          <w:p>
            <w:pPr>
              <w:jc w:val="right"/>
              <w:spacing w:after="0" w:line="195" w:lineRule="exact"/>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Equipment</w:t>
            </w:r>
          </w:p>
        </w:tc>
        <w:tc>
          <w:tcPr>
            <w:tcW w:w="4020" w:type="dxa"/>
            <w:vAlign w:val="bottom"/>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020" w:type="dxa"/>
            <w:vAlign w:val="bottom"/>
          </w:tcPr>
          <w:p>
            <w:pPr>
              <w:jc w:val="right"/>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020" w:type="dxa"/>
            <w:vAlign w:val="bottom"/>
          </w:tcPr>
          <w:p>
            <w:pPr>
              <w:jc w:val="right"/>
              <w:spacing w:after="0"/>
              <w:rPr>
                <w:sz w:val="20"/>
                <w:szCs w:val="20"/>
                <w:color w:val="auto"/>
              </w:rPr>
            </w:pPr>
            <w:r>
              <w:rPr>
                <w:rFonts w:ascii="Arial" w:cs="Arial" w:eastAsia="Arial" w:hAnsi="Arial"/>
                <w:sz w:val="18"/>
                <w:szCs w:val="18"/>
                <w:color w:val="auto"/>
                <w:w w:val="91"/>
              </w:rPr>
              <w:t>Lesser of estimated useful life or remaining lease term</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reviews long-lived assets, which primarily consist of property and equipment, for impairment whenever events or changes in circumstances indicate that the carrying amount of an asset or group of assets may not be fully recoverable based on the criteria for accounting for the impairment or disposal of long-lived assets under ASC Topic 360, Property, Plant and Equipment. These events or changes in circumstances may include a significant deterioration of operating results, changes in business plans, or changes in anticipated future cash flows. If an impairment indicator is present, the Company evaluates recoverability by comparing the carrying amount of the assets group to future undiscounted net cash flows expected to be generated by the assets group. Assets are grouped at the lowest level for which there is identifiable cash flows that are largely independent of the cash flows generated by other asset groups. If the total of the expected undiscounted future cash flows is less than the carrying amount of the asset, an impairment loss is recognized for the difference between the fair value and carrying value of assets within the group. Fair value is generally determined by estimates of discounted cash flows. The discount rate used in any estimate of discounted cash flows would</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be the rate required for a similar investment of like risk. No impairment losses were recognized during the years ended December 31, 2022 or 2021.</w:t>
      </w:r>
    </w:p>
    <w:p>
      <w:pPr>
        <w:spacing w:after="0" w:line="170"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Construction in progress (Note 5) is carried at cost and consists of specifically identifiable direct and indirect development and construction costs. While under construction, costs of the property are included in construction in progress until the property is placed in service, at which time costs are transferred to the appropriate property and equipment account including, but not limited to, leasehold improvements or other such accounts.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6"/>
          <w:szCs w:val="16"/>
          <w:color w:val="auto"/>
        </w:rPr>
        <w:t xml:space="preserve">On January 1, 2022 (Adoption Date), the Company adopted Accounting Standards Update (ASU) No. 2016-02, </w:t>
      </w:r>
      <w:r>
        <w:rPr>
          <w:rFonts w:ascii="Arial" w:cs="Arial" w:eastAsia="Arial" w:hAnsi="Arial"/>
          <w:sz w:val="16"/>
          <w:szCs w:val="16"/>
          <w:i w:val="1"/>
          <w:iCs w:val="1"/>
          <w:color w:val="auto"/>
        </w:rPr>
        <w:t xml:space="preserve">Leases </w:t>
      </w:r>
      <w:r>
        <w:rPr>
          <w:rFonts w:ascii="Arial" w:cs="Arial" w:eastAsia="Arial" w:hAnsi="Arial"/>
          <w:sz w:val="16"/>
          <w:szCs w:val="16"/>
          <w:color w:val="auto"/>
        </w:rPr>
        <w:t>(Topic 842) (ASU No. 2016-02), as amended, using the modified retrospective approach, which provides a method</w:t>
      </w:r>
      <w:r>
        <w:rPr>
          <w:rFonts w:ascii="Arial" w:cs="Arial" w:eastAsia="Arial" w:hAnsi="Arial"/>
          <w:sz w:val="16"/>
          <w:szCs w:val="16"/>
          <w:i w:val="1"/>
          <w:iCs w:val="1"/>
          <w:color w:val="auto"/>
        </w:rPr>
        <w:t xml:space="preserve"> </w:t>
      </w:r>
      <w:r>
        <w:rPr>
          <w:rFonts w:ascii="Arial" w:cs="Arial" w:eastAsia="Arial" w:hAnsi="Arial"/>
          <w:sz w:val="16"/>
          <w:szCs w:val="16"/>
          <w:color w:val="auto"/>
        </w:rPr>
        <w:t>for recording existing leases at adoption and does not require restating comparative financial information. The Company also elected the package of practical expedients permitted under the transition guidance under ASU No. 2016-02, which among other things, permits the Company to maintain the lease classification for any existing leases, as well as maintain the Company’s determination on whether any expired or existing contracts are or contain leases and initial direct costs for any existing leases. The Company did not elect the hindsight practical expedient to determine the lease term for existing leases. In addition, the Company elected the additional transition method permitted under ASU No. 2018-11‒Leases (Topic 842): Targeted Improvements, under which the Company initially applied the new lease standard, Accounting Standards Codification (ASC) 842, at adoption and there was no cumulative-effect adjustment to the opening balance of retained earnings on January 1, 2022. For the comparative period presented in these financial statements, lease-related disclosures continue to be in accordance with the legacy ASC 840. Adoption of ASC 842 did not materially impact the Company’s statements of operations and cash flows.</w:t>
      </w:r>
    </w:p>
    <w:p>
      <w:pPr>
        <w:spacing w:after="0" w:line="174" w:lineRule="exact"/>
        <w:rPr>
          <w:sz w:val="20"/>
          <w:szCs w:val="20"/>
          <w:color w:val="auto"/>
        </w:rPr>
      </w:pPr>
    </w:p>
    <w:p>
      <w:pPr>
        <w:ind w:left="60" w:right="159" w:firstLine="324"/>
        <w:spacing w:after="0" w:line="291" w:lineRule="auto"/>
        <w:rPr>
          <w:sz w:val="20"/>
          <w:szCs w:val="20"/>
          <w:color w:val="auto"/>
        </w:rPr>
      </w:pPr>
      <w:r>
        <w:rPr>
          <w:rFonts w:ascii="Arial" w:cs="Arial" w:eastAsia="Arial" w:hAnsi="Arial"/>
          <w:sz w:val="16"/>
          <w:szCs w:val="16"/>
          <w:color w:val="auto"/>
        </w:rPr>
        <w:t>The Company determines if an arrangement is a lease or implicitly contains a lease at inception based on the lease definition and also determines if the lease is classified as an operating lease or finance lease, each in accordance with ASC</w:t>
      </w:r>
    </w:p>
    <w:p>
      <w:pPr>
        <w:ind w:left="60" w:right="79" w:hanging="10"/>
        <w:spacing w:after="0" w:line="285" w:lineRule="auto"/>
        <w:tabs>
          <w:tab w:leader="none" w:pos="4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Operating leases are included in operating lease right-of-use (ROU) assets and operating lease liabilities in its balance sheets. ROU assets represent the Company’s right to use an underlying asset for the lease term and lease liabilities represent the Company’s obligation to make lease payments arising from the lease. ROU assets and lease liabilities are recognized at the commencement date or the Adoption Date for existing leases based on the present value of lease payments over the lease term using an estimated discount rate. As the Company’s leases do not provide an implicit rate, the Company uses an incremental borrowing rate based on the information available at commencement date or the Adoption Date in determining the present value of lease payments over a similar term. In determining the estimated incremental borrowing rate, the Company considered a rate obtained from its primary banker for discussion purposes of a potential collateralized loan with a term similar to the lease term and the Company’s historical borrowing capability in the market. For operating leases, lease expense is recognized on a straight-line basis over the lease term. Lease and non-lease components within a contract are generally accounted for separately.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did not have any outstanding preferred stock as of December 31, 2022 and 2021.</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 Including Clinical Trial Accruals</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Research costs consist of employee-related costs, contractor expenses, laboratory supplies and facility costs, for research and development of product candidates are expensed as incurred. Development costs, including clinical trial-related expenses, incurred by third parties, such as clinical research organizations (“CROs”), are expensed as the contracted work is performed. Where contingent milestone payments are due to third parties under research and development arrangements, the milestone payment obligations are expensed when the milestone results are probable of being achieved. When evaluating the adequacy of the accrued liabilities, the Company analyzes progress of the studies, including the phase or completion of events, invoices received and contracted costs.</w:t>
      </w:r>
    </w:p>
    <w:p>
      <w:pPr>
        <w:spacing w:after="0" w:line="177"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Clinical trial expenses are a significant component of research and development expenses, and the Company outsources a significant portion of these costs to third parties. Third-party clinical trial expenses include investigator fees, site and patient costs, CRO costs, and costs for central laboratory testing and data management. The accrual for site and patient costs includes inputs such as estimates of patient enrollment, patient cycles incurred, clinical site activations, and</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balance sheets as a prepaid asset or accrued expenses. These third-party agreements are generally cancelable,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The historical clinical accrual estimates have not been materially different from the actual costs.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All patent-related costs incurred in connection with filing and prosecuting patent applications are expensed as incurred due to the uncertainty about the recovery of the expenditure. Amounts incurred are classified as general and administrative expenses in the accompanying statement of operations and comprehensive loss.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 xml:space="preserve">The Company accounts for its stock-based compensation in accordance with ASC Topic 718,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(“ASC 718”). ASC 718 requires all share-based payments to employees, consultants and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grants of incentive stock options, nonqualified stock options, restricted stock awards, unrestricted stock awards or restricted stock units to employees, consultants and directors of the Company, to be recognized as expense in the statement of operations and comprehensive loss based on their grant date fair values. The Company estimates the fair value of options granted using the Black-Scholes option pricing model (“Black-Scholes”) for stock option grants to both employees and non-employees and the fair value of common stock to determine the fair value of restricted stock.</w:t>
      </w:r>
    </w:p>
    <w:p>
      <w:pPr>
        <w:spacing w:after="0" w:line="16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 xml:space="preserve">The Black-Scholes option pricing model requires inputs based on certain subjective assumptions, including (i) the expected stock price volatility, (ii) the expected term of the award, (iii) the risk-free interest rate and (iv) 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as prescribed by the SEC Staff Accounting Bulletin No. 107, Share-Based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 population. For options granted to non-employees, the Company utilizes the simplified method also as the basis for the expected term assumption. The risk-free interest rate is based on a treasury instrument whose term is consistent with the expected term of the stock options. The expected dividend yield is assumed to be zero because the Company has never paid dividends and has no current plans to pay any dividends on its common stock. The Company recognizes forfeitures as they occur as allowed by ASU No. 2016-09, </w:t>
      </w:r>
      <w:r>
        <w:rPr>
          <w:rFonts w:ascii="Arial" w:cs="Arial" w:eastAsia="Arial" w:hAnsi="Arial"/>
          <w:sz w:val="16"/>
          <w:szCs w:val="16"/>
          <w:i w:val="1"/>
          <w:iCs w:val="1"/>
          <w:color w:val="auto"/>
        </w:rPr>
        <w:t>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Employee Share-Based Payment Accounting </w:t>
      </w:r>
      <w:r>
        <w:rPr>
          <w:rFonts w:ascii="Arial" w:cs="Arial" w:eastAsia="Arial" w:hAnsi="Arial"/>
          <w:sz w:val="16"/>
          <w:szCs w:val="16"/>
          <w:color w:val="auto"/>
        </w:rPr>
        <w:t>(“ASU 2016-09”).</w:t>
      </w:r>
    </w:p>
    <w:p>
      <w:pPr>
        <w:spacing w:after="0" w:line="1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stock, the superior rights and preferences of securities senior to its common stock at the time of a liquidity event, such as the IPO or a sale, and the likelihood of such an event.</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expenses the fair value of its share-based compensation awards on a straight-line basis over the requisite service period, which is generally the vesting period.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uses the asset and liability method of accounting for income taxes. Deferred tax assets and liabilities are recognized for the estimated future tax consequences attributable to temporary differences between the financial statement carrying amounts of existing assets and liabilities and their respective tax base. Deferred tax assets and liabilities, which relate primarily to the carrying amount of the Company’s its net operating loss carryforwards, are measured using enacted tax rates expected to apply to taxable income in the years in which those temporary differences are expected to be recovered or settled. Deferred tax expense or benefit is the result of changes in the deferred tax assets and liabilities. Valuation allowances are established when necessary to reduce deferred tax assets where, based upon the available evidence, the Company concludes that it is more-likely-than-not that the deferred tax assets will not be realized. In evaluating its ability to recover deferred tax assets, the Company considers all available positive and negative evidence, including its operating results, ongoing tax planning and forecasts of future taxable income on a jurisdiction-by-jurisdiction basis. Because of the uncertainty of the realization of deferred tax assets, the Company has recorded a full valuation allowance against its deferred tax assets as of December 31, 2022 and 2021.</w:t>
      </w:r>
    </w:p>
    <w:p>
      <w:pPr>
        <w:spacing w:after="0" w:line="16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Reserves are provided for tax benefits for which realization is uncertain. Such benefits are only recognized when the underlying tax position is considered more-likely-than-not to be sustained on examination by a taxing authority, assuming they possess full knowledge of the position and facts. Interest and penalties related to uncertain tax positions are recognized in the provision of income taxes; however, the Company currently has no interest or penalties related to uncertain income tax benefits.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Comprehensive income (loss) is the change in equity of a business enterprise during a period from transactions and other events and circumstances from non-owner sources. Comprehensive income (loss) includes net income (loss) and the change in accumulated other comprehensive income (loss) for the period. Accumulated other comprehensive income (loss) consisted entirely of unrealized gains and losses on available-for-sale marketable securities at December 31, 2022 and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Basic loss per common share is determined by dividing loss attributable to common stockholders by the weighted-average number of common shares outstanding during the period, without consideration of common stock equivalents. Diluted loss per share is computed by dividing the loss attributable to common stockholders by the weighted-average number of common share equivalents outstanding for the period. The treasury stock method is used to determine the dilutive effect of the Company's stock option grants.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it is required to comply with such standards, which is generally consistent with required adoption dates of private companies.</w:t>
      </w:r>
    </w:p>
    <w:p>
      <w:pPr>
        <w:spacing w:after="0" w:line="18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Company considers the applicability and impact of all ASUs issued by the FASB. All other ASUs issued subsequent to the filing of the Company’s Annual Report were assessed and determined to be either inapplicable or not expected to have a material impact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Marketable securities consist of the following:</w:t>
      </w:r>
    </w:p>
    <w:p>
      <w:pPr>
        <w:spacing w:after="0" w:line="200" w:lineRule="exact"/>
        <w:rPr>
          <w:sz w:val="20"/>
          <w:szCs w:val="20"/>
          <w:color w:val="auto"/>
        </w:rPr>
      </w:pP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0"/>
                <w:szCs w:val="10"/>
                <w:color w:val="auto"/>
              </w:rPr>
            </w:pPr>
          </w:p>
        </w:tc>
        <w:tc>
          <w:tcPr>
            <w:tcW w:w="11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0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133,163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131,706</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U.S. Government agencies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134,775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133,281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0"/>
                <w:szCs w:val="10"/>
                <w:color w:val="auto"/>
              </w:rPr>
            </w:pPr>
          </w:p>
        </w:tc>
        <w:tc>
          <w:tcPr>
            <w:tcW w:w="11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10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Gain</w:t>
            </w:r>
          </w:p>
        </w:tc>
        <w:tc>
          <w:tcPr>
            <w:tcW w:w="1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207,917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207,254</w:t>
            </w:r>
          </w:p>
        </w:tc>
        <w:tc>
          <w:tcPr>
            <w:tcW w:w="0" w:type="dxa"/>
            <w:vAlign w:val="bottom"/>
          </w:tcPr>
          <w:p>
            <w:pPr>
              <w:spacing w:after="0"/>
              <w:rPr>
                <w:sz w:val="1"/>
                <w:szCs w:val="1"/>
                <w:color w:val="auto"/>
              </w:rPr>
            </w:pPr>
          </w:p>
        </w:tc>
      </w:tr>
      <w:tr>
        <w:trPr>
          <w:trHeight w:val="210"/>
        </w:trPr>
        <w:tc>
          <w:tcPr>
            <w:tcW w:w="4500" w:type="dxa"/>
            <w:vAlign w:val="bottom"/>
          </w:tcPr>
          <w:p>
            <w:pPr>
              <w:ind w:left="12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207,917</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207,254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 uses the specific identification method when calculating realized gains and losses. For the years ended December 31, 2022 and 2021, respectively, the Company recorded $9 thousand and $57 thousand in realized gains on available-for-sale securities, which is included in other income on the statements of operations and comprehensive loss.</w:t>
      </w:r>
    </w:p>
    <w:p>
      <w:pPr>
        <w:spacing w:after="0" w:line="14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reviewed all investments which were in a loss position at the respective balance sheet dates, as well as the remainder of the portfolio. As of December 31, 2022, the Company had investments with a total fair market value of $133.3 million in an unrealized loss position, of which $91.8 million were in a continuous unrealized loss position for more than twelve months. The Company analyzed the unrealized losses and determined that market conditions were the primary factor driving these changes, and such unrealized losses are temporary as the Company anticipates a full recovery of the amortized cost basis of these securities at maturity. After analyzing the securities in an unrealized loss position, the portion of these losses that relate to changes in credit quality is insignificant. The Company does not intend to sell these securities, nor is it more likely than not that the Company will be required to sell them prior to the end of their contractual terms. Furthermore, the Company does not believe that these securities expose the Company to undue market risk or counterparty credit risk.</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summarizes maturities of the Company’s investments available-for-sale as of December 31,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2022:</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ind w:right="118"/>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119"/>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right"/>
              <w:ind w:right="378"/>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370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3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Maturities:</w:t>
            </w:r>
          </w:p>
        </w:tc>
        <w:tc>
          <w:tcPr>
            <w:tcW w:w="1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Within 1 year</w:t>
            </w:r>
          </w:p>
        </w:tc>
        <w:tc>
          <w:tcPr>
            <w:tcW w:w="1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105,930</w:t>
            </w:r>
          </w:p>
        </w:tc>
        <w:tc>
          <w:tcPr>
            <w:tcW w:w="180" w:type="dxa"/>
            <w:vAlign w:val="bottom"/>
          </w:tcPr>
          <w:p>
            <w:pPr>
              <w:spacing w:after="0"/>
              <w:rPr>
                <w:sz w:val="18"/>
                <w:szCs w:val="18"/>
                <w:color w:val="auto"/>
              </w:rPr>
            </w:pPr>
          </w:p>
        </w:tc>
        <w:tc>
          <w:tcPr>
            <w:tcW w:w="240" w:type="dxa"/>
            <w:vAlign w:val="bottom"/>
            <w:gridSpan w:val="2"/>
          </w:tcPr>
          <w:p>
            <w:pPr>
              <w:jc w:val="center"/>
              <w:ind w:right="87"/>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Between 1 to 2 years</w:t>
            </w:r>
          </w:p>
        </w:tc>
        <w:tc>
          <w:tcPr>
            <w:tcW w:w="1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28,621</w:t>
            </w:r>
          </w:p>
        </w:tc>
        <w:tc>
          <w:tcPr>
            <w:tcW w:w="0" w:type="dxa"/>
            <w:vAlign w:val="bottom"/>
          </w:tcPr>
          <w:p>
            <w:pPr>
              <w:spacing w:after="0"/>
              <w:rPr>
                <w:sz w:val="1"/>
                <w:szCs w:val="1"/>
                <w:color w:val="auto"/>
              </w:rPr>
            </w:pPr>
          </w:p>
        </w:tc>
      </w:tr>
      <w:tr>
        <w:trPr>
          <w:trHeight w:val="209"/>
        </w:trPr>
        <w:tc>
          <w:tcPr>
            <w:tcW w:w="3700" w:type="dxa"/>
            <w:vAlign w:val="bottom"/>
            <w:gridSpan w:val="2"/>
          </w:tcPr>
          <w:p>
            <w:pPr>
              <w:spacing w:after="0"/>
              <w:rPr>
                <w:sz w:val="20"/>
                <w:szCs w:val="20"/>
                <w:color w:val="auto"/>
              </w:rPr>
            </w:pPr>
            <w:r>
              <w:rPr>
                <w:rFonts w:ascii="Arial" w:cs="Arial" w:eastAsia="Arial" w:hAnsi="Arial"/>
                <w:sz w:val="18"/>
                <w:szCs w:val="18"/>
                <w:color w:val="auto"/>
              </w:rPr>
              <w:t>Total investments available-for-sale</w:t>
            </w:r>
          </w:p>
        </w:tc>
        <w:tc>
          <w:tcPr>
            <w:tcW w:w="11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134,775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center"/>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Company has classified all of its investments available-for-sale, including those with maturities beyond one year, as current assets on the accompanying balance sheets based on the highly liquid nature of these investment securities and because these investment securities are considered available for use in current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has elected to report interest receivable from its marketable securities with prepaid expenses and other current assets on its balance sheet. Interest receivable included in prepaid expenses and other current assets totaled $0.7 million and $1.0 million as of December 31, 2022 and 2021, respectively.</w:t>
      </w: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has certain financial assets recorded at fair value, which have been classified as Level 1, 2 or 3 within the fair value hierarchy as described in the accounting standards for fair value measurements.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Level 3—Unobservable inputs developed using estimates of assumptions developed by the Company, which reflect those that a market participant would use.</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5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by level within the fair value hierarchy as of December 31, 2022 and 2021:</w:t>
      </w:r>
    </w:p>
    <w:p>
      <w:pPr>
        <w:spacing w:after="0" w:line="200" w:lineRule="exact"/>
        <w:rPr>
          <w:sz w:val="20"/>
          <w:szCs w:val="20"/>
          <w:color w:val="auto"/>
        </w:rPr>
      </w:pPr>
    </w:p>
    <w:p>
      <w:pPr>
        <w:spacing w:after="0" w:line="27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or</w:t>
            </w:r>
          </w:p>
        </w:tc>
        <w:tc>
          <w:tcPr>
            <w:tcW w:w="1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25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6,782</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131,706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131,706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 agencies</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140,063</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6,782</w:t>
            </w:r>
          </w:p>
        </w:tc>
        <w:tc>
          <w:tcPr>
            <w:tcW w:w="14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$ 133,281</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or</w:t>
            </w:r>
          </w:p>
        </w:tc>
        <w:tc>
          <w:tcPr>
            <w:tcW w:w="1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25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2,680</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 bonds</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207,254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207,254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209,934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$ 207,254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Company did not transfer any assets measured at fair value on a recurring basis between levels during the years ended December 31, 2022 and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carrying value of financial instruments, including trade receivables, accounts payable and accrued liabilities approximate fair value because of the short-term maturity of these items. The estimated fair values may not represent actual values of the financial instruments that could be realized as of the balance sheet date or that will be realized in the future.</w:t>
      </w: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 of the following:</w:t>
      </w:r>
    </w:p>
    <w:p>
      <w:pPr>
        <w:spacing w:after="0" w:line="200" w:lineRule="exact"/>
        <w:rPr>
          <w:sz w:val="20"/>
          <w:szCs w:val="20"/>
          <w:color w:val="auto"/>
        </w:rPr>
      </w:pPr>
    </w:p>
    <w:p>
      <w:pPr>
        <w:spacing w:after="0" w:line="395"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880" w:type="dxa"/>
            <w:vAlign w:val="bottom"/>
            <w:gridSpan w:val="4"/>
          </w:tcPr>
          <w:p>
            <w:pPr>
              <w:ind w:left="8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1"/>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Research equipment</w:t>
            </w:r>
          </w:p>
        </w:tc>
        <w:tc>
          <w:tcPr>
            <w:tcW w:w="10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17,244</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Property and equipment, gross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Property and equipment, net</w:t>
            </w:r>
          </w:p>
        </w:tc>
        <w:tc>
          <w:tcPr>
            <w:tcW w:w="8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Construction in progress at December 31, 2022 and 2021 consists of the costs incurred for research equipment and for the build-out of additional lab and office space.</w:t>
      </w:r>
    </w:p>
    <w:p>
      <w:pPr>
        <w:spacing w:after="0" w:line="170"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Depreciation and amortization expense was $4.1 million and $4.3 million for the years ended December 31, 2022 and 2021,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Accrued Liabilities and Other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liabilities consist of the following:</w:t>
      </w:r>
    </w:p>
    <w:p>
      <w:pPr>
        <w:spacing w:after="0" w:line="32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ind w:left="980"/>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48"/>
        </w:trPr>
        <w:tc>
          <w:tcPr>
            <w:tcW w:w="20" w:type="dxa"/>
            <w:vAlign w:val="bottom"/>
          </w:tcPr>
          <w:p>
            <w:pPr>
              <w:spacing w:after="0"/>
              <w:rPr>
                <w:sz w:val="12"/>
                <w:szCs w:val="12"/>
                <w:color w:val="auto"/>
              </w:rPr>
            </w:pPr>
          </w:p>
        </w:tc>
        <w:tc>
          <w:tcPr>
            <w:tcW w:w="42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9" w:lineRule="exact"/>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benefits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Clinical trial costs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Sponsored research</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Lease liabilities, current portion</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09"/>
        </w:trPr>
        <w:tc>
          <w:tcPr>
            <w:tcW w:w="20" w:type="dxa"/>
            <w:vAlign w:val="bottom"/>
          </w:tcPr>
          <w:p>
            <w:pPr>
              <w:spacing w:after="0"/>
              <w:rPr>
                <w:sz w:val="18"/>
                <w:szCs w:val="18"/>
                <w:color w:val="auto"/>
              </w:rPr>
            </w:pPr>
          </w:p>
        </w:tc>
        <w:tc>
          <w:tcPr>
            <w:tcW w:w="4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accrued liabilities and other liabilities</w:t>
            </w:r>
          </w:p>
        </w:tc>
        <w:tc>
          <w:tcPr>
            <w:tcW w:w="10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left="60" w:right="59" w:firstLine="324"/>
        <w:spacing w:after="0" w:line="271" w:lineRule="auto"/>
        <w:rPr>
          <w:sz w:val="20"/>
          <w:szCs w:val="20"/>
          <w:color w:val="auto"/>
        </w:rPr>
      </w:pPr>
      <w:r>
        <w:rPr>
          <w:rFonts w:ascii="Arial" w:cs="Arial" w:eastAsia="Arial" w:hAnsi="Arial"/>
          <w:sz w:val="17"/>
          <w:szCs w:val="17"/>
          <w:color w:val="auto"/>
        </w:rPr>
        <w:t>The Company's lease portfolio consists of office space and laboratory facilities. All of the Company's leases are classified as operating leases. The terms of the Company's lease agreements that have commenced currently extend through March 2030 and provide the Company with an option for a five-year extension. Under the terms of the leases, the Company pays base annual rent subject to fixed dollar increases each year and other normal operating expenses such as taxes, repairs, and maintenance. The Company evaluates renewal options at lease inception and on an ongoing basis and considers renewal options that the Company is reasonably certain to exercise in its expected lease terms when classifying leases and measuring lease liabilities in accordance with ASC 842. The leases do not require variable lease payments or residual value guarantees and do not contain restrictive covenants.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27"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The leases do not provide an implicit rate, therefore the Company uses its incremental borrowing rate as the discount rate when measuring the operating lease liability. The incremental borrowing rate represents an estimate of the interest rate the Company would incur at lease commencement to borrow an amount equal to the lease payments on a collateralized basis over the term of the lease.</w:t>
      </w:r>
    </w:p>
    <w:p>
      <w:pPr>
        <w:spacing w:after="0" w:line="187" w:lineRule="exact"/>
        <w:rPr>
          <w:sz w:val="20"/>
          <w:szCs w:val="20"/>
          <w:color w:val="auto"/>
        </w:rPr>
      </w:pPr>
    </w:p>
    <w:p>
      <w:pPr>
        <w:ind w:left="60" w:right="359" w:firstLine="324"/>
        <w:spacing w:after="0" w:line="286" w:lineRule="auto"/>
        <w:rPr>
          <w:sz w:val="20"/>
          <w:szCs w:val="20"/>
          <w:color w:val="auto"/>
        </w:rPr>
      </w:pPr>
      <w:r>
        <w:rPr>
          <w:rFonts w:ascii="Arial" w:cs="Arial" w:eastAsia="Arial" w:hAnsi="Arial"/>
          <w:sz w:val="17"/>
          <w:szCs w:val="17"/>
          <w:color w:val="auto"/>
        </w:rPr>
        <w:t>Operating lease expense was $1.0 million for the year ended December 31, 2022. Operating cash flows used for operating leases during the year ended December 31, 2022 were $0.9 million. As of December 31, 2022, the weighted-average remaining lease term was 7.25 years, and the weighted average discount rate was 7.46%.</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Rent expense under operating leases was $1.0 million for the year ended December 31, 2021.</w:t>
      </w:r>
    </w:p>
    <w:p>
      <w:pPr>
        <w:spacing w:after="0" w:line="225" w:lineRule="exact"/>
        <w:rPr>
          <w:sz w:val="20"/>
          <w:szCs w:val="20"/>
          <w:color w:val="auto"/>
        </w:rPr>
      </w:pPr>
    </w:p>
    <w:p>
      <w:pPr>
        <w:jc w:val="both"/>
        <w:ind w:left="60" w:right="199" w:firstLine="324"/>
        <w:spacing w:after="0" w:line="263" w:lineRule="auto"/>
        <w:rPr>
          <w:sz w:val="20"/>
          <w:szCs w:val="20"/>
          <w:color w:val="auto"/>
        </w:rPr>
      </w:pPr>
      <w:r>
        <w:rPr>
          <w:rFonts w:ascii="Arial" w:cs="Arial" w:eastAsia="Arial" w:hAnsi="Arial"/>
          <w:sz w:val="18"/>
          <w:szCs w:val="18"/>
          <w:color w:val="auto"/>
        </w:rPr>
        <w:t>As of December 31, 2022, the maturities of the Company’s operating lease liabilities were as follows (in thousands), which are included in Accrued liabilities and other liabilities and Lease liabilities, long term in the accompanying balance sheet:</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Year Ending December 31,</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260" w:type="dxa"/>
            <w:vAlign w:val="bottom"/>
          </w:tcPr>
          <w:p>
            <w:pPr>
              <w:ind w:left="1060"/>
              <w:spacing w:after="0"/>
              <w:rPr>
                <w:sz w:val="20"/>
                <w:szCs w:val="20"/>
                <w:color w:val="auto"/>
              </w:rPr>
            </w:pPr>
            <w:r>
              <w:rPr>
                <w:rFonts w:ascii="Arial" w:cs="Arial" w:eastAsia="Arial" w:hAnsi="Arial"/>
                <w:sz w:val="18"/>
                <w:szCs w:val="18"/>
                <w:color w:val="auto"/>
              </w:rPr>
              <w:t>2023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1,032</w:t>
            </w:r>
          </w:p>
        </w:tc>
        <w:tc>
          <w:tcPr>
            <w:tcW w:w="1240" w:type="dxa"/>
            <w:vAlign w:val="bottom"/>
          </w:tcPr>
          <w:p>
            <w:pPr>
              <w:spacing w:after="0"/>
              <w:rPr>
                <w:sz w:val="18"/>
                <w:szCs w:val="18"/>
                <w:color w:val="auto"/>
              </w:rPr>
            </w:pPr>
          </w:p>
        </w:tc>
      </w:tr>
      <w:tr>
        <w:trPr>
          <w:trHeight w:val="216"/>
        </w:trPr>
        <w:tc>
          <w:tcPr>
            <w:tcW w:w="6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2024</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240" w:type="dxa"/>
            <w:vAlign w:val="bottom"/>
            <w:shd w:val="clear" w:color="auto" w:fill="CCEEFF"/>
          </w:tcPr>
          <w:p>
            <w:pPr>
              <w:spacing w:after="0"/>
              <w:rPr>
                <w:sz w:val="18"/>
                <w:szCs w:val="18"/>
                <w:color w:val="auto"/>
              </w:rPr>
            </w:pPr>
          </w:p>
        </w:tc>
      </w:tr>
      <w:tr>
        <w:trPr>
          <w:trHeight w:val="216"/>
        </w:trPr>
        <w:tc>
          <w:tcPr>
            <w:tcW w:w="6260" w:type="dxa"/>
            <w:vAlign w:val="bottom"/>
          </w:tcPr>
          <w:p>
            <w:pPr>
              <w:ind w:left="1060"/>
              <w:spacing w:after="0"/>
              <w:rPr>
                <w:sz w:val="20"/>
                <w:szCs w:val="20"/>
                <w:color w:val="auto"/>
              </w:rPr>
            </w:pPr>
            <w:r>
              <w:rPr>
                <w:rFonts w:ascii="Arial" w:cs="Arial" w:eastAsia="Arial" w:hAnsi="Arial"/>
                <w:sz w:val="18"/>
                <w:szCs w:val="18"/>
                <w:color w:val="auto"/>
              </w:rPr>
              <w:t>2025</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1,214</w:t>
            </w:r>
          </w:p>
        </w:tc>
        <w:tc>
          <w:tcPr>
            <w:tcW w:w="1240" w:type="dxa"/>
            <w:vAlign w:val="bottom"/>
          </w:tcPr>
          <w:p>
            <w:pPr>
              <w:spacing w:after="0"/>
              <w:rPr>
                <w:sz w:val="18"/>
                <w:szCs w:val="18"/>
                <w:color w:val="auto"/>
              </w:rPr>
            </w:pPr>
          </w:p>
        </w:tc>
      </w:tr>
      <w:tr>
        <w:trPr>
          <w:trHeight w:val="216"/>
        </w:trPr>
        <w:tc>
          <w:tcPr>
            <w:tcW w:w="6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2026</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240" w:type="dxa"/>
            <w:vAlign w:val="bottom"/>
            <w:shd w:val="clear" w:color="auto" w:fill="CCEEFF"/>
          </w:tcPr>
          <w:p>
            <w:pPr>
              <w:spacing w:after="0"/>
              <w:rPr>
                <w:sz w:val="18"/>
                <w:szCs w:val="18"/>
                <w:color w:val="auto"/>
              </w:rPr>
            </w:pPr>
          </w:p>
        </w:tc>
      </w:tr>
      <w:tr>
        <w:trPr>
          <w:trHeight w:val="216"/>
        </w:trPr>
        <w:tc>
          <w:tcPr>
            <w:tcW w:w="6260" w:type="dxa"/>
            <w:vAlign w:val="bottom"/>
          </w:tcPr>
          <w:p>
            <w:pPr>
              <w:ind w:left="1060"/>
              <w:spacing w:after="0"/>
              <w:rPr>
                <w:sz w:val="20"/>
                <w:szCs w:val="20"/>
                <w:color w:val="auto"/>
              </w:rPr>
            </w:pPr>
            <w:r>
              <w:rPr>
                <w:rFonts w:ascii="Arial" w:cs="Arial" w:eastAsia="Arial" w:hAnsi="Arial"/>
                <w:sz w:val="18"/>
                <w:szCs w:val="18"/>
                <w:color w:val="auto"/>
              </w:rPr>
              <w:t>2027</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1,396</w:t>
            </w:r>
          </w:p>
        </w:tc>
        <w:tc>
          <w:tcPr>
            <w:tcW w:w="1240" w:type="dxa"/>
            <w:vAlign w:val="bottom"/>
          </w:tcPr>
          <w:p>
            <w:pPr>
              <w:spacing w:after="0"/>
              <w:rPr>
                <w:sz w:val="18"/>
                <w:szCs w:val="18"/>
                <w:color w:val="auto"/>
              </w:rPr>
            </w:pPr>
          </w:p>
        </w:tc>
      </w:tr>
      <w:tr>
        <w:trPr>
          <w:trHeight w:val="216"/>
        </w:trPr>
        <w:tc>
          <w:tcPr>
            <w:tcW w:w="6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240" w:type="dxa"/>
            <w:vAlign w:val="bottom"/>
            <w:shd w:val="clear" w:color="auto" w:fill="CCEEFF"/>
          </w:tcPr>
          <w:p>
            <w:pPr>
              <w:spacing w:after="0"/>
              <w:rPr>
                <w:sz w:val="18"/>
                <w:szCs w:val="18"/>
                <w:color w:val="auto"/>
              </w:rPr>
            </w:pPr>
          </w:p>
        </w:tc>
      </w:tr>
      <w:tr>
        <w:trPr>
          <w:trHeight w:val="210"/>
        </w:trPr>
        <w:tc>
          <w:tcPr>
            <w:tcW w:w="6260" w:type="dxa"/>
            <w:vAlign w:val="bottom"/>
          </w:tcPr>
          <w:p>
            <w:pPr>
              <w:ind w:left="1060"/>
              <w:spacing w:after="0"/>
              <w:rPr>
                <w:sz w:val="20"/>
                <w:szCs w:val="20"/>
                <w:color w:val="auto"/>
              </w:rPr>
            </w:pPr>
            <w:r>
              <w:rPr>
                <w:rFonts w:ascii="Arial" w:cs="Arial" w:eastAsia="Arial" w:hAnsi="Arial"/>
                <w:sz w:val="18"/>
                <w:szCs w:val="18"/>
                <w:color w:val="auto"/>
              </w:rPr>
              <w:t>Total future minimum payments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9,419</w:t>
            </w:r>
          </w:p>
        </w:tc>
        <w:tc>
          <w:tcPr>
            <w:tcW w:w="1240" w:type="dxa"/>
            <w:vAlign w:val="bottom"/>
          </w:tcPr>
          <w:p>
            <w:pPr>
              <w:spacing w:after="0"/>
              <w:rPr>
                <w:sz w:val="18"/>
                <w:szCs w:val="18"/>
                <w:color w:val="auto"/>
              </w:rPr>
            </w:pPr>
          </w:p>
        </w:tc>
      </w:tr>
      <w:tr>
        <w:trPr>
          <w:trHeight w:val="216"/>
        </w:trPr>
        <w:tc>
          <w:tcPr>
            <w:tcW w:w="6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Less: present value discount</w:t>
            </w:r>
          </w:p>
        </w:tc>
        <w:tc>
          <w:tcPr>
            <w:tcW w:w="48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color w:val="auto"/>
              </w:rPr>
              <w:t>(2,296)</w:t>
            </w:r>
          </w:p>
        </w:tc>
      </w:tr>
      <w:tr>
        <w:trPr>
          <w:trHeight w:val="249"/>
        </w:trPr>
        <w:tc>
          <w:tcPr>
            <w:tcW w:w="626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rPr>
              <w:t>Present value of lease liabilities</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7,123</w:t>
            </w:r>
          </w:p>
        </w:tc>
        <w:tc>
          <w:tcPr>
            <w:tcW w:w="1240" w:type="dxa"/>
            <w:vAlign w:val="bottom"/>
            <w:tcBorders>
              <w:bottom w:val="single" w:sz="8" w:color="CCEEFF"/>
            </w:tcBorders>
          </w:tcPr>
          <w:p>
            <w:pPr>
              <w:spacing w:after="0"/>
              <w:rPr>
                <w:sz w:val="21"/>
                <w:szCs w:val="21"/>
                <w:color w:val="auto"/>
              </w:rPr>
            </w:pPr>
          </w:p>
        </w:tc>
      </w:tr>
      <w:tr>
        <w:trPr>
          <w:trHeight w:val="197"/>
        </w:trPr>
        <w:tc>
          <w:tcPr>
            <w:tcW w:w="6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Company, from time to time, is a party to litigation or legal proceedings arising in the ordinary course of business. The Company is not a party to any litigation or legal proceedings, nor is management aware of any pending or threatened litigation that, in the opinion of the Company’s management, are likely to have a material adverse effect on the Company’s business. At each reporting date, the Company evaluates whether a potential loss amount or a potential range of loss is probable and reasonably estimable under the provisions of the authoritative guidance that addresses accounting for contingencies. The Company expenses the costs related to its legal proceedings as incurred.</w:t>
      </w:r>
    </w:p>
    <w:p>
      <w:pPr>
        <w:spacing w:after="0" w:line="16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On September 21, 2020, a putative stockholder class action was filed in the U.S. District Court for the Southern District of New York styled Ye Zhou v. NextCure, Inc., et. al., Case 1:20-cv-0772 (S.D.N.Y.). On February 26, 2021, the Lead Plaintiff filed a consolidated amended complaint that asserts claims against us, certain of our officers and members of our board of directors, and the underwriters in our May 2019 initial public offering and November 2019 underwritten secondary public offering. The complaint alleges that the defendants violated provisions of the Securities Exchange Act of 1934, as amended (the “Exchange Act”), and the Securities Act of 1933, as amended, with respect to statements made regarding our product candidate, NC318, and the FIND-IO platform. The complaint seeks unspecified damages on behalf of a purported class of purchasers of our securities between May 8, 2019 and July 14, 2020. Defendants filed a motion to dismiss the consolidated amended complaint on April 27, 2021, and discovery is stayed pending resolution of that motion.</w:t>
      </w:r>
    </w:p>
    <w:p>
      <w:pPr>
        <w:spacing w:after="0" w:line="16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On March 24, 2021, a purported shareholder derivative lawsuit was filed in the U.S. District Court for the District of Maryland, Southern Division, styled Zach Liu v. Richman et. al., Case:21-cv-00754, alleging breaches of fiduciary duty by officers and/or directors, unjust enrichment, abuse of control, gross mismanagement, waste of corporate assets, and violations of the Exchange Act and the Securities Act of 1933. The Complaint seeks unspecified damages, attorneys’ fees and costs, declaratory relief, corporate governance changes, and restitution. On May 17, 2021, the Court granted the parties’ joint motion to stay the derivative lawsuit pending resolution of the Ye Zhou action’s motion to dismiss.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On December 14, 2021, a purported misappropriation of certain trade secrets lawsuit was filed in Federal District Court for the District of Delaware, styled Immunaccel, LLC v. NextCure, Inc., Case No. 1:21-cv-01755-UNA. The lawsuit alleges that the Company misappropriated certain trade secrets belonging to Immunaccel related to a drug discovery and screening platform named IMMUNE 3D. The complaint alleges two causes of action, one under the Delaware Uniform Trade Secrets Act and another under the Federal Defend Trade Secrets Act, and seeks unspecified monetary damages, a permanent injunction and other miscellaneous relief.</w:t>
      </w:r>
    </w:p>
    <w:p>
      <w:pPr>
        <w:spacing w:after="0" w:line="178"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 intends to vigorously defend the Ye Zhou, Liu and Immunaccel actions. Based on the Company’s assessment of the facts underlying these claims, the uncertainty of litigation, and the preliminary stage of these cases, the Company cannot estimate the reasonably possible loss or range of loss that may result from these actions.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Term Loan</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April 2016, we entered into a $1.0 million term loan, or the “Term Loan”. In January 2019, we amended the Term Loan to increase our borrowing capacity to $5.0 million, which was secured by our certificates of deposit, money market account, investment property and deposit or investment accounts. In August 2021, we fully paid the remaining principal on the Term Loan, and there are no outstanding payments due from us.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Preferred Stock</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As of December 31, 2022, the Company’s certificate of incorporation, as amended and restated, authorized the Company to issue 10,000,000 shares of $0.001 par value preferred stock, and there were no shares of preferred stock issued or outstanding. The Company can fix the price, rights, preferences, privileges and restrictions of the preferred stock without any further vote or action by its stockholders.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Common Stock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of December 31, 2022, the Company’s Certificate of Incorporation, as amended and restated, authorized the Company to issue 100,000,000 shares of $0.001 par value common stock, of which 27,774,536 were issued and outstanding.</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any preferred stock. No dividends have been declared or paid by the Company through December 31, 2022.</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the event of any liquidation or dissolution of the Company, the holders of common stock are entitled to the remaining assets of the Company legally available for distribution after the payment of the full liquidation preference for any preferred stock.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Equity Plans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NextCure, Inc. 2015 Omnibus Incentive Plan (the “2015 Plan”) was adopted in December 2015 and provides for the grant of awards of stock options, restricted stock awards, unrestricted stock awards and restricted stock units to employees, consultants and directors of the Company. The 2015 Plan is administered by the board of directors or, at the discretion of the board of directors, by a committee of the board of directors.</w:t>
      </w:r>
    </w:p>
    <w:p>
      <w:pPr>
        <w:spacing w:after="0" w:line="18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On May 3, 2019, the Company’s stockholders approved the NextCure, Inc. 2019 Omnibus Incentive Plan (as amended, the “2019 Plan”), which became effective on May 8, 2019, the date on which the Company’s Registration Statement on Form S-1 (Reg. No. 333-230837) was declared effective (the “Effective Date”). The Company’s board of directors (the “Board”) determined not to make additional awards under the 2015 Plan following the effectiveness of the 2019 Plan. The 2019 Plan provides for the grant of awards of stock options, stock appreciation rights, restricted stock, restricted stock units, deferred stock units, unrestricted stock, dividend equivalent rights, other equity-based awards and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cash bonus awards to the Company’s officers, employees, non-employee directors and other key persons (including consultants). The number of shares of common stock reserved for issuance under the 2019 Plan is 2,900,000 plus the number of shares of stock related to awards outstanding under the 2015 Plan that subsequently terminate by expiration or forfeiture, cancellation or otherwise without the issuance of such shares. The number of shares reserved for issuance under the 2019 Plan will automatically increase each January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during the term of the 2019 Plan by 4% of the number of shares of the Company’s common stock outstanding on December 31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of the preceding calendar year or such lesser number of shares determined by the Board.</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2022, 2,653,867 shares were reserved for future issuance under the 2019 Plan.</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Stock options granted under the 2015 Plan and 2019 Plan (together, the “Plans”) to employees generally vest over four years and expire after 10 years.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stock option activity for awards under the Plans is presented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27"/>
              <w:spacing w:after="0"/>
              <w:rPr>
                <w:sz w:val="20"/>
                <w:szCs w:val="20"/>
                <w:color w:val="auto"/>
              </w:rPr>
            </w:pPr>
            <w:r>
              <w:rPr>
                <w:rFonts w:ascii="Arial" w:cs="Arial" w:eastAsia="Arial" w:hAnsi="Arial"/>
                <w:sz w:val="14"/>
                <w:szCs w:val="14"/>
                <w:b w:val="1"/>
                <w:bCs w:val="1"/>
                <w:color w:val="auto"/>
                <w:w w:val="94"/>
              </w:rPr>
              <w:t>Options Outstanding and Exercisable</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5"/>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Exercise</w:t>
            </w: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55"/>
              <w:spacing w:after="0" w:line="153" w:lineRule="exact"/>
              <w:rPr>
                <w:sz w:val="20"/>
                <w:szCs w:val="20"/>
                <w:color w:val="auto"/>
              </w:rPr>
            </w:pPr>
            <w:r>
              <w:rPr>
                <w:rFonts w:ascii="Arial" w:cs="Arial" w:eastAsia="Arial" w:hAnsi="Arial"/>
                <w:sz w:val="12"/>
                <w:szCs w:val="12"/>
                <w:b w:val="1"/>
                <w:bCs w:val="1"/>
                <w:color w:val="auto"/>
              </w:rPr>
              <w:t>Value</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20" w:type="dxa"/>
            <w:vAlign w:val="bottom"/>
          </w:tcPr>
          <w:p>
            <w:pPr>
              <w:jc w:val="right"/>
              <w:ind w:right="11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3,112,376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2,020,718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Forfeitures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(481,569)</w:t>
            </w:r>
          </w:p>
        </w:tc>
        <w:tc>
          <w:tcPr>
            <w:tcW w:w="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21.33</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4,545,794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1,739,350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Forfeitures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(972,545)</w:t>
            </w:r>
          </w:p>
        </w:tc>
        <w:tc>
          <w:tcPr>
            <w:tcW w:w="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5,262,179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Exercisable as of December 31, 2022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2,790,206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01"/>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720" w:right="79" w:hanging="319"/>
        <w:spacing w:after="0" w:line="342" w:lineRule="auto"/>
        <w:tabs>
          <w:tab w:leader="none" w:pos="7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aggregate intrinsic value is calculated as the difference between the exercise price of the underlying options and the fair value of the common stock for the options that were in the money at December 31, 2022 and 2021.</w:t>
      </w:r>
    </w:p>
    <w:p>
      <w:pPr>
        <w:spacing w:after="0" w:line="124"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weighted average grant date fair value per share of stock options granted during the years ended December 31, 2022 and 2021 was $3.69 and $7.47 respectively. The aggregate intrinsic value of stock options exercised during the years ended December 31, 2022 and 2021 was $13,000 and $0.5 million, respectively.</w:t>
      </w:r>
    </w:p>
    <w:p>
      <w:pPr>
        <w:spacing w:after="0" w:line="184"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aggregate grant date fair value of stock options and restricted stock vested during the year ended December 31, 2022 and 2021 was approximately $11.0 million and $13.4 million, respectively.</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7"/>
          <w:szCs w:val="17"/>
          <w:color w:val="auto"/>
        </w:rPr>
        <w:t>On May 3, 2019, the Company’s stockholders approved the NextCure, Inc. 2019 Employee Stock Purchase Plan (the “ESPP”), which became effective on the Effective Date. The ESPP is intended to qualify as an “employee stock purchase plan” within the meaning of Section 423(b) of the Internal Revenue Code. A total of 240,000 shares of common stock were reserved for issuance under this plan. In addition, the number of shares of common stock that may be issued under the ESPP will automatically increase each January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until expiration of the ESPP, in an amount equal to the lesser of (i) 1% of the number of shares of the Company’s common stock outstanding on December 31st of the preceding calendar year, (ii) 480,000 shares of common stock and (iii) a number of shares of common stock determined by the administrator of the ESPP. As of December 31, 2022, 49,583 shares of common stock had been issued pursuant to the ESPP and 741,097 shares were reserved for future issuance thereunder.</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Company recorded stock-based compensation expense of $9.5 million and $10.3 million during the years ended December 31, 2022 and 2021, respectively. As of December 31, 2022, there was $14.7 million of unrecognized</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compensation cost related to unvested stock-based compensation arrangements granted under the Plans. This remaining compensation expense is expected to be recognized over a weighted-average period of 2.6 years as of December 31, 2022.</w:t>
      </w:r>
    </w:p>
    <w:p>
      <w:pPr>
        <w:spacing w:after="0" w:line="12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Stock-based compensation expense recorded as research and development and general and administrative expenses is as follows:</w:t>
      </w:r>
    </w:p>
    <w:p>
      <w:pPr>
        <w:spacing w:after="0" w:line="25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10,288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assumptions used in the Black-Scholes option-pricing model for stock options granted were as follows:</w:t>
      </w:r>
    </w:p>
    <w:p>
      <w:pPr>
        <w:spacing w:after="0" w:line="31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- 6.1 years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- 6.1 years</w:t>
            </w:r>
          </w:p>
        </w:tc>
        <w:tc>
          <w:tcPr>
            <w:tcW w:w="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volatility</w:t>
            </w:r>
          </w:p>
        </w:tc>
        <w:tc>
          <w:tcPr>
            <w:tcW w:w="2500" w:type="dxa"/>
            <w:vAlign w:val="bottom"/>
            <w:gridSpan w:val="3"/>
          </w:tcPr>
          <w:p>
            <w:pPr>
              <w:jc w:val="right"/>
              <w:ind w:right="199"/>
              <w:spacing w:after="0"/>
              <w:rPr>
                <w:sz w:val="20"/>
                <w:szCs w:val="20"/>
                <w:color w:val="auto"/>
              </w:rPr>
            </w:pPr>
            <w:r>
              <w:rPr>
                <w:rFonts w:ascii="Arial" w:cs="Arial" w:eastAsia="Arial" w:hAnsi="Arial"/>
                <w:sz w:val="18"/>
                <w:szCs w:val="18"/>
                <w:color w:val="auto"/>
              </w:rPr>
              <w:t>79.7 - 81.4 %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94"/>
              <w:spacing w:after="0"/>
              <w:rPr>
                <w:sz w:val="20"/>
                <w:szCs w:val="20"/>
                <w:color w:val="auto"/>
              </w:rPr>
            </w:pPr>
            <w:r>
              <w:rPr>
                <w:rFonts w:ascii="Arial" w:cs="Arial" w:eastAsia="Arial" w:hAnsi="Arial"/>
                <w:sz w:val="18"/>
                <w:szCs w:val="18"/>
                <w:color w:val="auto"/>
                <w:w w:val="96"/>
              </w:rPr>
              <w:t>79.7 %</w:t>
            </w:r>
          </w:p>
        </w:tc>
        <w:tc>
          <w:tcPr>
            <w:tcW w:w="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4"/>
              </w:rPr>
              <w:t>- 4.2 %</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0.8</w:t>
            </w:r>
          </w:p>
        </w:tc>
        <w:tc>
          <w:tcPr>
            <w:tcW w:w="8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4"/>
              </w:rPr>
              <w:t>- 1.4 %</w:t>
            </w:r>
          </w:p>
        </w:tc>
        <w:tc>
          <w:tcPr>
            <w:tcW w:w="3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 %</w:t>
            </w:r>
          </w:p>
        </w:tc>
      </w:tr>
    </w:tbl>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Net Loss per Share Attributable to Common Stockholders</w:t>
      </w:r>
    </w:p>
    <w:p>
      <w:pPr>
        <w:spacing w:after="0" w:line="22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Company’s potential dilutive securities, which include common stock options,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for the period indicated because including them would have had an anti-dilutive effect:</w:t>
      </w:r>
    </w:p>
    <w:p>
      <w:pPr>
        <w:spacing w:after="0" w:line="183" w:lineRule="exact"/>
        <w:rPr>
          <w:sz w:val="20"/>
          <w:szCs w:val="20"/>
          <w:color w:val="auto"/>
        </w:rPr>
      </w:pPr>
    </w:p>
    <w:p>
      <w:pPr>
        <w:ind w:left="67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6350</wp:posOffset>
            </wp:positionV>
            <wp:extent cx="11741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ind w:left="6520"/>
        <w:spacing w:after="0"/>
        <w:tabs>
          <w:tab w:leader="none" w:pos="75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tbl>
      <w:tblPr>
        <w:tblLayout w:type="fixed"/>
        <w:tblInd w:w="920" w:type="dxa"/>
        <w:tblCellMar>
          <w:top w:w="0" w:type="dxa"/>
          <w:left w:w="0" w:type="dxa"/>
          <w:bottom w:w="0" w:type="dxa"/>
          <w:right w:w="0" w:type="dxa"/>
        </w:tblCellMar>
      </w:tblP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5,262,179</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4,545,794</w:t>
            </w:r>
          </w:p>
        </w:tc>
      </w:tr>
      <w:tr>
        <w:trPr>
          <w:trHeight w:val="210"/>
        </w:trPr>
        <w:tc>
          <w:tcPr>
            <w:tcW w:w="5320" w:type="dxa"/>
            <w:vAlign w:val="bottom"/>
          </w:tcPr>
          <w:p>
            <w:pPr>
              <w:ind w:left="10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5,262,179</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4,545,794</w:t>
            </w:r>
          </w:p>
        </w:tc>
      </w:tr>
      <w:tr>
        <w:trPr>
          <w:trHeight w:val="20"/>
        </w:trPr>
        <w:tc>
          <w:tcPr>
            <w:tcW w:w="5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reconciliation of federal statutory income tax rate to the Company’s effective income tax rate is as follows:</w:t>
      </w:r>
    </w:p>
    <w:p>
      <w:pPr>
        <w:spacing w:after="0" w:line="334"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8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2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Expected income tax benefit at the federal statutory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 net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Non-deductible items</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Prior year provision to return adjustments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valuation allowance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83"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Deferred income taxes reflect the net effects of temporary differences between the carrying amounts of assets and liabilities for financial reporting purposes and the amounts used for income tax purposes.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principal components of the Company’s deferred tax assets consisted of the following as of December 31, 2021 and 2020:</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44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rPr>
              <w:t>Federal and state net operating loss carryforwards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49,789</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 tax credits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Capitalized R&amp;D Costs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rPr>
              <w:t>Share-based compensation</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Accruals and other</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Gross deferred tax assets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81,262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(79,724)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(57,705)</w:t>
            </w:r>
          </w:p>
        </w:tc>
        <w:tc>
          <w:tcPr>
            <w:tcW w:w="0" w:type="dxa"/>
            <w:vAlign w:val="bottom"/>
          </w:tcPr>
          <w:p>
            <w:pPr>
              <w:spacing w:after="0"/>
              <w:rPr>
                <w:sz w:val="1"/>
                <w:szCs w:val="1"/>
                <w:color w:val="auto"/>
              </w:rPr>
            </w:pPr>
          </w:p>
        </w:tc>
      </w:tr>
      <w:tr>
        <w:trPr>
          <w:trHeight w:val="250"/>
        </w:trPr>
        <w:tc>
          <w:tcPr>
            <w:tcW w:w="448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8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16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liabilities:</w:t>
            </w: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assets</w:t>
            </w:r>
          </w:p>
        </w:tc>
        <w:tc>
          <w:tcPr>
            <w:tcW w:w="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Gross deferred tax liabilities</w:t>
            </w:r>
          </w:p>
        </w:tc>
        <w:tc>
          <w:tcPr>
            <w:tcW w:w="8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deferred tax assets</w:t>
            </w: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Based on the Company’s history of losses, the Company recorded a full valuation allowance against its deferred tax assets as of December 31, 2022. The Company increased its valuation allowance by approximately $21.9 million for the year ended December 31, 2022. The Company intends to maintain a valuation allowance until sufficient positive evidence exists to support a reversal of the allowance.</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of December 31, 2022, the Company had federal and state net operating loss carryforwards of $180.2 million and $183.1 million, respectively, some of which begin to expire in the year ending December 31, 2036. Approximately $157.5 million of the federal net operating loss carryforwards do not expire. The Company had federal and state research and development tax credit carryforwards of approximately $11.3 million and $0.1 million, respectively, as of December 31, 2022. The federal credits begin to expire in the year ending December 31, 2036, and the state credits begin to expire in the year ending December 31, 2024.</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Under the provisions of Sections 382 and 383 of the Internal Revenue Code (the “IRC”), certain substantial changes in the Company’s ownership may have limited, or may limit in the future, the amount of net operating loss and credit carryforwards that can be used to reduce future income taxes if there has been a significant change in ownership of the Company, as defined by the IRC. Future owner or equity shifts could result in limitations on net operating loss and credit carryforwards.</w:t>
      </w:r>
    </w:p>
    <w:p>
      <w:pPr>
        <w:spacing w:after="0" w:line="18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Company files income tax returns in the U.S. federal jurisdiction as well as in Maryland. The tax years 2019 to 2021 remain open to examination by the major jurisdictions in which the Company is subject to tax. Fiscal years outside the normal statute of limitation remain open to audit by tax authorities due to tax attributes generated in those early years, which have been carried forward and may be audited in subsequent years when utilized.</w:t>
      </w:r>
    </w:p>
    <w:p>
      <w:pPr>
        <w:spacing w:after="0" w:line="17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Company evaluates tax positions for recognition using a more-likely-than-not recognition threshold, and those tax positions eligible for recognition are measured as the largest amount of tax benefit that is greater than 50% likely of being realized upon the effective settlement with a taxing authority that has full knowledge of all relevant information. As of December 31, 2022, the Company had no unrecognized income tax benefits that would affect the Company’s effective tax rate if recognized.</w:t>
      </w:r>
    </w:p>
    <w:p>
      <w:pPr>
        <w:spacing w:after="0" w:line="18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Coronavirus Aid, Relief, and Economic Security Act, or “CARES Act”, and the Consolidated Appropriations Act, 2021, or “Stimulus Bill”, signed into law on March 27, 2020 and December 27, 2020, respectively, have resulted in significant changes to the U.S. federal corporate tax law. Several states have also enacted tax legislation changes. We have considered the applicable tax law changes and determined there was no significant impact to the tax provision of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Employee Benefit Plan</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sponsors a 401(k) plan which stipulates that eligible employees can elect to contribute to the 401(k) plan, subject to certain limitations, up to the lesser of the statutory maximum or 100% of eligible compensation on a pre-tax basis. For the year ended December 31, 2022, the Company made matching contributions of $0.3 million. No contributions were made for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December 31, 2022.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Report of Management on Internal Control Over Financial Reporting</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 as of December 31, 2022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2022.</w:t>
      </w:r>
    </w:p>
    <w:p>
      <w:pPr>
        <w:spacing w:after="0" w:line="16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on our internal control over financial reporting due to an exemption established by the JOBS Act for "emerging growth companies."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information required by this Item will be contained under the headings “Proposal No. 1: Election of Class III Directors,” “Corporate Governance and our Board of Directors,” and “Executive Officers” in our definitive proxy statement for our 2022 annual meeting of stockholders, or our “Proxy Statement,” to be filed with the SEC within 120 days of December 31, 2022 and is incorporated herein by reference.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under the headings “Executive Compensation” and “Director Compensation” and is incorporated herein by reference.</w:t>
      </w:r>
    </w:p>
    <w:p>
      <w:pPr>
        <w:spacing w:after="0" w:line="200" w:lineRule="exact"/>
        <w:rPr>
          <w:sz w:val="20"/>
          <w:szCs w:val="20"/>
          <w:color w:val="auto"/>
        </w:rPr>
      </w:pPr>
    </w:p>
    <w:p>
      <w:pPr>
        <w:spacing w:after="0" w:line="263" w:lineRule="exact"/>
        <w:rPr>
          <w:sz w:val="20"/>
          <w:szCs w:val="20"/>
          <w:color w:val="auto"/>
        </w:rPr>
      </w:pPr>
    </w:p>
    <w:p>
      <w:pPr>
        <w:ind w:left="700" w:right="49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The information required by this Item will be contained in the Proxy Statement under the headings “Ownership of our Common Stock” and “Equity Compensation Plan Information” and is incorporated herein by reference.</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information required by this Item will be contained in the Proxy Statement under the headings “Certain Relationships and Related Person Transactions” and “Board Leadership and Governance Structure” and is incorporated herein by reference.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information required by this Item will be contained in the Proxy Statement under the heading “Proposal No.</w:t>
      </w:r>
    </w:p>
    <w:p>
      <w:pPr>
        <w:spacing w:after="0" w:line="46" w:lineRule="exact"/>
        <w:rPr>
          <w:sz w:val="20"/>
          <w:szCs w:val="20"/>
          <w:color w:val="auto"/>
        </w:rPr>
      </w:pPr>
    </w:p>
    <w:p>
      <w:pPr>
        <w:ind w:left="60" w:right="59" w:hanging="10"/>
        <w:spacing w:after="0" w:line="260" w:lineRule="auto"/>
        <w:tabs>
          <w:tab w:leader="none" w:pos="297" w:val="left"/>
        </w:tabs>
        <w:numPr>
          <w:ilvl w:val="0"/>
          <w:numId w:val="62"/>
        </w:numPr>
        <w:rPr>
          <w:rFonts w:ascii="Arial" w:cs="Arial" w:eastAsia="Arial" w:hAnsi="Arial"/>
          <w:sz w:val="18"/>
          <w:szCs w:val="18"/>
          <w:color w:val="auto"/>
        </w:rPr>
      </w:pPr>
      <w:r>
        <w:rPr>
          <w:rFonts w:ascii="Arial" w:cs="Arial" w:eastAsia="Arial" w:hAnsi="Arial"/>
          <w:sz w:val="18"/>
          <w:szCs w:val="18"/>
          <w:color w:val="auto"/>
        </w:rPr>
        <w:t>Ratification of Appointment of Independent Registered Public Accounting Firm” and is incorporated herein by reference.</w:t>
      </w:r>
    </w:p>
    <w:p>
      <w:pPr>
        <w:spacing w:after="0" w:line="262"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(1)  Financial Statements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Index to Financial Statements in Part II Item 8 of this Annual Report.</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(2)  Financial Statement Schedules</w:t>
      </w:r>
    </w:p>
    <w:p>
      <w:pPr>
        <w:spacing w:after="0" w:line="23" w:lineRule="exact"/>
        <w:rPr>
          <w:sz w:val="20"/>
          <w:szCs w:val="20"/>
          <w:color w:val="auto"/>
        </w:rPr>
      </w:pPr>
    </w:p>
    <w:p>
      <w:pPr>
        <w:ind w:left="700" w:right="699" w:firstLine="324"/>
        <w:spacing w:after="0" w:line="260"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financial statements or notes thereto.</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(3)  Exhibits</w:t>
      </w:r>
    </w:p>
    <w:p>
      <w:pPr>
        <w:spacing w:after="0" w:line="23" w:lineRule="exact"/>
        <w:rPr>
          <w:sz w:val="20"/>
          <w:szCs w:val="20"/>
          <w:color w:val="auto"/>
        </w:rPr>
      </w:pPr>
    </w:p>
    <w:p>
      <w:pPr>
        <w:ind w:left="700" w:right="579" w:firstLine="324"/>
        <w:spacing w:after="0" w:line="323" w:lineRule="auto"/>
        <w:rPr>
          <w:sz w:val="20"/>
          <w:szCs w:val="20"/>
          <w:color w:val="auto"/>
        </w:rPr>
      </w:pPr>
      <w:r>
        <w:rPr>
          <w:rFonts w:ascii="Arial" w:cs="Arial" w:eastAsia="Arial" w:hAnsi="Arial"/>
          <w:sz w:val="16"/>
          <w:szCs w:val="16"/>
          <w:color w:val="auto"/>
        </w:rPr>
        <w:t>The documents listed in the following Exhibit Index are incorporated by reference or are filed with this report, in each case as indicated therein (numbered in accordance with Item 601 of Regulation S-K).</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40" w:type="dxa"/>
            <w:vAlign w:val="bottom"/>
            <w:gridSpan w:val="5"/>
          </w:tcPr>
          <w:p>
            <w:pPr>
              <w:ind w:left="24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060" w:type="dxa"/>
            <w:vAlign w:val="bottom"/>
          </w:tcPr>
          <w:p>
            <w:pPr>
              <w:jc w:val="right"/>
              <w:ind w:right="217"/>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7640" w:type="dxa"/>
            <w:vAlign w:val="bottom"/>
            <w:gridSpan w:val="5"/>
            <w:vMerge w:val="restart"/>
          </w:tcPr>
          <w:p>
            <w:pPr>
              <w:ind w:left="32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No.</w:t>
            </w:r>
          </w:p>
        </w:tc>
        <w:tc>
          <w:tcPr>
            <w:tcW w:w="200" w:type="dxa"/>
            <w:vAlign w:val="bottom"/>
          </w:tcPr>
          <w:p>
            <w:pPr>
              <w:spacing w:after="0"/>
              <w:rPr>
                <w:sz w:val="14"/>
                <w:szCs w:val="14"/>
                <w:color w:val="auto"/>
              </w:rPr>
            </w:pPr>
          </w:p>
        </w:tc>
        <w:tc>
          <w:tcPr>
            <w:tcW w:w="7640" w:type="dxa"/>
            <w:vAlign w:val="bottom"/>
            <w:tcBorders>
              <w:bottom w:val="single" w:sz="8" w:color="auto"/>
            </w:tcBorders>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7640" w:type="dxa"/>
            <w:vAlign w:val="bottom"/>
            <w:gridSpan w:val="5"/>
          </w:tcPr>
          <w:p>
            <w:pPr>
              <w:spacing w:after="0"/>
              <w:rPr>
                <w:rFonts w:ascii="Arial" w:cs="Arial" w:eastAsia="Arial" w:hAnsi="Arial"/>
                <w:sz w:val="18"/>
                <w:szCs w:val="18"/>
                <w:color w:val="0000EE"/>
                <w:w w:val="94"/>
              </w:rPr>
            </w:pPr>
            <w:hyperlink r:id="rId127">
              <w:r>
                <w:rPr>
                  <w:rFonts w:ascii="Arial" w:cs="Arial" w:eastAsia="Arial" w:hAnsi="Arial"/>
                  <w:sz w:val="18"/>
                  <w:szCs w:val="18"/>
                  <w:color w:val="0000EE"/>
                  <w:w w:val="94"/>
                </w:rPr>
                <w:t>Amended and Restated Certificate of Incorporation (incorporated by reference to Exhibit 3.1 filed with</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Company’s Current Report on 8-K filed with the Commission on May 13,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7640" w:type="dxa"/>
            <w:vAlign w:val="bottom"/>
            <w:tcBorders>
              <w:bottom w:val="single" w:sz="8" w:color="0000EE"/>
            </w:tcBorders>
            <w:gridSpan w:val="5"/>
          </w:tcPr>
          <w:p>
            <w:pPr>
              <w:spacing w:after="0"/>
              <w:rPr>
                <w:rFonts w:ascii="Arial" w:cs="Arial" w:eastAsia="Arial" w:hAnsi="Arial"/>
                <w:sz w:val="18"/>
                <w:szCs w:val="18"/>
                <w:color w:val="0000EE"/>
                <w:w w:val="93"/>
              </w:rPr>
            </w:pPr>
            <w:hyperlink r:id="rId128">
              <w:r>
                <w:rPr>
                  <w:rFonts w:ascii="Arial" w:cs="Arial" w:eastAsia="Arial" w:hAnsi="Arial"/>
                  <w:sz w:val="18"/>
                  <w:szCs w:val="18"/>
                  <w:color w:val="0000EE"/>
                  <w:w w:val="93"/>
                </w:rPr>
                <w:t>Amended and Restated Bylaws (incorporated by reference to Exhibit 3.2 filed with Company’s Current</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40" w:type="dxa"/>
            <w:vAlign w:val="bottom"/>
            <w:gridSpan w:val="5"/>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Report on 8-K filed with the Commission on May 13, 2019).</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6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7620" w:type="dxa"/>
            <w:vAlign w:val="bottom"/>
            <w:tcBorders>
              <w:bottom w:val="single" w:sz="8" w:color="0000EE"/>
            </w:tcBorders>
            <w:gridSpan w:val="4"/>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Amended and Restated Investors’ Rights Agreement, dated as of November 5, 2018, by and among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40" w:type="dxa"/>
            <w:vAlign w:val="bottom"/>
            <w:gridSpan w:val="5"/>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Company and the investors party thereto (incorporated by reference to Exhibit 4.1 filed with Company’s</w:t>
              </w:r>
            </w:hyperlink>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Registration Statement on Form S-1 filed with the Commission on April 12, 2019).</w:t>
              </w:r>
            </w:hyperlink>
          </w:p>
        </w:tc>
        <w:tc>
          <w:tcPr>
            <w:tcW w:w="1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20" w:right="59" w:hanging="413"/>
        <w:spacing w:after="0" w:line="277"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31">
        <w:r>
          <w:rPr>
            <w:rFonts w:ascii="Arial" w:cs="Arial" w:eastAsia="Arial" w:hAnsi="Arial"/>
            <w:sz w:val="18"/>
            <w:szCs w:val="18"/>
            <w:u w:val="single" w:color="auto"/>
            <w:color w:val="0000EE"/>
          </w:rPr>
          <w:t>Description of Registered Securities (incorporated by reference to Exhibit 4.2 filed with the Company's</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Annual Report on Form 10-K filed with the Commission on March 12, 2020).</w:t>
        </w:r>
      </w:hyperlink>
    </w:p>
    <w:p>
      <w:pPr>
        <w:spacing w:after="0" w:line="170" w:lineRule="exact"/>
        <w:rPr>
          <w:sz w:val="20"/>
          <w:szCs w:val="20"/>
          <w:color w:val="auto"/>
        </w:rPr>
      </w:pPr>
    </w:p>
    <w:p>
      <w:pPr>
        <w:jc w:val="both"/>
        <w:ind w:left="1320" w:right="59" w:hanging="50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 </w:t>
      </w:r>
      <w:hyperlink r:id="rId132">
        <w:r>
          <w:rPr>
            <w:rFonts w:ascii="Arial" w:cs="Arial" w:eastAsia="Arial" w:hAnsi="Arial"/>
            <w:sz w:val="18"/>
            <w:szCs w:val="18"/>
            <w:u w:val="single" w:color="auto"/>
            <w:color w:val="0000EE"/>
          </w:rPr>
          <w:t>License Agreement, dated as of December 29, 2015, by and between the Company and Yale University</w:t>
        </w:r>
      </w:hyperlink>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EE"/>
          </w:rPr>
          <w:t>(incorporated by reference to Exhibit 10.1 filed with Company’s Registration Statement on Form S-1</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filed with the Commission on April 12, 2019).</w:t>
        </w:r>
      </w:hyperlink>
    </w:p>
    <w:p>
      <w:pPr>
        <w:spacing w:after="0" w:line="184" w:lineRule="exact"/>
        <w:rPr>
          <w:rFonts w:ascii="Arial" w:cs="Arial" w:eastAsia="Arial" w:hAnsi="Arial"/>
          <w:sz w:val="18"/>
          <w:szCs w:val="18"/>
          <w:color w:val="auto"/>
        </w:rPr>
      </w:pPr>
    </w:p>
    <w:p>
      <w:pPr>
        <w:jc w:val="both"/>
        <w:ind w:left="1320" w:right="59" w:hanging="50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 </w:t>
      </w:r>
      <w:hyperlink r:id="rId133">
        <w:r>
          <w:rPr>
            <w:rFonts w:ascii="Arial" w:cs="Arial" w:eastAsia="Arial" w:hAnsi="Arial"/>
            <w:sz w:val="18"/>
            <w:szCs w:val="18"/>
            <w:u w:val="single" w:color="auto"/>
            <w:color w:val="0000EE"/>
          </w:rPr>
          <w:t>Corporate Sponsored Research Agreement, dated as of December 29, 2015, by and between the Company</w:t>
        </w:r>
      </w:hyperlink>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EE"/>
          </w:rPr>
          <w:t>and Yale University (incorporated by reference to Exhibit 10.2 filed with Company’s Registration</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Statement on Form S-1 filed with the Commission on April 12, 2019).</w:t>
        </w:r>
      </w:hyperlink>
    </w:p>
    <w:p>
      <w:pPr>
        <w:spacing w:after="0" w:line="184" w:lineRule="exact"/>
        <w:rPr>
          <w:rFonts w:ascii="Arial" w:cs="Arial" w:eastAsia="Arial" w:hAnsi="Arial"/>
          <w:sz w:val="18"/>
          <w:szCs w:val="18"/>
          <w:color w:val="auto"/>
        </w:rPr>
      </w:pPr>
    </w:p>
    <w:p>
      <w:pPr>
        <w:jc w:val="both"/>
        <w:ind w:left="1320" w:right="79" w:hanging="50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 </w:t>
      </w:r>
      <w:hyperlink r:id="rId134">
        <w:r>
          <w:rPr>
            <w:rFonts w:ascii="Arial" w:cs="Arial" w:eastAsia="Arial" w:hAnsi="Arial"/>
            <w:sz w:val="18"/>
            <w:szCs w:val="18"/>
            <w:u w:val="single" w:color="auto"/>
            <w:color w:val="0000EE"/>
          </w:rPr>
          <w:t>Amendment to License Agreement and SRA, dated as of April 25, 2020, by and between the Company</w:t>
        </w:r>
      </w:hyperlink>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EE"/>
          </w:rPr>
          <w:t>and Yale University (incorporated by reference to Exhibit 10.3 filed with the Company’s Annual Report</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on Form 10-K filed with the SEC on March 4, 2021).</w:t>
        </w:r>
      </w:hyperlink>
    </w:p>
    <w:p>
      <w:pPr>
        <w:spacing w:after="0" w:line="184" w:lineRule="exact"/>
        <w:rPr>
          <w:rFonts w:ascii="Arial" w:cs="Arial" w:eastAsia="Arial" w:hAnsi="Arial"/>
          <w:sz w:val="18"/>
          <w:szCs w:val="18"/>
          <w:color w:val="auto"/>
        </w:rPr>
      </w:pPr>
    </w:p>
    <w:p>
      <w:pPr>
        <w:jc w:val="both"/>
        <w:ind w:left="1320" w:right="79" w:hanging="503"/>
        <w:spacing w:after="0" w:line="34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10.4+ </w:t>
      </w:r>
      <w:hyperlink r:id="rId135">
        <w:r>
          <w:rPr>
            <w:rFonts w:ascii="Arial" w:cs="Arial" w:eastAsia="Arial" w:hAnsi="Arial"/>
            <w:sz w:val="16"/>
            <w:szCs w:val="16"/>
            <w:u w:val="single" w:color="auto"/>
            <w:color w:val="0000EE"/>
          </w:rPr>
          <w:t>NextCure, Inc. 2015 Omnibus Incentive Plan, as amended (incorporated by reference to Exhibit 10.6 filed</w:t>
        </w:r>
      </w:hyperlink>
      <w:r>
        <w:rPr>
          <w:rFonts w:ascii="Arial" w:cs="Arial" w:eastAsia="Arial" w:hAnsi="Arial"/>
          <w:sz w:val="16"/>
          <w:szCs w:val="16"/>
          <w:color w:val="auto"/>
        </w:rPr>
        <w:t xml:space="preserve"> </w:t>
      </w:r>
      <w:hyperlink r:id="rId135">
        <w:r>
          <w:rPr>
            <w:rFonts w:ascii="Arial" w:cs="Arial" w:eastAsia="Arial" w:hAnsi="Arial"/>
            <w:sz w:val="16"/>
            <w:szCs w:val="16"/>
            <w:u w:val="single" w:color="auto"/>
            <w:color w:val="0000EE"/>
          </w:rPr>
          <w:t>with Company’s Registration Statement on Form S-1 filed with the Commission on April 12, 2019).</w:t>
        </w:r>
      </w:hyperlink>
    </w:p>
    <w:p>
      <w:pPr>
        <w:spacing w:after="0" w:line="124" w:lineRule="exact"/>
        <w:rPr>
          <w:sz w:val="20"/>
          <w:szCs w:val="20"/>
          <w:color w:val="auto"/>
        </w:rPr>
      </w:pPr>
    </w:p>
    <w:p>
      <w:pPr>
        <w:jc w:val="both"/>
        <w:ind w:left="1320" w:right="79" w:hanging="50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10.5+ </w:t>
      </w:r>
      <w:hyperlink r:id="rId136">
        <w:r>
          <w:rPr>
            <w:rFonts w:ascii="Arial" w:cs="Arial" w:eastAsia="Arial" w:hAnsi="Arial"/>
            <w:sz w:val="18"/>
            <w:szCs w:val="18"/>
            <w:u w:val="single" w:color="auto"/>
            <w:color w:val="0000EE"/>
          </w:rPr>
          <w:t>Form of Stock Option Agreement under the NextCure, Inc. 2015 Omnibus Incentive Plan (incorporated</w:t>
        </w:r>
      </w:hyperlink>
      <w:r>
        <w:rPr>
          <w:rFonts w:ascii="Arial" w:cs="Arial" w:eastAsia="Arial" w:hAnsi="Arial"/>
          <w:sz w:val="18"/>
          <w:szCs w:val="18"/>
          <w:color w:val="auto"/>
        </w:rPr>
        <w:t xml:space="preserve"> </w:t>
      </w:r>
      <w:hyperlink r:id="rId136">
        <w:r>
          <w:rPr>
            <w:rFonts w:ascii="Arial" w:cs="Arial" w:eastAsia="Arial" w:hAnsi="Arial"/>
            <w:sz w:val="18"/>
            <w:szCs w:val="18"/>
            <w:u w:val="single" w:color="auto"/>
            <w:color w:val="0000EE"/>
          </w:rPr>
          <w:t>by reference to Exhibit 10.7 filed with Company’s Registration Statement on Form S-1 filed with the</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Commission on April 12, 2019).</w:t>
        </w:r>
      </w:hyperlink>
    </w:p>
    <w:p>
      <w:pPr>
        <w:spacing w:after="0" w:line="184" w:lineRule="exact"/>
        <w:rPr>
          <w:rFonts w:ascii="Arial" w:cs="Arial" w:eastAsia="Arial" w:hAnsi="Arial"/>
          <w:sz w:val="18"/>
          <w:szCs w:val="18"/>
          <w:color w:val="auto"/>
        </w:rPr>
      </w:pPr>
    </w:p>
    <w:p>
      <w:pPr>
        <w:jc w:val="both"/>
        <w:ind w:left="1320" w:right="79" w:hanging="503"/>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10.6+ </w:t>
      </w:r>
      <w:hyperlink r:id="rId137">
        <w:r>
          <w:rPr>
            <w:rFonts w:ascii="Arial" w:cs="Arial" w:eastAsia="Arial" w:hAnsi="Arial"/>
            <w:sz w:val="18"/>
            <w:szCs w:val="18"/>
            <w:u w:val="single" w:color="auto"/>
            <w:color w:val="0000EE"/>
          </w:rPr>
          <w:t>NextCure, Inc. 2019 Omnibus Incentive Plan (incorporated by reference to Exhibit 10.8 filed with</w:t>
        </w:r>
      </w:hyperlink>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EE"/>
          </w:rPr>
          <w:t>Registration Statement on Form S-1/A filed with the Commission on April 29, 2019).</w:t>
        </w:r>
      </w:hyperlink>
    </w:p>
    <w:p>
      <w:pPr>
        <w:spacing w:after="0" w:line="170" w:lineRule="exact"/>
        <w:rPr>
          <w:sz w:val="20"/>
          <w:szCs w:val="20"/>
          <w:color w:val="auto"/>
        </w:rPr>
      </w:pPr>
    </w:p>
    <w:p>
      <w:pPr>
        <w:jc w:val="both"/>
        <w:ind w:left="1320" w:right="79" w:hanging="50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10.7+ </w:t>
      </w:r>
      <w:hyperlink r:id="rId138">
        <w:r>
          <w:rPr>
            <w:rFonts w:ascii="Arial" w:cs="Arial" w:eastAsia="Arial" w:hAnsi="Arial"/>
            <w:sz w:val="18"/>
            <w:szCs w:val="18"/>
            <w:u w:val="single" w:color="auto"/>
            <w:color w:val="0000EE"/>
          </w:rPr>
          <w:t>Forms of Stock Option Agreement under the NextCure, Inc. 2019 Omnibus Incentive Plan (incorporated</w:t>
        </w:r>
      </w:hyperlink>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EE"/>
          </w:rPr>
          <w:t>by reference to Exhibit 10.9 filed with Company’s Registration Statement on Form S-1/A filed with the</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Commission on April 29, 2019).</w:t>
        </w:r>
      </w:hyperlink>
    </w:p>
    <w:p>
      <w:pPr>
        <w:spacing w:after="0" w:line="184" w:lineRule="exact"/>
        <w:rPr>
          <w:rFonts w:ascii="Arial" w:cs="Arial" w:eastAsia="Arial" w:hAnsi="Arial"/>
          <w:sz w:val="18"/>
          <w:szCs w:val="18"/>
          <w:color w:val="auto"/>
        </w:rPr>
      </w:pPr>
    </w:p>
    <w:p>
      <w:pPr>
        <w:jc w:val="both"/>
        <w:ind w:left="1320" w:right="59" w:hanging="50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10.8+ </w:t>
      </w:r>
      <w:hyperlink r:id="rId139">
        <w:r>
          <w:rPr>
            <w:rFonts w:ascii="Arial" w:cs="Arial" w:eastAsia="Arial" w:hAnsi="Arial"/>
            <w:sz w:val="18"/>
            <w:szCs w:val="18"/>
            <w:u w:val="single" w:color="auto"/>
            <w:color w:val="0000EE"/>
          </w:rPr>
          <w:t>Form of Restricted Stock Agreement under the NextCure, Inc. 2019 Omnibus Incentive Plan</w:t>
        </w:r>
      </w:hyperlink>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EE"/>
          </w:rPr>
          <w:t>(incorporated by reference to Exhibit 10.10 filed with Company’s Registration Statement on Form S-1/A</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filed with the Commission on April 29, 2019).</w:t>
        </w:r>
      </w:hyperlink>
    </w:p>
    <w:p>
      <w:pPr>
        <w:spacing w:after="0" w:line="184" w:lineRule="exact"/>
        <w:rPr>
          <w:rFonts w:ascii="Arial" w:cs="Arial" w:eastAsia="Arial" w:hAnsi="Arial"/>
          <w:sz w:val="18"/>
          <w:szCs w:val="18"/>
          <w:color w:val="auto"/>
        </w:rPr>
      </w:pPr>
    </w:p>
    <w:p>
      <w:pPr>
        <w:jc w:val="both"/>
        <w:ind w:left="1320" w:right="79" w:hanging="50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10.9+ </w:t>
      </w:r>
      <w:hyperlink r:id="rId140">
        <w:r>
          <w:rPr>
            <w:rFonts w:ascii="Arial" w:cs="Arial" w:eastAsia="Arial" w:hAnsi="Arial"/>
            <w:sz w:val="18"/>
            <w:szCs w:val="18"/>
            <w:u w:val="single" w:color="auto"/>
            <w:color w:val="0000EE"/>
          </w:rPr>
          <w:t>Form of Restricted Stock Unit Agreement under the NextCure, Inc. 2019 Omnibus Incentive Plan</w:t>
        </w:r>
      </w:hyperlink>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EE"/>
          </w:rPr>
          <w:t>(incorporated by reference to Exhibit 10.11 filed with Company’s Registration Statement on Form S-1/A</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filed with the Commission on April 29, 2019).</w:t>
        </w:r>
      </w:hyperlink>
    </w:p>
    <w:p>
      <w:pPr>
        <w:spacing w:after="0" w:line="184" w:lineRule="exact"/>
        <w:rPr>
          <w:rFonts w:ascii="Arial" w:cs="Arial" w:eastAsia="Arial" w:hAnsi="Arial"/>
          <w:sz w:val="18"/>
          <w:szCs w:val="18"/>
          <w:color w:val="auto"/>
        </w:rPr>
      </w:pPr>
    </w:p>
    <w:p>
      <w:pPr>
        <w:jc w:val="both"/>
        <w:ind w:left="1320" w:right="79" w:hanging="593"/>
        <w:spacing w:after="0" w:line="30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10.10+ </w:t>
      </w:r>
      <w:hyperlink r:id="rId141">
        <w:r>
          <w:rPr>
            <w:rFonts w:ascii="Arial" w:cs="Arial" w:eastAsia="Arial" w:hAnsi="Arial"/>
            <w:sz w:val="17"/>
            <w:szCs w:val="17"/>
            <w:u w:val="single" w:color="auto"/>
            <w:color w:val="0000EE"/>
          </w:rPr>
          <w:t>NextCure, Inc. 2019 Employee Stock Purchase Plan (incorporated by reference to Exhibit 10.12 filed</w:t>
        </w:r>
      </w:hyperlink>
      <w:r>
        <w:rPr>
          <w:rFonts w:ascii="Arial" w:cs="Arial" w:eastAsia="Arial" w:hAnsi="Arial"/>
          <w:sz w:val="17"/>
          <w:szCs w:val="17"/>
          <w:color w:val="auto"/>
        </w:rPr>
        <w:t xml:space="preserve"> </w:t>
      </w:r>
      <w:hyperlink r:id="rId141">
        <w:r>
          <w:rPr>
            <w:rFonts w:ascii="Arial" w:cs="Arial" w:eastAsia="Arial" w:hAnsi="Arial"/>
            <w:sz w:val="17"/>
            <w:szCs w:val="17"/>
            <w:u w:val="single" w:color="auto"/>
            <w:color w:val="0000EE"/>
          </w:rPr>
          <w:t>with Company’s Registration Statement on Form S-1/A filed with the Commission on April 29, 2019).</w:t>
        </w:r>
      </w:hyperlink>
    </w:p>
    <w:p>
      <w:pPr>
        <w:spacing w:after="0" w:line="146" w:lineRule="exact"/>
        <w:rPr>
          <w:sz w:val="20"/>
          <w:szCs w:val="20"/>
          <w:color w:val="auto"/>
        </w:rPr>
      </w:pPr>
    </w:p>
    <w:p>
      <w:pPr>
        <w:jc w:val="both"/>
        <w:ind w:left="1320" w:right="79" w:hanging="586"/>
        <w:spacing w:after="0" w:line="30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10.11+ </w:t>
      </w:r>
      <w:hyperlink r:id="rId142">
        <w:r>
          <w:rPr>
            <w:rFonts w:ascii="Arial" w:cs="Arial" w:eastAsia="Arial" w:hAnsi="Arial"/>
            <w:sz w:val="17"/>
            <w:szCs w:val="17"/>
            <w:u w:val="single" w:color="auto"/>
            <w:color w:val="0000EE"/>
          </w:rPr>
          <w:t>Non-Employee Director Compensation Program (incorporated by reference to Exhibit 10.1 filed with the</w:t>
        </w:r>
      </w:hyperlink>
      <w:r>
        <w:rPr>
          <w:rFonts w:ascii="Arial" w:cs="Arial" w:eastAsia="Arial" w:hAnsi="Arial"/>
          <w:sz w:val="17"/>
          <w:szCs w:val="17"/>
          <w:color w:val="auto"/>
        </w:rPr>
        <w:t xml:space="preserve"> </w:t>
      </w:r>
      <w:hyperlink r:id="rId142">
        <w:r>
          <w:rPr>
            <w:rFonts w:ascii="Arial" w:cs="Arial" w:eastAsia="Arial" w:hAnsi="Arial"/>
            <w:sz w:val="17"/>
            <w:szCs w:val="17"/>
            <w:u w:val="single" w:color="auto"/>
            <w:color w:val="0000EE"/>
          </w:rPr>
          <w:t>Company’s Current Report on Form 8-K filed with the Commission on September 14, 2020).</w:t>
        </w:r>
      </w:hyperlink>
    </w:p>
    <w:p>
      <w:pPr>
        <w:spacing w:after="0" w:line="146" w:lineRule="exact"/>
        <w:rPr>
          <w:sz w:val="20"/>
          <w:szCs w:val="20"/>
          <w:color w:val="auto"/>
        </w:rPr>
      </w:pPr>
    </w:p>
    <w:p>
      <w:pPr>
        <w:jc w:val="both"/>
        <w:ind w:left="1320" w:right="79" w:hanging="59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10.12+ </w:t>
      </w:r>
      <w:hyperlink r:id="rId143">
        <w:r>
          <w:rPr>
            <w:rFonts w:ascii="Arial" w:cs="Arial" w:eastAsia="Arial" w:hAnsi="Arial"/>
            <w:sz w:val="18"/>
            <w:szCs w:val="18"/>
            <w:u w:val="single" w:color="auto"/>
            <w:color w:val="0000EE"/>
          </w:rPr>
          <w:t>Form of Indemnification Agreement by and between the Company and each of its directors and executive</w:t>
        </w:r>
      </w:hyperlink>
      <w:r>
        <w:rPr>
          <w:rFonts w:ascii="Arial" w:cs="Arial" w:eastAsia="Arial" w:hAnsi="Arial"/>
          <w:sz w:val="18"/>
          <w:szCs w:val="18"/>
          <w:color w:val="auto"/>
        </w:rPr>
        <w:t xml:space="preserve"> </w:t>
      </w:r>
      <w:hyperlink r:id="rId143">
        <w:r>
          <w:rPr>
            <w:rFonts w:ascii="Arial" w:cs="Arial" w:eastAsia="Arial" w:hAnsi="Arial"/>
            <w:sz w:val="18"/>
            <w:szCs w:val="18"/>
            <w:u w:val="single" w:color="auto"/>
            <w:color w:val="0000EE"/>
          </w:rPr>
          <w:t>officers (incorporated by reference to Exhibit 10.5 filed with Company’s Registration Statement on</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Form S-1 filed with the Commission on April 12, 2019).</w:t>
        </w:r>
      </w:hyperlink>
    </w:p>
    <w:p>
      <w:pPr>
        <w:spacing w:after="0" w:line="184" w:lineRule="exact"/>
        <w:rPr>
          <w:rFonts w:ascii="Arial" w:cs="Arial" w:eastAsia="Arial" w:hAnsi="Arial"/>
          <w:sz w:val="18"/>
          <w:szCs w:val="18"/>
          <w:color w:val="auto"/>
        </w:rPr>
      </w:pPr>
    </w:p>
    <w:p>
      <w:pPr>
        <w:jc w:val="both"/>
        <w:ind w:left="1320" w:right="79" w:hanging="59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10.14+ </w:t>
      </w:r>
      <w:hyperlink r:id="rId144">
        <w:r>
          <w:rPr>
            <w:rFonts w:ascii="Arial" w:cs="Arial" w:eastAsia="Arial" w:hAnsi="Arial"/>
            <w:sz w:val="18"/>
            <w:szCs w:val="18"/>
            <w:u w:val="single" w:color="auto"/>
            <w:color w:val="0000EE"/>
          </w:rPr>
          <w:t>Employment Agreement, effective as of July 27, 2020, by and between the Company and Michael</w:t>
        </w:r>
      </w:hyperlink>
      <w:r>
        <w:rPr>
          <w:rFonts w:ascii="Arial" w:cs="Arial" w:eastAsia="Arial" w:hAnsi="Arial"/>
          <w:sz w:val="18"/>
          <w:szCs w:val="18"/>
          <w:color w:val="auto"/>
        </w:rPr>
        <w:t xml:space="preserve"> </w:t>
      </w:r>
      <w:hyperlink r:id="rId144">
        <w:r>
          <w:rPr>
            <w:rFonts w:ascii="Arial" w:cs="Arial" w:eastAsia="Arial" w:hAnsi="Arial"/>
            <w:sz w:val="18"/>
            <w:szCs w:val="18"/>
            <w:u w:val="single" w:color="auto"/>
            <w:color w:val="0000EE"/>
          </w:rPr>
          <w:t>Richman (incorporated by reference to Exhibit 10.1 filed with the Company’s Current Report on Form 8-</w:t>
        </w:r>
      </w:hyperlink>
      <w:hyperlink r:id="rId144">
        <w:r>
          <w:rPr>
            <w:rFonts w:ascii="Arial" w:cs="Arial" w:eastAsia="Arial" w:hAnsi="Arial"/>
            <w:sz w:val="18"/>
            <w:szCs w:val="18"/>
            <w:u w:val="single" w:color="auto"/>
            <w:color w:val="0000EE"/>
          </w:rPr>
          <w:t>K filed with the Commission on July 31, 2020).</w:t>
        </w:r>
      </w:hyperlink>
    </w:p>
    <w:p>
      <w:pPr>
        <w:spacing w:after="0" w:line="184" w:lineRule="exact"/>
        <w:rPr>
          <w:rFonts w:ascii="Arial" w:cs="Arial" w:eastAsia="Arial" w:hAnsi="Arial"/>
          <w:sz w:val="18"/>
          <w:szCs w:val="18"/>
          <w:color w:val="auto"/>
        </w:rPr>
      </w:pPr>
    </w:p>
    <w:p>
      <w:pPr>
        <w:jc w:val="both"/>
        <w:ind w:left="1320" w:right="79" w:hanging="593"/>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10.15+ </w:t>
      </w:r>
      <w:hyperlink r:id="rId145">
        <w:r>
          <w:rPr>
            <w:rFonts w:ascii="Arial" w:cs="Arial" w:eastAsia="Arial" w:hAnsi="Arial"/>
            <w:sz w:val="18"/>
            <w:szCs w:val="18"/>
            <w:u w:val="single" w:color="auto"/>
            <w:color w:val="0000EE"/>
          </w:rPr>
          <w:t>Employment Agreement, effective as of July 27, 2020, by and between the Company and Steven P.</w:t>
        </w:r>
      </w:hyperlink>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EE"/>
          </w:rPr>
          <w:t>Cobourn (incorporated by reference to Exhibit 10.2 filed with the Company’s Current Report on Form 8-</w:t>
        </w:r>
      </w:hyperlink>
      <w:hyperlink r:id="rId145">
        <w:r>
          <w:rPr>
            <w:rFonts w:ascii="Arial" w:cs="Arial" w:eastAsia="Arial" w:hAnsi="Arial"/>
            <w:sz w:val="18"/>
            <w:szCs w:val="18"/>
            <w:u w:val="single" w:color="auto"/>
            <w:color w:val="0000EE"/>
          </w:rPr>
          <w:t>K filed with the Commission on July 31, 2020).</w:t>
        </w:r>
      </w:hyperlink>
    </w:p>
    <w:p>
      <w:pPr>
        <w:sectPr>
          <w:pgSz w:w="11900" w:h="16838" w:orient="portrait"/>
          <w:cols w:equalWidth="0" w:num="1">
            <w:col w:w="9019"/>
          </w:cols>
          <w:pgMar w:left="1440" w:top="517" w:right="1440" w:bottom="1440" w:gutter="0" w:footer="0" w:header="0"/>
        </w:sectPr>
      </w:pPr>
    </w:p>
    <w:p>
      <w:pPr>
        <w:spacing w:after="0" w:line="40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1320" w:right="59" w:hanging="606"/>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10.16+ </w:t>
      </w:r>
      <w:hyperlink r:id="rId147">
        <w:r>
          <w:rPr>
            <w:rFonts w:ascii="Arial" w:cs="Arial" w:eastAsia="Arial" w:hAnsi="Arial"/>
            <w:sz w:val="18"/>
            <w:szCs w:val="18"/>
            <w:u w:val="single" w:color="auto"/>
            <w:color w:val="0000EE"/>
          </w:rPr>
          <w:t>Employment Agreement, effective as of July 27, 2020, by and between the Company and Solomon</w:t>
        </w:r>
      </w:hyperlink>
      <w:r>
        <w:rPr>
          <w:rFonts w:ascii="Arial" w:cs="Arial" w:eastAsia="Arial" w:hAnsi="Arial"/>
          <w:sz w:val="18"/>
          <w:szCs w:val="18"/>
          <w:color w:val="auto"/>
        </w:rPr>
        <w:t xml:space="preserve"> </w:t>
      </w:r>
      <w:hyperlink r:id="rId147">
        <w:r>
          <w:rPr>
            <w:rFonts w:ascii="Arial" w:cs="Arial" w:eastAsia="Arial" w:hAnsi="Arial"/>
            <w:sz w:val="18"/>
            <w:szCs w:val="18"/>
            <w:u w:val="single" w:color="auto"/>
            <w:color w:val="0000EE"/>
          </w:rPr>
          <w:t>Langermann, Ph.D. (incorporated by reference to Exhibit 10.3 filed with the Company’s Current Report</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on Form 8-K filed with the Commission on July 31, 2020).</w:t>
        </w:r>
      </w:hyperlink>
    </w:p>
    <w:p>
      <w:pPr>
        <w:spacing w:after="0" w:line="184" w:lineRule="exact"/>
        <w:rPr>
          <w:rFonts w:ascii="Arial" w:cs="Arial" w:eastAsia="Arial" w:hAnsi="Arial"/>
          <w:sz w:val="18"/>
          <w:szCs w:val="18"/>
          <w:color w:val="auto"/>
        </w:rPr>
      </w:pPr>
    </w:p>
    <w:p>
      <w:pPr>
        <w:jc w:val="both"/>
        <w:ind w:left="1320" w:right="59" w:hanging="606"/>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10.18† </w:t>
      </w:r>
      <w:hyperlink r:id="rId148">
        <w:r>
          <w:rPr>
            <w:rFonts w:ascii="Arial" w:cs="Arial" w:eastAsia="Arial" w:hAnsi="Arial"/>
            <w:sz w:val="18"/>
            <w:szCs w:val="18"/>
            <w:u w:val="single" w:color="auto"/>
            <w:color w:val="0000EE"/>
          </w:rPr>
          <w:t>Lease Agreement, dated as of January 30, 2019, by and between the Company and ARE-</w:t>
        </w:r>
      </w:hyperlink>
      <w:hyperlink r:id="rId148">
        <w:r>
          <w:rPr>
            <w:rFonts w:ascii="Arial" w:cs="Arial" w:eastAsia="Arial" w:hAnsi="Arial"/>
            <w:sz w:val="18"/>
            <w:szCs w:val="18"/>
            <w:u w:val="single" w:color="auto"/>
            <w:color w:val="0000EE"/>
          </w:rPr>
          <w:t>8000/9000/10000 Virginia Manor, LLC (incorporated by reference to Exhibit 10.14 filed with Company’s</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Registration Statement on Form S-1 filed with the Commission on April 12, 2019).</w:t>
        </w:r>
      </w:hyperlink>
    </w:p>
    <w:p>
      <w:pPr>
        <w:spacing w:after="0" w:line="184" w:lineRule="exact"/>
        <w:rPr>
          <w:rFonts w:ascii="Arial" w:cs="Arial" w:eastAsia="Arial" w:hAnsi="Arial"/>
          <w:sz w:val="18"/>
          <w:szCs w:val="18"/>
          <w:color w:val="auto"/>
        </w:rPr>
      </w:pPr>
    </w:p>
    <w:p>
      <w:pPr>
        <w:jc w:val="both"/>
        <w:ind w:left="1320" w:right="79" w:hanging="606"/>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10.19† </w:t>
      </w:r>
      <w:hyperlink r:id="rId149">
        <w:r>
          <w:rPr>
            <w:rFonts w:ascii="Arial" w:cs="Arial" w:eastAsia="Arial" w:hAnsi="Arial"/>
            <w:sz w:val="18"/>
            <w:szCs w:val="18"/>
            <w:u w:val="single" w:color="auto"/>
            <w:color w:val="0000EE"/>
          </w:rPr>
          <w:t>First Amendment to Lease Agreement, dated August 2, 2019, by and between the Company and ARE-</w:t>
        </w:r>
      </w:hyperlink>
      <w:hyperlink r:id="rId149">
        <w:r>
          <w:rPr>
            <w:rFonts w:ascii="Arial" w:cs="Arial" w:eastAsia="Arial" w:hAnsi="Arial"/>
            <w:sz w:val="18"/>
            <w:szCs w:val="18"/>
            <w:u w:val="single" w:color="auto"/>
            <w:color w:val="0000EE"/>
          </w:rPr>
          <w:t>8000/9000/10000 Virginia Manor, LLC (incorporated by reference to Exhibit 10.1 filed with Company’s</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Quarterly Report on Form 10-Q filed on November 12, 2019).</w:t>
        </w:r>
      </w:hyperlink>
    </w:p>
    <w:p>
      <w:pPr>
        <w:spacing w:after="0" w:line="184" w:lineRule="exact"/>
        <w:rPr>
          <w:rFonts w:ascii="Arial" w:cs="Arial" w:eastAsia="Arial" w:hAnsi="Arial"/>
          <w:sz w:val="18"/>
          <w:szCs w:val="18"/>
          <w:color w:val="auto"/>
        </w:rPr>
      </w:pPr>
    </w:p>
    <w:p>
      <w:pPr>
        <w:jc w:val="both"/>
        <w:ind w:left="1320" w:right="79" w:hanging="606"/>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10.20+ </w:t>
      </w:r>
      <w:hyperlink r:id="rId150">
        <w:r>
          <w:rPr>
            <w:rFonts w:ascii="Arial" w:cs="Arial" w:eastAsia="Arial" w:hAnsi="Arial"/>
            <w:sz w:val="18"/>
            <w:szCs w:val="18"/>
            <w:u w:val="single" w:color="auto"/>
            <w:color w:val="0000EE"/>
          </w:rPr>
          <w:t>First Amendment to the NextCure, Inc. 2015 Omnibus Incentive Plan dated September 30, 2021</w:t>
        </w:r>
      </w:hyperlink>
      <w:r>
        <w:rPr>
          <w:rFonts w:ascii="Arial" w:cs="Arial" w:eastAsia="Arial" w:hAnsi="Arial"/>
          <w:sz w:val="18"/>
          <w:szCs w:val="18"/>
          <w:color w:val="auto"/>
        </w:rPr>
        <w:t xml:space="preserve"> </w:t>
      </w:r>
      <w:hyperlink r:id="rId150">
        <w:r>
          <w:rPr>
            <w:rFonts w:ascii="Arial" w:cs="Arial" w:eastAsia="Arial" w:hAnsi="Arial"/>
            <w:sz w:val="18"/>
            <w:szCs w:val="18"/>
            <w:u w:val="single" w:color="auto"/>
            <w:color w:val="0000EE"/>
          </w:rPr>
          <w:t>(incorporated by reference to Exhibit 10.1 filed with Company’s Quarterly Report on Form 10-Q filed on</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November 4, 2021).</w:t>
        </w:r>
      </w:hyperlink>
    </w:p>
    <w:p>
      <w:pPr>
        <w:spacing w:after="0" w:line="184" w:lineRule="exact"/>
        <w:rPr>
          <w:rFonts w:ascii="Arial" w:cs="Arial" w:eastAsia="Arial" w:hAnsi="Arial"/>
          <w:sz w:val="18"/>
          <w:szCs w:val="18"/>
          <w:color w:val="auto"/>
        </w:rPr>
      </w:pPr>
    </w:p>
    <w:p>
      <w:pPr>
        <w:jc w:val="both"/>
        <w:ind w:left="1320" w:right="59" w:hanging="606"/>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10.21† </w:t>
      </w:r>
      <w:hyperlink r:id="rId151">
        <w:r>
          <w:rPr>
            <w:rFonts w:ascii="Arial" w:cs="Arial" w:eastAsia="Arial" w:hAnsi="Arial"/>
            <w:sz w:val="18"/>
            <w:szCs w:val="18"/>
            <w:u w:val="single" w:color="auto"/>
            <w:color w:val="0000EE"/>
          </w:rPr>
          <w:t>Amended and Restated Sublease Agreement, dated as of March 15, 2019, by and between the Company</w:t>
        </w:r>
      </w:hyperlink>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EE"/>
          </w:rPr>
          <w:t>and Lupin, Inc. (incorporated by reference to Exhibit 10.4 filed with Company’s Registration Statement</w:t>
        </w:r>
      </w:hyperlink>
      <w:r>
        <w:rPr>
          <w:rFonts w:ascii="Arial" w:cs="Arial" w:eastAsia="Arial" w:hAnsi="Arial"/>
          <w:sz w:val="18"/>
          <w:szCs w:val="18"/>
          <w:u w:val="single" w:color="auto"/>
          <w:color w:val="0000EE"/>
        </w:rPr>
        <w:t xml:space="preserve"> </w:t>
      </w:r>
      <w:hyperlink r:id="rId151">
        <w:r>
          <w:rPr>
            <w:rFonts w:ascii="Arial" w:cs="Arial" w:eastAsia="Arial" w:hAnsi="Arial"/>
            <w:sz w:val="18"/>
            <w:szCs w:val="18"/>
            <w:u w:val="single" w:color="auto"/>
            <w:color w:val="0000EE"/>
          </w:rPr>
          <w:t>on Form S-1 filed with the Commission on April 12, 2019).</w:t>
        </w:r>
      </w:hyperlink>
    </w:p>
    <w:p>
      <w:pPr>
        <w:spacing w:after="0" w:line="184" w:lineRule="exact"/>
        <w:rPr>
          <w:rFonts w:ascii="Arial" w:cs="Arial" w:eastAsia="Arial" w:hAnsi="Arial"/>
          <w:sz w:val="18"/>
          <w:szCs w:val="18"/>
          <w:color w:val="auto"/>
        </w:rPr>
      </w:pPr>
    </w:p>
    <w:p>
      <w:pPr>
        <w:jc w:val="both"/>
        <w:ind w:left="1320" w:right="59" w:hanging="606"/>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10.23† </w:t>
      </w:r>
      <w:hyperlink r:id="rId152">
        <w:r>
          <w:rPr>
            <w:rFonts w:ascii="Arial" w:cs="Arial" w:eastAsia="Arial" w:hAnsi="Arial"/>
            <w:sz w:val="18"/>
            <w:szCs w:val="18"/>
            <w:u w:val="single" w:color="auto"/>
            <w:color w:val="0000EE"/>
          </w:rPr>
          <w:t>Second Amendment to License Agreement and SRA, dated as of October 20, 2021, by and between the</w:t>
        </w:r>
      </w:hyperlink>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EE"/>
          </w:rPr>
          <w:t>Company and Yale University. (incorporated by reference to Exhibit 10.23 filed with the Company's</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Annual Report on Form 10-K filed with the Commission on March 3, 2022).</w:t>
        </w:r>
      </w:hyperlink>
    </w:p>
    <w:p>
      <w:pPr>
        <w:spacing w:after="0" w:line="184" w:lineRule="exact"/>
        <w:rPr>
          <w:rFonts w:ascii="Arial" w:cs="Arial" w:eastAsia="Arial" w:hAnsi="Arial"/>
          <w:sz w:val="18"/>
          <w:szCs w:val="18"/>
          <w:color w:val="auto"/>
        </w:rPr>
      </w:pPr>
    </w:p>
    <w:p>
      <w:pPr>
        <w:jc w:val="both"/>
        <w:ind w:left="1320" w:right="59" w:hanging="606"/>
        <w:spacing w:after="0" w:line="263"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10.24† </w:t>
      </w:r>
      <w:hyperlink r:id="rId152">
        <w:r>
          <w:rPr>
            <w:rFonts w:ascii="Arial" w:cs="Arial" w:eastAsia="Arial" w:hAnsi="Arial"/>
            <w:sz w:val="18"/>
            <w:szCs w:val="18"/>
            <w:u w:val="single" w:color="auto"/>
            <w:color w:val="0000EE"/>
          </w:rPr>
          <w:t>Employment Agreement, effective as of January 11, 2021, by and between the Company and Han Myint,</w:t>
        </w:r>
      </w:hyperlink>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EE"/>
          </w:rPr>
          <w:t>M.D. (incorporated by reference to Exhibit 10.24 filed with the Company's Annual Report on Form 10-K</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filed with the Commission on March 3, 2022).</w:t>
        </w:r>
      </w:hyperlink>
    </w:p>
    <w:p>
      <w:pPr>
        <w:spacing w:after="0" w:line="184" w:lineRule="exact"/>
        <w:rPr>
          <w:rFonts w:ascii="Arial" w:cs="Arial" w:eastAsia="Arial" w:hAnsi="Arial"/>
          <w:sz w:val="18"/>
          <w:szCs w:val="18"/>
          <w:color w:val="auto"/>
        </w:rPr>
      </w:pPr>
    </w:p>
    <w:p>
      <w:pPr>
        <w:jc w:val="both"/>
        <w:ind w:left="1320" w:right="59" w:hanging="606"/>
        <w:spacing w:after="0" w:line="286"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10.25† </w:t>
      </w:r>
      <w:hyperlink r:id="rId152">
        <w:r>
          <w:rPr>
            <w:rFonts w:ascii="Arial" w:cs="Arial" w:eastAsia="Arial" w:hAnsi="Arial"/>
            <w:sz w:val="17"/>
            <w:szCs w:val="17"/>
            <w:u w:val="single" w:color="auto"/>
            <w:color w:val="0000EE"/>
          </w:rPr>
          <w:t>Second Amendment to Lease Agreement, dated February 19, 2020, by and between the Company and</w:t>
        </w:r>
      </w:hyperlink>
      <w:r>
        <w:rPr>
          <w:rFonts w:ascii="Arial" w:cs="Arial" w:eastAsia="Arial" w:hAnsi="Arial"/>
          <w:sz w:val="17"/>
          <w:szCs w:val="17"/>
          <w:color w:val="auto"/>
        </w:rPr>
        <w:t xml:space="preserve"> </w:t>
      </w:r>
      <w:hyperlink r:id="rId152">
        <w:r>
          <w:rPr>
            <w:rFonts w:ascii="Arial" w:cs="Arial" w:eastAsia="Arial" w:hAnsi="Arial"/>
            <w:sz w:val="17"/>
            <w:szCs w:val="17"/>
            <w:u w:val="single" w:color="auto"/>
            <w:color w:val="0000EE"/>
          </w:rPr>
          <w:t>ARE-8000/9000/10000 Virginia Manor, LLC. (incorporated by reference to Exhibit 10.25 filed with the</w:t>
        </w:r>
      </w:hyperlink>
      <w:r>
        <w:rPr>
          <w:rFonts w:ascii="Arial" w:cs="Arial" w:eastAsia="Arial" w:hAnsi="Arial"/>
          <w:sz w:val="17"/>
          <w:szCs w:val="17"/>
          <w:u w:val="single" w:color="auto"/>
          <w:color w:val="0000EE"/>
        </w:rPr>
        <w:t xml:space="preserve"> </w:t>
      </w:r>
      <w:hyperlink r:id="rId152">
        <w:r>
          <w:rPr>
            <w:rFonts w:ascii="Arial" w:cs="Arial" w:eastAsia="Arial" w:hAnsi="Arial"/>
            <w:sz w:val="17"/>
            <w:szCs w:val="17"/>
            <w:u w:val="single" w:color="auto"/>
            <w:color w:val="0000EE"/>
          </w:rPr>
          <w:t>Company's Annual Report on Form 10-K filed with the Commission on March 3, 2022).</w:t>
        </w:r>
      </w:hyperlink>
    </w:p>
    <w:p>
      <w:pPr>
        <w:spacing w:after="0" w:line="165" w:lineRule="exact"/>
        <w:rPr>
          <w:rFonts w:ascii="Arial" w:cs="Arial" w:eastAsia="Arial" w:hAnsi="Arial"/>
          <w:sz w:val="17"/>
          <w:szCs w:val="17"/>
          <w:color w:val="auto"/>
        </w:rPr>
      </w:pPr>
    </w:p>
    <w:p>
      <w:pPr>
        <w:jc w:val="both"/>
        <w:ind w:left="1320" w:right="59" w:hanging="606"/>
        <w:spacing w:after="0" w:line="286"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10.26† </w:t>
      </w:r>
      <w:hyperlink r:id="rId152">
        <w:r>
          <w:rPr>
            <w:rFonts w:ascii="Arial" w:cs="Arial" w:eastAsia="Arial" w:hAnsi="Arial"/>
            <w:sz w:val="17"/>
            <w:szCs w:val="17"/>
            <w:u w:val="single" w:color="auto"/>
            <w:color w:val="0000EE"/>
          </w:rPr>
          <w:t>Third Amendment to Lease Agreement, dated February 4, 2022, by and between the Company and ARE-</w:t>
        </w:r>
      </w:hyperlink>
      <w:hyperlink r:id="rId152">
        <w:r>
          <w:rPr>
            <w:rFonts w:ascii="Arial" w:cs="Arial" w:eastAsia="Arial" w:hAnsi="Arial"/>
            <w:sz w:val="17"/>
            <w:szCs w:val="17"/>
            <w:u w:val="single" w:color="auto"/>
            <w:color w:val="0000EE"/>
          </w:rPr>
          <w:t>8000/9000/10000 Virginia Manor, LLC. (incorporated by reference to Exhibit 10.26 filed with the</w:t>
        </w:r>
      </w:hyperlink>
      <w:r>
        <w:rPr>
          <w:rFonts w:ascii="Arial" w:cs="Arial" w:eastAsia="Arial" w:hAnsi="Arial"/>
          <w:sz w:val="17"/>
          <w:szCs w:val="17"/>
          <w:u w:val="single" w:color="auto"/>
          <w:color w:val="0000EE"/>
        </w:rPr>
        <w:t xml:space="preserve"> </w:t>
      </w:r>
      <w:hyperlink r:id="rId152">
        <w:r>
          <w:rPr>
            <w:rFonts w:ascii="Arial" w:cs="Arial" w:eastAsia="Arial" w:hAnsi="Arial"/>
            <w:sz w:val="17"/>
            <w:szCs w:val="17"/>
            <w:u w:val="single" w:color="auto"/>
            <w:color w:val="0000EE"/>
          </w:rPr>
          <w:t>Company's Annual Report on Form 10-K filed with the Commission on March 3, 2022).</w:t>
        </w:r>
      </w:hyperlink>
    </w:p>
    <w:p>
      <w:pPr>
        <w:spacing w:after="0" w:line="165" w:lineRule="exact"/>
        <w:rPr>
          <w:rFonts w:ascii="Arial" w:cs="Arial" w:eastAsia="Arial" w:hAnsi="Arial"/>
          <w:sz w:val="17"/>
          <w:szCs w:val="17"/>
          <w:color w:val="auto"/>
        </w:rPr>
      </w:pPr>
    </w:p>
    <w:p>
      <w:pPr>
        <w:jc w:val="both"/>
        <w:ind w:left="1320" w:right="59" w:hanging="606"/>
        <w:spacing w:after="0" w:line="259" w:lineRule="auto"/>
        <w:rPr>
          <w:sz w:val="20"/>
          <w:szCs w:val="20"/>
          <w:color w:val="auto"/>
        </w:rPr>
      </w:pPr>
      <w:r>
        <w:rPr>
          <w:rFonts w:ascii="Arial" w:cs="Arial" w:eastAsia="Arial" w:hAnsi="Arial"/>
          <w:sz w:val="18"/>
          <w:szCs w:val="18"/>
          <w:color w:val="auto"/>
        </w:rPr>
        <w:t xml:space="preserve">10.27* </w:t>
      </w:r>
      <w:r>
        <w:rPr>
          <w:rFonts w:ascii="Arial" w:cs="Arial" w:eastAsia="Arial" w:hAnsi="Arial"/>
          <w:sz w:val="18"/>
          <w:szCs w:val="18"/>
          <w:u w:val="single" w:color="auto"/>
          <w:color w:val="0000EE"/>
        </w:rPr>
        <w:t>Fourth Amendment to Lease Agreement, dated June 10, 2022, by and between the Company and ARE-8000/9000/10000 Virginia Manor, LLC. (Exhibits and schedules have been omitted pursuant to Item 601 of Regulation S-K and will be furnished on a supplemental basis to the Securities and Exchange Commission upon request**).</w:t>
      </w:r>
    </w:p>
    <w:p>
      <w:pPr>
        <w:spacing w:after="0" w:line="187" w:lineRule="exact"/>
        <w:rPr>
          <w:rFonts w:ascii="Arial" w:cs="Arial" w:eastAsia="Arial" w:hAnsi="Arial"/>
          <w:sz w:val="17"/>
          <w:szCs w:val="17"/>
          <w:color w:val="auto"/>
        </w:rPr>
      </w:pPr>
    </w:p>
    <w:p>
      <w:pPr>
        <w:jc w:val="both"/>
        <w:ind w:left="1320" w:right="79" w:hanging="606"/>
        <w:spacing w:after="0" w:line="259" w:lineRule="auto"/>
        <w:rPr>
          <w:sz w:val="20"/>
          <w:szCs w:val="20"/>
          <w:color w:val="auto"/>
        </w:rPr>
      </w:pPr>
      <w:r>
        <w:rPr>
          <w:rFonts w:ascii="Arial" w:cs="Arial" w:eastAsia="Arial" w:hAnsi="Arial"/>
          <w:sz w:val="18"/>
          <w:szCs w:val="18"/>
          <w:color w:val="auto"/>
        </w:rPr>
        <w:t xml:space="preserve">10.28* </w:t>
      </w:r>
      <w:r>
        <w:rPr>
          <w:rFonts w:ascii="Arial" w:cs="Arial" w:eastAsia="Arial" w:hAnsi="Arial"/>
          <w:sz w:val="18"/>
          <w:szCs w:val="18"/>
          <w:u w:val="single" w:color="auto"/>
          <w:color w:val="0000EE"/>
        </w:rPr>
        <w:t>Third Amendment to License Agreement and SRA, dated as of September 14, 2022, by and between the</w:t>
      </w:r>
      <w:r>
        <w:rPr>
          <w:rFonts w:ascii="Arial" w:cs="Arial" w:eastAsia="Arial" w:hAnsi="Arial"/>
          <w:sz w:val="18"/>
          <w:szCs w:val="18"/>
          <w:color w:val="auto"/>
        </w:rPr>
        <w:t xml:space="preserve"> </w:t>
      </w:r>
      <w:r>
        <w:rPr>
          <w:rFonts w:ascii="Arial" w:cs="Arial" w:eastAsia="Arial" w:hAnsi="Arial"/>
          <w:sz w:val="18"/>
          <w:szCs w:val="18"/>
          <w:u w:val="single" w:color="auto"/>
          <w:color w:val="0000EE"/>
        </w:rPr>
        <w:t>Company and Yale University. (Exhibits and schedules have been omitted pursuant to Item 601 of Regulation S-K and will be furnished on a supplemental basis to the Securities and Exchange Commission upon request**).</w:t>
      </w:r>
    </w:p>
    <w:p>
      <w:pPr>
        <w:spacing w:after="0" w:line="187" w:lineRule="exact"/>
        <w:rPr>
          <w:rFonts w:ascii="Arial" w:cs="Arial" w:eastAsia="Arial" w:hAnsi="Arial"/>
          <w:sz w:val="17"/>
          <w:szCs w:val="17"/>
          <w:color w:val="auto"/>
        </w:rPr>
      </w:pPr>
    </w:p>
    <w:p>
      <w:pPr>
        <w:jc w:val="both"/>
        <w:ind w:left="1320" w:right="59" w:hanging="606"/>
        <w:spacing w:after="0" w:line="259" w:lineRule="auto"/>
        <w:rPr>
          <w:sz w:val="20"/>
          <w:szCs w:val="20"/>
          <w:color w:val="auto"/>
        </w:rPr>
      </w:pPr>
      <w:r>
        <w:rPr>
          <w:rFonts w:ascii="Arial" w:cs="Arial" w:eastAsia="Arial" w:hAnsi="Arial"/>
          <w:sz w:val="18"/>
          <w:szCs w:val="18"/>
          <w:color w:val="auto"/>
        </w:rPr>
        <w:t xml:space="preserve">10.29* </w:t>
      </w:r>
      <w:r>
        <w:rPr>
          <w:rFonts w:ascii="Arial" w:cs="Arial" w:eastAsia="Arial" w:hAnsi="Arial"/>
          <w:sz w:val="18"/>
          <w:szCs w:val="18"/>
          <w:u w:val="single" w:color="auto"/>
          <w:color w:val="0000EE"/>
        </w:rPr>
        <w:t>Fifth Amendment to Lease Agreement, dated November 28, 2022, by and between the Company and</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ARE-8000/9000/10000 Virginia Manor, LLC. (Exhibits and schedules have been omitted pursuant to Item 601 of Regulation S-K and will be furnished on a supplemental basis to the Securities and Exchange Commission upon request**).</w:t>
      </w:r>
    </w:p>
    <w:p>
      <w:pPr>
        <w:spacing w:after="0" w:line="187" w:lineRule="exact"/>
        <w:rPr>
          <w:rFonts w:ascii="Arial" w:cs="Arial" w:eastAsia="Arial" w:hAnsi="Arial"/>
          <w:sz w:val="17"/>
          <w:szCs w:val="17"/>
          <w:color w:val="auto"/>
        </w:rPr>
      </w:pPr>
    </w:p>
    <w:p>
      <w:pPr>
        <w:jc w:val="both"/>
        <w:ind w:left="1320" w:right="79" w:hanging="606"/>
        <w:spacing w:after="0" w:line="286" w:lineRule="auto"/>
        <w:rPr>
          <w:sz w:val="20"/>
          <w:szCs w:val="20"/>
          <w:color w:val="auto"/>
        </w:rPr>
      </w:pPr>
      <w:r>
        <w:rPr>
          <w:rFonts w:ascii="Arial" w:cs="Arial" w:eastAsia="Arial" w:hAnsi="Arial"/>
          <w:sz w:val="17"/>
          <w:szCs w:val="17"/>
          <w:color w:val="auto"/>
        </w:rPr>
        <w:t>10.30*+</w:t>
      </w:r>
      <w:r>
        <w:rPr>
          <w:rFonts w:ascii="Arial" w:cs="Arial" w:eastAsia="Arial" w:hAnsi="Arial"/>
          <w:sz w:val="17"/>
          <w:szCs w:val="17"/>
          <w:u w:val="single" w:color="auto"/>
          <w:color w:val="0000EE"/>
        </w:rPr>
        <w:t>Employment Agreement, effective as of February 28, 2023, by and between the Company and Kevin G.</w:t>
      </w:r>
      <w:r>
        <w:rPr>
          <w:rFonts w:ascii="Arial" w:cs="Arial" w:eastAsia="Arial" w:hAnsi="Arial"/>
          <w:sz w:val="17"/>
          <w:szCs w:val="17"/>
          <w:color w:val="auto"/>
        </w:rPr>
        <w:t xml:space="preserve"> </w:t>
      </w:r>
      <w:r>
        <w:rPr>
          <w:rFonts w:ascii="Arial" w:cs="Arial" w:eastAsia="Arial" w:hAnsi="Arial"/>
          <w:sz w:val="17"/>
          <w:szCs w:val="17"/>
          <w:u w:val="single" w:color="auto"/>
          <w:color w:val="0000EE"/>
        </w:rPr>
        <w:t>Shaw (Exhibits and schedules have been omitted pursuant to Item 601 of Regulation S-K and will be furnished on a supplemental basis to the Securities and Exchange Commission upon request**).</w:t>
      </w:r>
    </w:p>
    <w:p>
      <w:pPr>
        <w:spacing w:after="0" w:line="165" w:lineRule="exact"/>
        <w:rPr>
          <w:rFonts w:ascii="Arial" w:cs="Arial" w:eastAsia="Arial" w:hAnsi="Arial"/>
          <w:sz w:val="17"/>
          <w:szCs w:val="17"/>
          <w:color w:val="auto"/>
        </w:rPr>
      </w:pPr>
    </w:p>
    <w:p>
      <w:pPr>
        <w:ind w:left="800"/>
        <w:spacing w:after="0"/>
        <w:tabs>
          <w:tab w:leader="none" w:pos="13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Ernst &amp; Young LLP, independent registered public accounting firm.</w:t>
      </w:r>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17"/>
          <w:szCs w:val="17"/>
          <w:color w:val="auto"/>
        </w:rPr>
      </w:pPr>
    </w:p>
    <w:p>
      <w:pPr>
        <w:spacing w:after="0" w:line="241"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0"/>
        <w:spacing w:after="0"/>
        <w:tabs>
          <w:tab w:leader="none" w:pos="13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u w:val="single" w:color="auto"/>
          <w:color w:val="0000EE"/>
        </w:rPr>
        <w:t>Power of Attorney (included on the signature page of this Annual Report on Form 10-K).</w:t>
      </w:r>
    </w:p>
    <w:p>
      <w:pPr>
        <w:spacing w:after="0" w:line="225" w:lineRule="exact"/>
        <w:rPr>
          <w:sz w:val="20"/>
          <w:szCs w:val="20"/>
          <w:color w:val="auto"/>
        </w:rPr>
      </w:pPr>
    </w:p>
    <w:p>
      <w:pPr>
        <w:ind w:left="1320" w:right="59" w:hanging="503"/>
        <w:spacing w:after="0" w:line="277" w:lineRule="auto"/>
        <w:tabs>
          <w:tab w:leader="none" w:pos="13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EE"/>
        </w:rPr>
        <w:t>Certification of Michael Richman pursuant to Rule 13a-14(a) under the Securities Exchange Act of 1934 as adopted pursuant to Section 302 of the Sarbanes-Oxley Act of 2002.</w:t>
      </w:r>
    </w:p>
    <w:p>
      <w:pPr>
        <w:spacing w:after="0" w:line="170" w:lineRule="exact"/>
        <w:rPr>
          <w:sz w:val="20"/>
          <w:szCs w:val="20"/>
          <w:color w:val="auto"/>
        </w:rPr>
      </w:pPr>
    </w:p>
    <w:p>
      <w:pPr>
        <w:ind w:left="1320" w:right="79" w:hanging="503"/>
        <w:spacing w:after="0" w:line="277" w:lineRule="auto"/>
        <w:tabs>
          <w:tab w:leader="none" w:pos="13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EE"/>
        </w:rPr>
        <w:t>Certification of Steven P. Cobourn pursuant to Rule 13a-14(a) under the Securities Exchange Act of 1934 as adopted pursuant to Section 302 of the Sarbanes-Oxley Act of 2002.</w:t>
      </w:r>
    </w:p>
    <w:p>
      <w:pPr>
        <w:spacing w:after="0" w:line="170" w:lineRule="exact"/>
        <w:rPr>
          <w:sz w:val="20"/>
          <w:szCs w:val="20"/>
          <w:color w:val="auto"/>
        </w:rPr>
      </w:pPr>
    </w:p>
    <w:p>
      <w:pPr>
        <w:ind w:left="1320" w:right="79" w:hanging="503"/>
        <w:spacing w:after="0" w:line="277" w:lineRule="auto"/>
        <w:tabs>
          <w:tab w:leader="none" w:pos="13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EE"/>
        </w:rPr>
        <w:t>Certification of Michael Richman and Steven P. Cobourn pursuant to 18 U.S.C. Section 1350 as adopted pursuant to Section 906 of the Sarbanes-Oxley Act of 2002.</w:t>
      </w:r>
    </w:p>
    <w:p>
      <w:pPr>
        <w:spacing w:after="0" w:line="170" w:lineRule="exact"/>
        <w:rPr>
          <w:sz w:val="20"/>
          <w:szCs w:val="20"/>
          <w:color w:val="auto"/>
        </w:rPr>
      </w:pPr>
    </w:p>
    <w:p>
      <w:pPr>
        <w:ind w:left="220"/>
        <w:spacing w:after="0"/>
        <w:tabs>
          <w:tab w:leader="none" w:pos="1300" w:val="left"/>
        </w:tabs>
        <w:rPr>
          <w:sz w:val="20"/>
          <w:szCs w:val="20"/>
          <w:color w:val="auto"/>
        </w:rPr>
      </w:pPr>
      <w:r>
        <w:rPr>
          <w:rFonts w:ascii="Arial" w:cs="Arial" w:eastAsia="Arial" w:hAnsi="Arial"/>
          <w:sz w:val="18"/>
          <w:szCs w:val="18"/>
          <w:color w:val="auto"/>
        </w:rPr>
        <w:t>EX-101.INS</w:t>
      </w:r>
      <w:r>
        <w:rPr>
          <w:sz w:val="20"/>
          <w:szCs w:val="20"/>
          <w:color w:val="auto"/>
        </w:rPr>
        <w:tab/>
      </w:r>
      <w:r>
        <w:rPr>
          <w:rFonts w:ascii="Arial" w:cs="Arial" w:eastAsia="Arial" w:hAnsi="Arial"/>
          <w:sz w:val="16"/>
          <w:szCs w:val="16"/>
          <w:color w:val="auto"/>
        </w:rPr>
        <w:t>Inline XBRL Instance Document</w:t>
      </w:r>
    </w:p>
    <w:p>
      <w:pPr>
        <w:spacing w:after="0" w:line="225" w:lineRule="exact"/>
        <w:rPr>
          <w:sz w:val="20"/>
          <w:szCs w:val="20"/>
          <w:color w:val="auto"/>
        </w:rPr>
      </w:pPr>
    </w:p>
    <w:p>
      <w:pPr>
        <w:ind w:left="160"/>
        <w:spacing w:after="0"/>
        <w:tabs>
          <w:tab w:leader="none" w:pos="1300" w:val="left"/>
        </w:tabs>
        <w:rPr>
          <w:sz w:val="20"/>
          <w:szCs w:val="20"/>
          <w:color w:val="auto"/>
        </w:rPr>
      </w:pPr>
      <w:r>
        <w:rPr>
          <w:rFonts w:ascii="Arial" w:cs="Arial" w:eastAsia="Arial" w:hAnsi="Arial"/>
          <w:sz w:val="18"/>
          <w:szCs w:val="18"/>
          <w:color w:val="auto"/>
        </w:rPr>
        <w:t>EX-101.SCH</w:t>
      </w:r>
      <w:r>
        <w:rPr>
          <w:sz w:val="20"/>
          <w:szCs w:val="20"/>
          <w:color w:val="auto"/>
        </w:rPr>
        <w:tab/>
      </w:r>
      <w:r>
        <w:rPr>
          <w:rFonts w:ascii="Arial" w:cs="Arial" w:eastAsia="Arial" w:hAnsi="Arial"/>
          <w:sz w:val="16"/>
          <w:szCs w:val="16"/>
          <w:color w:val="auto"/>
        </w:rPr>
        <w:t>Inline XBRL Taxonomy Extension Schema Document</w:t>
      </w:r>
    </w:p>
    <w:p>
      <w:pPr>
        <w:spacing w:after="0" w:line="225" w:lineRule="exact"/>
        <w:rPr>
          <w:sz w:val="20"/>
          <w:szCs w:val="20"/>
          <w:color w:val="auto"/>
        </w:rPr>
      </w:pPr>
    </w:p>
    <w:p>
      <w:pPr>
        <w:ind w:left="140"/>
        <w:spacing w:after="0"/>
        <w:tabs>
          <w:tab w:leader="none" w:pos="1300" w:val="left"/>
        </w:tabs>
        <w:rPr>
          <w:sz w:val="20"/>
          <w:szCs w:val="20"/>
          <w:color w:val="auto"/>
        </w:rPr>
      </w:pPr>
      <w:r>
        <w:rPr>
          <w:rFonts w:ascii="Arial" w:cs="Arial" w:eastAsia="Arial" w:hAnsi="Arial"/>
          <w:sz w:val="18"/>
          <w:szCs w:val="18"/>
          <w:color w:val="auto"/>
        </w:rPr>
        <w:t>EX-101.CAL</w:t>
      </w:r>
      <w:r>
        <w:rPr>
          <w:sz w:val="20"/>
          <w:szCs w:val="20"/>
          <w:color w:val="auto"/>
        </w:rPr>
        <w:tab/>
      </w:r>
      <w:r>
        <w:rPr>
          <w:rFonts w:ascii="Arial" w:cs="Arial" w:eastAsia="Arial" w:hAnsi="Arial"/>
          <w:sz w:val="16"/>
          <w:szCs w:val="16"/>
          <w:color w:val="auto"/>
        </w:rPr>
        <w:t>Inline XBRL Taxonomy Extension Calculation Linkbase Document</w:t>
      </w:r>
    </w:p>
    <w:p>
      <w:pPr>
        <w:spacing w:after="0" w:line="225" w:lineRule="exact"/>
        <w:rPr>
          <w:sz w:val="20"/>
          <w:szCs w:val="20"/>
          <w:color w:val="auto"/>
        </w:rPr>
      </w:pPr>
    </w:p>
    <w:p>
      <w:pPr>
        <w:ind w:left="160"/>
        <w:spacing w:after="0"/>
        <w:tabs>
          <w:tab w:leader="none" w:pos="1300" w:val="left"/>
        </w:tabs>
        <w:rPr>
          <w:sz w:val="20"/>
          <w:szCs w:val="20"/>
          <w:color w:val="auto"/>
        </w:rPr>
      </w:pPr>
      <w:r>
        <w:rPr>
          <w:rFonts w:ascii="Arial" w:cs="Arial" w:eastAsia="Arial" w:hAnsi="Arial"/>
          <w:sz w:val="18"/>
          <w:szCs w:val="18"/>
          <w:color w:val="auto"/>
        </w:rPr>
        <w:t>EX-101.DEF</w:t>
      </w:r>
      <w:r>
        <w:rPr>
          <w:sz w:val="20"/>
          <w:szCs w:val="20"/>
          <w:color w:val="auto"/>
        </w:rPr>
        <w:tab/>
      </w:r>
      <w:r>
        <w:rPr>
          <w:rFonts w:ascii="Arial" w:cs="Arial" w:eastAsia="Arial" w:hAnsi="Arial"/>
          <w:sz w:val="16"/>
          <w:szCs w:val="16"/>
          <w:color w:val="auto"/>
        </w:rPr>
        <w:t>Inline XBRL Taxonomy Extension Definition Linkbase Document</w:t>
      </w:r>
    </w:p>
    <w:p>
      <w:pPr>
        <w:spacing w:after="0" w:line="225" w:lineRule="exact"/>
        <w:rPr>
          <w:sz w:val="20"/>
          <w:szCs w:val="20"/>
          <w:color w:val="auto"/>
        </w:rPr>
      </w:pPr>
    </w:p>
    <w:p>
      <w:pPr>
        <w:ind w:left="140"/>
        <w:spacing w:after="0"/>
        <w:tabs>
          <w:tab w:leader="none" w:pos="1300" w:val="left"/>
        </w:tabs>
        <w:rPr>
          <w:sz w:val="20"/>
          <w:szCs w:val="20"/>
          <w:color w:val="auto"/>
        </w:rPr>
      </w:pPr>
      <w:r>
        <w:rPr>
          <w:rFonts w:ascii="Arial" w:cs="Arial" w:eastAsia="Arial" w:hAnsi="Arial"/>
          <w:sz w:val="18"/>
          <w:szCs w:val="18"/>
          <w:color w:val="auto"/>
        </w:rPr>
        <w:t>EX-101.LAB</w:t>
      </w:r>
      <w:r>
        <w:rPr>
          <w:sz w:val="20"/>
          <w:szCs w:val="20"/>
          <w:color w:val="auto"/>
        </w:rPr>
        <w:tab/>
      </w:r>
      <w:r>
        <w:rPr>
          <w:rFonts w:ascii="Arial" w:cs="Arial" w:eastAsia="Arial" w:hAnsi="Arial"/>
          <w:sz w:val="16"/>
          <w:szCs w:val="16"/>
          <w:color w:val="auto"/>
        </w:rPr>
        <w:t>Inline XBRL Taxonomy Extension Label Linkbase Document</w:t>
      </w:r>
    </w:p>
    <w:p>
      <w:pPr>
        <w:spacing w:after="0" w:line="225" w:lineRule="exact"/>
        <w:rPr>
          <w:sz w:val="20"/>
          <w:szCs w:val="20"/>
          <w:color w:val="auto"/>
        </w:rPr>
      </w:pPr>
    </w:p>
    <w:p>
      <w:pPr>
        <w:ind w:left="180"/>
        <w:spacing w:after="0"/>
        <w:tabs>
          <w:tab w:leader="none" w:pos="1300" w:val="left"/>
        </w:tabs>
        <w:rPr>
          <w:sz w:val="20"/>
          <w:szCs w:val="20"/>
          <w:color w:val="auto"/>
        </w:rPr>
      </w:pPr>
      <w:r>
        <w:rPr>
          <w:rFonts w:ascii="Arial" w:cs="Arial" w:eastAsia="Arial" w:hAnsi="Arial"/>
          <w:sz w:val="18"/>
          <w:szCs w:val="18"/>
          <w:color w:val="auto"/>
        </w:rPr>
        <w:t>EX-101.PRE</w:t>
      </w:r>
      <w:r>
        <w:rPr>
          <w:sz w:val="20"/>
          <w:szCs w:val="20"/>
          <w:color w:val="auto"/>
        </w:rPr>
        <w:tab/>
      </w:r>
      <w:r>
        <w:rPr>
          <w:rFonts w:ascii="Arial" w:cs="Arial" w:eastAsia="Arial" w:hAnsi="Arial"/>
          <w:sz w:val="16"/>
          <w:szCs w:val="16"/>
          <w:color w:val="auto"/>
        </w:rPr>
        <w:t>Inline XBRL Taxonomy Extension Presentation Linkbase Document</w:t>
      </w:r>
    </w:p>
    <w:p>
      <w:pPr>
        <w:spacing w:after="0" w:line="225" w:lineRule="exact"/>
        <w:rPr>
          <w:sz w:val="20"/>
          <w:szCs w:val="20"/>
          <w:color w:val="auto"/>
        </w:rPr>
      </w:pPr>
    </w:p>
    <w:p>
      <w:pPr>
        <w:ind w:left="60" w:right="879" w:firstLine="792"/>
        <w:spacing w:after="0" w:line="383" w:lineRule="auto"/>
        <w:tabs>
          <w:tab w:leader="none" w:pos="1321"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Coverage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-203835</wp:posOffset>
            </wp:positionV>
            <wp:extent cx="141414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  Indicates a management contract or compensatory plan.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Portions of this exhibit have been omitted in compliance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Pursuant to the requirements of Section 13 or 15(d)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5940" w:type="dxa"/>
            <w:vAlign w:val="bottom"/>
            <w:gridSpan w:val="2"/>
          </w:tcPr>
          <w:p>
            <w:pPr>
              <w:ind w:left="1480"/>
              <w:spacing w:after="0"/>
              <w:rPr>
                <w:sz w:val="20"/>
                <w:szCs w:val="20"/>
                <w:color w:val="auto"/>
              </w:rPr>
            </w:pPr>
            <w:r>
              <w:rPr>
                <w:rFonts w:ascii="Arial" w:cs="Arial" w:eastAsia="Arial" w:hAnsi="Arial"/>
                <w:sz w:val="18"/>
                <w:szCs w:val="18"/>
                <w:b w:val="1"/>
                <w:bCs w:val="1"/>
                <w:color w:val="auto"/>
              </w:rPr>
              <w:t>NEXTCURE, INC.</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Date: March 2, 2023</w:t>
            </w:r>
          </w:p>
        </w:tc>
        <w:tc>
          <w:tcPr>
            <w:tcW w:w="5940" w:type="dxa"/>
            <w:vAlign w:val="bottom"/>
            <w:gridSpan w:val="2"/>
          </w:tcPr>
          <w:p>
            <w:pPr>
              <w:ind w:left="1480"/>
              <w:spacing w:after="0"/>
              <w:rPr>
                <w:sz w:val="20"/>
                <w:szCs w:val="20"/>
                <w:color w:val="auto"/>
              </w:rPr>
            </w:pPr>
            <w:r>
              <w:rPr>
                <w:rFonts w:ascii="Arial" w:cs="Arial" w:eastAsia="Arial" w:hAnsi="Arial"/>
                <w:sz w:val="18"/>
                <w:szCs w:val="18"/>
                <w:color w:val="auto"/>
              </w:rPr>
              <w:t>By:   /s/ Michael Richman</w:t>
            </w:r>
          </w:p>
        </w:tc>
      </w:tr>
      <w:tr>
        <w:trPr>
          <w:trHeight w:val="211"/>
        </w:trPr>
        <w:tc>
          <w:tcPr>
            <w:tcW w:w="2960" w:type="dxa"/>
            <w:vAlign w:val="bottom"/>
          </w:tcPr>
          <w:p>
            <w:pPr>
              <w:spacing w:after="0"/>
              <w:rPr>
                <w:sz w:val="18"/>
                <w:szCs w:val="18"/>
                <w:color w:val="auto"/>
              </w:rPr>
            </w:pPr>
          </w:p>
        </w:tc>
        <w:tc>
          <w:tcPr>
            <w:tcW w:w="2040" w:type="dxa"/>
            <w:vAlign w:val="bottom"/>
          </w:tcPr>
          <w:p>
            <w:pPr>
              <w:ind w:left="1480"/>
              <w:spacing w:after="0"/>
              <w:rPr>
                <w:sz w:val="20"/>
                <w:szCs w:val="20"/>
                <w:color w:val="auto"/>
              </w:rPr>
            </w:pPr>
            <w:r>
              <w:rPr>
                <w:rFonts w:ascii="Arial" w:cs="Arial" w:eastAsia="Arial" w:hAnsi="Arial"/>
                <w:sz w:val="18"/>
                <w:szCs w:val="18"/>
                <w:color w:val="auto"/>
              </w:rPr>
              <w:t>Name:</w:t>
            </w: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Richman</w:t>
            </w:r>
          </w:p>
        </w:tc>
      </w:tr>
    </w:tbl>
    <w:p>
      <w:pPr>
        <w:ind w:left="5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9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Each person whose signature appears below constitutes and appoints Michael Richman and Steven P. Cobourn and each of them, jointly and severally, his or her attorneys-in-fact, each with full power of substitution, for him or her in any and all capacities, to sign any and all amendments to this Annual Report on Form 10-K, and to file the same, with exhibits thereto and other documents in connection therewith, with the Securities and Exchange Commission.</w:t>
      </w:r>
    </w:p>
    <w:p>
      <w:pPr>
        <w:spacing w:after="0" w:line="15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60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Signature</w:t>
            </w:r>
          </w:p>
        </w:tc>
        <w:tc>
          <w:tcPr>
            <w:tcW w:w="200" w:type="dxa"/>
            <w:vAlign w:val="bottom"/>
          </w:tcPr>
          <w:p>
            <w:pPr>
              <w:spacing w:after="0"/>
              <w:rPr>
                <w:sz w:val="14"/>
                <w:szCs w:val="14"/>
                <w:color w:val="auto"/>
              </w:rPr>
            </w:pPr>
          </w:p>
        </w:tc>
        <w:tc>
          <w:tcPr>
            <w:tcW w:w="38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5"/>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Richman</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President, Chief Executive Officer and 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Michael Richman</w:t>
            </w:r>
          </w:p>
        </w:tc>
        <w:tc>
          <w:tcPr>
            <w:tcW w:w="4320" w:type="dxa"/>
            <w:vAlign w:val="bottom"/>
            <w:gridSpan w:val="3"/>
          </w:tcPr>
          <w:p>
            <w:pPr>
              <w:ind w:left="200"/>
              <w:spacing w:after="0"/>
              <w:rPr>
                <w:sz w:val="20"/>
                <w:szCs w:val="20"/>
                <w:color w:val="auto"/>
              </w:rPr>
            </w:pPr>
            <w:r>
              <w:rPr>
                <w:rFonts w:ascii="Arial" w:cs="Arial" w:eastAsia="Arial" w:hAnsi="Arial"/>
                <w:sz w:val="18"/>
                <w:szCs w:val="18"/>
                <w:i w:val="1"/>
                <w:iCs w:val="1"/>
                <w:color w:val="auto"/>
              </w:rPr>
              <w:t>(Principal Executive Officer)</w:t>
            </w:r>
          </w:p>
        </w:tc>
        <w:tc>
          <w:tcPr>
            <w:tcW w:w="19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P. Cobourn</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Steven P. Cobourn</w:t>
            </w:r>
          </w:p>
        </w:tc>
        <w:tc>
          <w:tcPr>
            <w:tcW w:w="4320" w:type="dxa"/>
            <w:vAlign w:val="bottom"/>
            <w:gridSpan w:val="3"/>
          </w:tcPr>
          <w:p>
            <w:pPr>
              <w:ind w:left="200"/>
              <w:spacing w:after="0"/>
              <w:rPr>
                <w:sz w:val="20"/>
                <w:szCs w:val="20"/>
                <w:color w:val="auto"/>
              </w:rPr>
            </w:pPr>
            <w:r>
              <w:rPr>
                <w:rFonts w:ascii="Arial" w:cs="Arial" w:eastAsia="Arial" w:hAnsi="Arial"/>
                <w:sz w:val="18"/>
                <w:szCs w:val="18"/>
                <w:i w:val="1"/>
                <w:iCs w:val="1"/>
                <w:color w:val="auto"/>
              </w:rPr>
              <w:t>(Principal Financial and Accounting Officer)</w:t>
            </w:r>
          </w:p>
        </w:tc>
        <w:tc>
          <w:tcPr>
            <w:tcW w:w="19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Kabakoff</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Chair of the Board</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David Kabakoff, Ph.D.</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 Borgman</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Anne Borgman, M.D.</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Ellen G. Feigal</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Ellen G. Feigal, M.D.</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Houston</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John G. Houston, Ph.D.</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Elaine V. Jones</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Elaine V. Jones, Ph.D.</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Chau Q. Khuong</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Chau Q. Khuong</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Garry Nicholson</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Garry Nicholson</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8"/>
        </w:trPr>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Webster</w:t>
            </w:r>
          </w:p>
        </w:tc>
        <w:tc>
          <w:tcPr>
            <w:tcW w:w="43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March 2, 2023</w:t>
            </w:r>
          </w:p>
        </w:tc>
      </w:tr>
      <w:tr>
        <w:trPr>
          <w:trHeight w:val="224"/>
        </w:trPr>
        <w:tc>
          <w:tcPr>
            <w:tcW w:w="2600" w:type="dxa"/>
            <w:vAlign w:val="bottom"/>
          </w:tcPr>
          <w:p>
            <w:pPr>
              <w:spacing w:after="0"/>
              <w:rPr>
                <w:sz w:val="20"/>
                <w:szCs w:val="20"/>
                <w:color w:val="auto"/>
              </w:rPr>
            </w:pPr>
            <w:r>
              <w:rPr>
                <w:rFonts w:ascii="Arial" w:cs="Arial" w:eastAsia="Arial" w:hAnsi="Arial"/>
                <w:sz w:val="18"/>
                <w:szCs w:val="18"/>
                <w:color w:val="auto"/>
              </w:rPr>
              <w:t>Stephen Webster</w:t>
            </w:r>
          </w:p>
        </w:tc>
        <w:tc>
          <w:tcPr>
            <w:tcW w:w="2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3" w:name="page114"/>
    <w:bookmarkEnd w:id="113"/>
    <w:p>
      <w:pPr>
        <w:ind w:left="300"/>
        <w:spacing w:after="0"/>
        <w:rPr>
          <w:sz w:val="20"/>
          <w:szCs w:val="20"/>
          <w:color w:val="auto"/>
        </w:rPr>
      </w:pPr>
      <w:r>
        <w:rPr>
          <w:rFonts w:ascii="Arial" w:cs="Arial" w:eastAsia="Arial" w:hAnsi="Arial"/>
          <w:sz w:val="14"/>
          <w:szCs w:val="14"/>
          <w:b w:val="1"/>
          <w:bCs w:val="1"/>
          <w:color w:val="auto"/>
        </w:rPr>
        <w:t>CERTAIN IDENTIFIED INFORMATION HAS BEEN EXCLUDED FROM THE EXHIBIT BECAUSE IT IS BOTH NOT MATERIAL</w:t>
      </w:r>
    </w:p>
    <w:p>
      <w:pPr>
        <w:spacing w:after="0" w:line="2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AND IS THE TYPE THAT THE REGISTRANT TREATS AS PRIVATE OR CONFIDENTIAL. OMITTED INFORMATION HAS BEEN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REPLACED WITH [***].</w:t>
      </w:r>
    </w:p>
    <w:p>
      <w:pPr>
        <w:spacing w:after="0" w:line="200" w:lineRule="exact"/>
        <w:rPr>
          <w:sz w:val="20"/>
          <w:szCs w:val="20"/>
          <w:color w:val="auto"/>
        </w:rPr>
      </w:pPr>
    </w:p>
    <w:p>
      <w:pPr>
        <w:spacing w:after="0" w:line="311" w:lineRule="exact"/>
        <w:rPr>
          <w:sz w:val="20"/>
          <w:szCs w:val="20"/>
          <w:color w:val="auto"/>
        </w:rPr>
      </w:pPr>
    </w:p>
    <w:p>
      <w:pPr>
        <w:ind w:left="7700"/>
        <w:spacing w:after="0"/>
        <w:rPr>
          <w:sz w:val="20"/>
          <w:szCs w:val="20"/>
          <w:color w:val="auto"/>
        </w:rPr>
      </w:pPr>
      <w:r>
        <w:rPr>
          <w:rFonts w:ascii="Arial" w:cs="Arial" w:eastAsia="Arial" w:hAnsi="Arial"/>
          <w:sz w:val="17"/>
          <w:szCs w:val="17"/>
          <w:b w:val="1"/>
          <w:bCs w:val="1"/>
          <w:color w:val="auto"/>
        </w:rPr>
        <w:t>Exhibit 10.27</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FOURTH AMENDMENT TO LEASE AGREEMENT</w:t>
      </w:r>
    </w:p>
    <w:p>
      <w:pPr>
        <w:spacing w:after="0" w:line="225" w:lineRule="exact"/>
        <w:rPr>
          <w:sz w:val="20"/>
          <w:szCs w:val="20"/>
          <w:color w:val="auto"/>
        </w:rPr>
      </w:pPr>
    </w:p>
    <w:p>
      <w:pPr>
        <w:jc w:val="both"/>
        <w:ind w:left="200" w:right="219" w:firstLine="648"/>
        <w:spacing w:after="0" w:line="255" w:lineRule="auto"/>
        <w:rPr>
          <w:sz w:val="20"/>
          <w:szCs w:val="20"/>
          <w:color w:val="auto"/>
        </w:rPr>
      </w:pPr>
      <w:r>
        <w:rPr>
          <w:rFonts w:ascii="Arial" w:cs="Arial" w:eastAsia="Arial" w:hAnsi="Arial"/>
          <w:sz w:val="18"/>
          <w:szCs w:val="18"/>
          <w:b w:val="1"/>
          <w:bCs w:val="1"/>
          <w:color w:val="auto"/>
        </w:rPr>
        <w:t xml:space="preserve">THIS FOURTH AMENDMENT TO LEASE AGREEMENT </w:t>
      </w:r>
      <w:r>
        <w:rPr>
          <w:rFonts w:ascii="Arial" w:cs="Arial" w:eastAsia="Arial" w:hAnsi="Arial"/>
          <w:sz w:val="18"/>
          <w:szCs w:val="18"/>
          <w:color w:val="auto"/>
        </w:rPr>
        <w:t>(“</w:t>
      </w:r>
      <w:r>
        <w:rPr>
          <w:rFonts w:ascii="Arial" w:cs="Arial" w:eastAsia="Arial" w:hAnsi="Arial"/>
          <w:sz w:val="18"/>
          <w:szCs w:val="18"/>
          <w:b w:val="1"/>
          <w:bCs w:val="1"/>
          <w:color w:val="auto"/>
        </w:rPr>
        <w:t>this Fourth Amendment</w:t>
      </w:r>
      <w:r>
        <w:rPr>
          <w:rFonts w:ascii="Arial" w:cs="Arial" w:eastAsia="Arial" w:hAnsi="Arial"/>
          <w:sz w:val="18"/>
          <w:szCs w:val="18"/>
          <w:color w:val="auto"/>
        </w:rPr>
        <w:t>”) is dated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June 10, 2022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ARE-8000/9000/10000 VIRGINIA MANOR, LLC</w:t>
      </w:r>
      <w:r>
        <w:rPr>
          <w:rFonts w:ascii="Arial" w:cs="Arial" w:eastAsia="Arial" w:hAnsi="Arial"/>
          <w:sz w:val="18"/>
          <w:szCs w:val="18"/>
          <w:color w:val="auto"/>
        </w:rPr>
        <w:t>, a Delaware limited liability company, having an address at 26 North Euclid Avenue, Pasadena, California 91101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NEXTCURE, INC</w:t>
      </w:r>
      <w:r>
        <w:rPr>
          <w:rFonts w:ascii="Arial" w:cs="Arial" w:eastAsia="Arial" w:hAnsi="Arial"/>
          <w:sz w:val="18"/>
          <w:szCs w:val="18"/>
          <w:color w:val="auto"/>
        </w:rPr>
        <w:t>., a Delaware corporation, having an address at Suite 140, 8000 Virginia Manor Road, Beltsville, Maryland 20705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34" w:lineRule="exact"/>
        <w:rPr>
          <w:sz w:val="20"/>
          <w:szCs w:val="20"/>
          <w:color w:val="auto"/>
        </w:rPr>
      </w:pPr>
    </w:p>
    <w:p>
      <w:pPr>
        <w:jc w:val="both"/>
        <w:ind w:left="200" w:right="219" w:firstLine="657"/>
        <w:spacing w:after="0" w:line="249" w:lineRule="auto"/>
        <w:tabs>
          <w:tab w:leader="none" w:pos="1496" w:val="left"/>
        </w:tabs>
        <w:numPr>
          <w:ilvl w:val="0"/>
          <w:numId w:val="64"/>
        </w:numPr>
        <w:rPr>
          <w:rFonts w:ascii="Arial" w:cs="Arial" w:eastAsia="Arial" w:hAnsi="Arial"/>
          <w:sz w:val="18"/>
          <w:szCs w:val="18"/>
          <w:color w:val="auto"/>
        </w:rPr>
      </w:pPr>
      <w:r>
        <w:rPr>
          <w:rFonts w:ascii="Arial" w:cs="Arial" w:eastAsia="Arial" w:hAnsi="Arial"/>
          <w:sz w:val="18"/>
          <w:szCs w:val="18"/>
          <w:color w:val="auto"/>
        </w:rPr>
        <w:t>Landlord and Tenant have entered into that certain Lease Agreement dated as of January 30, 2019 (“</w:t>
      </w:r>
      <w:r>
        <w:rPr>
          <w:rFonts w:ascii="Arial" w:cs="Arial" w:eastAsia="Arial" w:hAnsi="Arial"/>
          <w:sz w:val="18"/>
          <w:szCs w:val="18"/>
          <w:b w:val="1"/>
          <w:bCs w:val="1"/>
          <w:color w:val="auto"/>
        </w:rPr>
        <w:t>Original Lease</w:t>
      </w:r>
      <w:r>
        <w:rPr>
          <w:rFonts w:ascii="Arial" w:cs="Arial" w:eastAsia="Arial" w:hAnsi="Arial"/>
          <w:sz w:val="18"/>
          <w:szCs w:val="18"/>
          <w:color w:val="auto"/>
        </w:rPr>
        <w:t>”), as amended by that certain First Amendment to Lease Agreement dated as of August 2, 2019 (“</w:t>
      </w:r>
      <w:r>
        <w:rPr>
          <w:rFonts w:ascii="Arial" w:cs="Arial" w:eastAsia="Arial" w:hAnsi="Arial"/>
          <w:sz w:val="18"/>
          <w:szCs w:val="18"/>
          <w:b w:val="1"/>
          <w:bCs w:val="1"/>
          <w:color w:val="auto"/>
        </w:rPr>
        <w:t>First Amendment</w:t>
      </w:r>
      <w:r>
        <w:rPr>
          <w:rFonts w:ascii="Arial" w:cs="Arial" w:eastAsia="Arial" w:hAnsi="Arial"/>
          <w:sz w:val="18"/>
          <w:szCs w:val="18"/>
          <w:color w:val="auto"/>
        </w:rPr>
        <w:t>”), that certain Second Amendment to Lease Agreement dated as of February 19, 2020 (“</w:t>
      </w:r>
      <w:r>
        <w:rPr>
          <w:rFonts w:ascii="Arial" w:cs="Arial" w:eastAsia="Arial" w:hAnsi="Arial"/>
          <w:sz w:val="18"/>
          <w:szCs w:val="18"/>
          <w:b w:val="1"/>
          <w:bCs w:val="1"/>
          <w:color w:val="auto"/>
        </w:rPr>
        <w:t>Second Amendment</w:t>
      </w:r>
      <w:r>
        <w:rPr>
          <w:rFonts w:ascii="Arial" w:cs="Arial" w:eastAsia="Arial" w:hAnsi="Arial"/>
          <w:sz w:val="18"/>
          <w:szCs w:val="18"/>
          <w:color w:val="auto"/>
        </w:rPr>
        <w:t>”), and that certain Third Amendment to Lease Agreement dated as of February 4, 2022 (“</w:t>
      </w:r>
      <w:r>
        <w:rPr>
          <w:rFonts w:ascii="Arial" w:cs="Arial" w:eastAsia="Arial" w:hAnsi="Arial"/>
          <w:sz w:val="18"/>
          <w:szCs w:val="18"/>
          <w:b w:val="1"/>
          <w:bCs w:val="1"/>
          <w:color w:val="auto"/>
        </w:rPr>
        <w:t>Third Amendment</w:t>
      </w:r>
      <w:r>
        <w:rPr>
          <w:rFonts w:ascii="Arial" w:cs="Arial" w:eastAsia="Arial" w:hAnsi="Arial"/>
          <w:sz w:val="18"/>
          <w:szCs w:val="18"/>
          <w:color w:val="auto"/>
        </w:rPr>
        <w:t>”; together with the Original Lease, the First Amendment, and the Second Amendment, the “</w:t>
      </w:r>
      <w:r>
        <w:rPr>
          <w:rFonts w:ascii="Arial" w:cs="Arial" w:eastAsia="Arial" w:hAnsi="Arial"/>
          <w:sz w:val="18"/>
          <w:szCs w:val="18"/>
          <w:b w:val="1"/>
          <w:bCs w:val="1"/>
          <w:color w:val="auto"/>
        </w:rPr>
        <w:t>Lease</w:t>
      </w:r>
      <w:r>
        <w:rPr>
          <w:rFonts w:ascii="Arial" w:cs="Arial" w:eastAsia="Arial" w:hAnsi="Arial"/>
          <w:sz w:val="18"/>
          <w:szCs w:val="18"/>
          <w:color w:val="auto"/>
        </w:rPr>
        <w:t>”), wherein Landlord leased to Tenant approximately 63,576 rentable square feet (“</w:t>
      </w:r>
      <w:r>
        <w:rPr>
          <w:rFonts w:ascii="Arial" w:cs="Arial" w:eastAsia="Arial" w:hAnsi="Arial"/>
          <w:sz w:val="18"/>
          <w:szCs w:val="18"/>
          <w:b w:val="1"/>
          <w:bCs w:val="1"/>
          <w:color w:val="auto"/>
        </w:rPr>
        <w:t>Existing Premises</w:t>
      </w:r>
      <w:r>
        <w:rPr>
          <w:rFonts w:ascii="Arial" w:cs="Arial" w:eastAsia="Arial" w:hAnsi="Arial"/>
          <w:sz w:val="18"/>
          <w:szCs w:val="18"/>
          <w:color w:val="auto"/>
        </w:rPr>
        <w:t>”) located at Suite 140, 8000 Virginia Manor Road, Beltsville, Maryland 20705, as more particularly described in the Lease.</w:t>
      </w:r>
    </w:p>
    <w:p>
      <w:pPr>
        <w:spacing w:after="0" w:line="212" w:lineRule="exact"/>
        <w:rPr>
          <w:rFonts w:ascii="Arial" w:cs="Arial" w:eastAsia="Arial" w:hAnsi="Arial"/>
          <w:sz w:val="18"/>
          <w:szCs w:val="18"/>
          <w:color w:val="auto"/>
        </w:rPr>
      </w:pPr>
    </w:p>
    <w:p>
      <w:pPr>
        <w:ind w:left="200" w:right="239" w:firstLine="657"/>
        <w:spacing w:after="0" w:line="261" w:lineRule="auto"/>
        <w:tabs>
          <w:tab w:leader="none" w:pos="1496" w:val="left"/>
        </w:tabs>
        <w:numPr>
          <w:ilvl w:val="0"/>
          <w:numId w:val="64"/>
        </w:numPr>
        <w:rPr>
          <w:rFonts w:ascii="Arial" w:cs="Arial" w:eastAsia="Arial" w:hAnsi="Arial"/>
          <w:sz w:val="18"/>
          <w:szCs w:val="18"/>
          <w:color w:val="auto"/>
        </w:rPr>
      </w:pPr>
      <w:r>
        <w:rPr>
          <w:rFonts w:ascii="Arial" w:cs="Arial" w:eastAsia="Arial" w:hAnsi="Arial"/>
          <w:sz w:val="18"/>
          <w:szCs w:val="18"/>
          <w:color w:val="auto"/>
        </w:rPr>
        <w:t>Landlord and Tenant desire to amend the Lease, among other things, to modify the 2022 Expansion Premises Commencement Date.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AGREEMENT</w:t>
      </w:r>
    </w:p>
    <w:p>
      <w:pPr>
        <w:spacing w:after="0" w:line="234"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18"/>
          <w:szCs w:val="18"/>
          <w:color w:val="auto"/>
        </w:rPr>
        <w:t>Now, therefore, in consideration of the foregoing Recitals, the mutual promises and conditions contained herein, and for other good and valuable consideration, the receipt and legal sufficiency of which are hereby acknowledged, Landlord and Tenant hereby agree that the Lease is amended as follows:</w:t>
      </w:r>
    </w:p>
    <w:p>
      <w:pPr>
        <w:spacing w:after="0" w:line="180" w:lineRule="exact"/>
        <w:rPr>
          <w:sz w:val="20"/>
          <w:szCs w:val="20"/>
          <w:color w:val="auto"/>
        </w:rPr>
      </w:pPr>
    </w:p>
    <w:p>
      <w:pPr>
        <w:jc w:val="both"/>
        <w:ind w:left="200" w:right="219" w:firstLine="657"/>
        <w:spacing w:after="0" w:line="268" w:lineRule="auto"/>
        <w:tabs>
          <w:tab w:leader="none" w:pos="1496"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Definitions; Recitals</w:t>
      </w:r>
      <w:r>
        <w:rPr>
          <w:rFonts w:ascii="Arial" w:cs="Arial" w:eastAsia="Arial" w:hAnsi="Arial"/>
          <w:sz w:val="18"/>
          <w:szCs w:val="18"/>
          <w:color w:val="auto"/>
        </w:rPr>
        <w:t>. Terms used in this Fourth Amendment but not otherwise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meanings set forth in the Lease (as amended). The Recitals form an integral part of this Fourth Amendment and are hereby incorporated by reference.</w:t>
      </w:r>
    </w:p>
    <w:p>
      <w:pPr>
        <w:spacing w:after="0" w:line="157" w:lineRule="exact"/>
        <w:rPr>
          <w:rFonts w:ascii="Arial" w:cs="Arial" w:eastAsia="Arial" w:hAnsi="Arial"/>
          <w:sz w:val="18"/>
          <w:szCs w:val="18"/>
          <w:color w:val="auto"/>
        </w:rPr>
      </w:pPr>
    </w:p>
    <w:p>
      <w:pPr>
        <w:jc w:val="both"/>
        <w:ind w:left="200" w:right="219" w:firstLine="657"/>
        <w:spacing w:after="0" w:line="268" w:lineRule="auto"/>
        <w:tabs>
          <w:tab w:leader="none" w:pos="1496"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Amendment to Introductory Paragraph of Section 5 of Third Amendment</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introductory paragraph of Section 5 of the Third Amendment is hereby deleted in its entirety and replaced with the following new paragraph that changes the reference from July 1, 2022 to November 1, 2022:</w:t>
      </w:r>
    </w:p>
    <w:p>
      <w:pPr>
        <w:spacing w:after="0" w:line="171" w:lineRule="exact"/>
        <w:rPr>
          <w:sz w:val="20"/>
          <w:szCs w:val="20"/>
          <w:color w:val="auto"/>
        </w:rPr>
      </w:pPr>
    </w:p>
    <w:p>
      <w:pPr>
        <w:jc w:val="both"/>
        <w:ind w:left="1500" w:right="219"/>
        <w:spacing w:after="0" w:line="250" w:lineRule="auto"/>
        <w:rPr>
          <w:sz w:val="20"/>
          <w:szCs w:val="20"/>
          <w:color w:val="auto"/>
        </w:rPr>
      </w:pPr>
      <w:r>
        <w:rPr>
          <w:rFonts w:ascii="Arial" w:cs="Arial" w:eastAsia="Arial" w:hAnsi="Arial"/>
          <w:sz w:val="18"/>
          <w:szCs w:val="18"/>
          <w:b w:val="1"/>
          <w:bCs w:val="1"/>
          <w:color w:val="auto"/>
        </w:rPr>
        <w:t>Delivery of 2022 Expansion Premises</w:t>
      </w:r>
      <w:r>
        <w:rPr>
          <w:rFonts w:ascii="Arial" w:cs="Arial" w:eastAsia="Arial" w:hAnsi="Arial"/>
          <w:sz w:val="18"/>
          <w:szCs w:val="18"/>
          <w:color w:val="auto"/>
        </w:rPr>
        <w:t>. Landlord shall use reasonable efforts to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2022 Expansion Premises to Tenant on November 1, 2022 in their vacant, “as is” (but broom clean) condition as more fully described in </w:t>
      </w:r>
      <w:r>
        <w:rPr>
          <w:rFonts w:ascii="Arial" w:cs="Arial" w:eastAsia="Arial" w:hAnsi="Arial"/>
          <w:sz w:val="18"/>
          <w:szCs w:val="18"/>
          <w:u w:val="single" w:color="auto"/>
          <w:color w:val="auto"/>
        </w:rPr>
        <w:t>Section 5.a.(i)</w:t>
      </w:r>
      <w:r>
        <w:rPr>
          <w:rFonts w:ascii="Arial" w:cs="Arial" w:eastAsia="Arial" w:hAnsi="Arial"/>
          <w:sz w:val="18"/>
          <w:szCs w:val="18"/>
          <w:color w:val="auto"/>
        </w:rPr>
        <w:t xml:space="preserve"> below (“</w:t>
      </w:r>
      <w:r>
        <w:rPr>
          <w:rFonts w:ascii="Arial" w:cs="Arial" w:eastAsia="Arial" w:hAnsi="Arial"/>
          <w:sz w:val="18"/>
          <w:szCs w:val="18"/>
          <w:b w:val="1"/>
          <w:bCs w:val="1"/>
          <w:color w:val="auto"/>
        </w:rPr>
        <w:t>Delivery</w:t>
      </w:r>
      <w:r>
        <w:rPr>
          <w:rFonts w:ascii="Arial" w:cs="Arial" w:eastAsia="Arial" w:hAnsi="Arial"/>
          <w:sz w:val="18"/>
          <w:szCs w:val="18"/>
          <w:color w:val="auto"/>
        </w:rPr>
        <w:t>” or “</w:t>
      </w:r>
      <w:r>
        <w:rPr>
          <w:rFonts w:ascii="Arial" w:cs="Arial" w:eastAsia="Arial" w:hAnsi="Arial"/>
          <w:sz w:val="18"/>
          <w:szCs w:val="18"/>
          <w:b w:val="1"/>
          <w:bCs w:val="1"/>
          <w:color w:val="auto"/>
        </w:rPr>
        <w:t>Deliver</w:t>
      </w:r>
      <w:r>
        <w:rPr>
          <w:rFonts w:ascii="Arial" w:cs="Arial" w:eastAsia="Arial" w:hAnsi="Arial"/>
          <w:sz w:val="18"/>
          <w:szCs w:val="18"/>
          <w:color w:val="auto"/>
        </w:rPr>
        <w:t>”). The date on which Landlord Delivers the 2022 Expansion Premises to Tenant is referred to as the “</w:t>
      </w:r>
      <w:r>
        <w:rPr>
          <w:rFonts w:ascii="Arial" w:cs="Arial" w:eastAsia="Arial" w:hAnsi="Arial"/>
          <w:sz w:val="18"/>
          <w:szCs w:val="18"/>
          <w:b w:val="1"/>
          <w:bCs w:val="1"/>
          <w:color w:val="auto"/>
        </w:rPr>
        <w:t>2022 Expansion Premises Commencement Date</w:t>
      </w:r>
      <w:r>
        <w:rPr>
          <w:rFonts w:ascii="Arial" w:cs="Arial" w:eastAsia="Arial" w:hAnsi="Arial"/>
          <w:sz w:val="18"/>
          <w:szCs w:val="18"/>
          <w:color w:val="auto"/>
        </w:rPr>
        <w:t xml:space="preserve">.” Upon request of Landlord, Tenant shall execute and deliver a written acknowledgement of the 2022 Expansion Premises Commencement Date when it is established in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Tenant’s failure to execute and deliver such acknowledgement shall not affect Landlord’s rights under this Fourth Amendment or the Lease. If Landlord fails to Deliver timely the 2022 Expansion Premises, Landlord shall not be liable to Tenant for any loss or damage resulting therefrom, and this Fourth Amendment and the Lease with respect to the 2022 Expansion Premises shall not be void or voidable.</w:t>
      </w:r>
    </w:p>
    <w:p>
      <w:pPr>
        <w:spacing w:after="0" w:line="194" w:lineRule="exact"/>
        <w:rPr>
          <w:sz w:val="20"/>
          <w:szCs w:val="20"/>
          <w:color w:val="auto"/>
        </w:rPr>
      </w:pPr>
    </w:p>
    <w:p>
      <w:pPr>
        <w:ind w:left="200" w:right="219" w:firstLine="657"/>
        <w:spacing w:after="0" w:line="287" w:lineRule="auto"/>
        <w:tabs>
          <w:tab w:leader="none" w:pos="1496"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Amendment to Section 5.d of Third Amendment</w:t>
      </w:r>
      <w:r>
        <w:rPr>
          <w:rFonts w:ascii="Arial" w:cs="Arial" w:eastAsia="Arial" w:hAnsi="Arial"/>
          <w:sz w:val="18"/>
          <w:szCs w:val="18"/>
          <w:color w:val="auto"/>
        </w:rPr>
        <w:t>. Section 5.e of the Third Amendment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deleted in its entirety and replaced with the following new Section 5.e: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545211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4" w:name="page115"/>
    <w:bookmarkEnd w:id="114"/>
    <w:p>
      <w:pPr>
        <w:jc w:val="center"/>
        <w:ind w:left="260" w:right="259"/>
        <w:spacing w:after="0" w:line="270" w:lineRule="auto"/>
        <w:rPr>
          <w:sz w:val="20"/>
          <w:szCs w:val="20"/>
          <w:color w:val="auto"/>
        </w:rPr>
      </w:pPr>
      <w:r>
        <w:rPr>
          <w:rFonts w:ascii="Arial" w:cs="Arial" w:eastAsia="Arial" w:hAnsi="Arial"/>
          <w:sz w:val="14"/>
          <w:szCs w:val="14"/>
          <w:b w:val="1"/>
          <w:bCs w:val="1"/>
          <w:color w:val="auto"/>
        </w:rPr>
        <w:t>CERTAIN IDENTIFIED INFORMATION HAS BEEN EXCLUDED FROM THE EXHIBIT BECAUSE IT IS BOTH NOT MATERIAL AND IS THE TYPE THAT THE REGISTRANT TREATS AS PRIVATE OR CONFIDENTIAL. OMITTED INFORMATION HAS BEEN REPLACED WITH [***].</w:t>
      </w:r>
    </w:p>
    <w:p>
      <w:pPr>
        <w:spacing w:after="0" w:line="200" w:lineRule="exact"/>
        <w:rPr>
          <w:sz w:val="20"/>
          <w:szCs w:val="20"/>
          <w:color w:val="auto"/>
        </w:rPr>
      </w:pPr>
    </w:p>
    <w:p>
      <w:pPr>
        <w:spacing w:after="0" w:line="305" w:lineRule="exact"/>
        <w:rPr>
          <w:sz w:val="20"/>
          <w:szCs w:val="20"/>
          <w:color w:val="auto"/>
        </w:rPr>
      </w:pPr>
    </w:p>
    <w:p>
      <w:pPr>
        <w:jc w:val="both"/>
        <w:ind w:left="1500" w:right="219" w:firstLine="653"/>
        <w:spacing w:after="0" w:line="250" w:lineRule="auto"/>
        <w:tabs>
          <w:tab w:leader="none" w:pos="2796" w:val="left"/>
        </w:tabs>
        <w:numPr>
          <w:ilvl w:val="2"/>
          <w:numId w:val="67"/>
        </w:numPr>
        <w:rPr>
          <w:rFonts w:ascii="Arial" w:cs="Arial" w:eastAsia="Arial" w:hAnsi="Arial"/>
          <w:sz w:val="18"/>
          <w:szCs w:val="18"/>
          <w:color w:val="auto"/>
        </w:rPr>
      </w:pPr>
      <w:r>
        <w:rPr>
          <w:rFonts w:ascii="Arial" w:cs="Arial" w:eastAsia="Arial" w:hAnsi="Arial"/>
          <w:sz w:val="18"/>
          <w:szCs w:val="18"/>
          <w:color w:val="auto"/>
        </w:rPr>
        <w:t>As of the Effective Date, Landlord is leasing the 2022 Expansion Premises to [***] LLC, a Maryland limited liability company (“</w:t>
      </w:r>
      <w:r>
        <w:rPr>
          <w:rFonts w:ascii="Arial" w:cs="Arial" w:eastAsia="Arial" w:hAnsi="Arial"/>
          <w:sz w:val="18"/>
          <w:szCs w:val="18"/>
          <w:b w:val="1"/>
          <w:bCs w:val="1"/>
          <w:color w:val="auto"/>
        </w:rPr>
        <w:t>[***]</w:t>
      </w:r>
      <w:r>
        <w:rPr>
          <w:rFonts w:ascii="Arial" w:cs="Arial" w:eastAsia="Arial" w:hAnsi="Arial"/>
          <w:sz w:val="18"/>
          <w:szCs w:val="18"/>
          <w:color w:val="auto"/>
        </w:rPr>
        <w:t>”), and the lease agreement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Lease</w:t>
      </w:r>
      <w:r>
        <w:rPr>
          <w:rFonts w:ascii="Arial" w:cs="Arial" w:eastAsia="Arial" w:hAnsi="Arial"/>
          <w:sz w:val="18"/>
          <w:szCs w:val="18"/>
          <w:color w:val="auto"/>
        </w:rPr>
        <w:t>”) between Landlord and [***] is scheduled to expire on October 31, 2023. This</w:t>
      </w:r>
      <w:r>
        <w:rPr>
          <w:rFonts w:ascii="Arial" w:cs="Arial" w:eastAsia="Arial" w:hAnsi="Arial"/>
          <w:sz w:val="18"/>
          <w:szCs w:val="18"/>
          <w:b w:val="1"/>
          <w:bCs w:val="1"/>
          <w:color w:val="auto"/>
        </w:rPr>
        <w:t xml:space="preserve"> </w:t>
      </w:r>
      <w:r>
        <w:rPr>
          <w:rFonts w:ascii="Arial" w:cs="Arial" w:eastAsia="Arial" w:hAnsi="Arial"/>
          <w:sz w:val="18"/>
          <w:szCs w:val="18"/>
          <w:color w:val="auto"/>
        </w:rPr>
        <w:t>Fourth Amendment is contingent on Landlord and [***] agreeing in writing to terminate the</w:t>
      </w:r>
    </w:p>
    <w:p>
      <w:pPr>
        <w:spacing w:after="0" w:line="1" w:lineRule="exact"/>
        <w:rPr>
          <w:rFonts w:ascii="Arial" w:cs="Arial" w:eastAsia="Arial" w:hAnsi="Arial"/>
          <w:sz w:val="18"/>
          <w:szCs w:val="18"/>
          <w:color w:val="auto"/>
        </w:rPr>
      </w:pPr>
    </w:p>
    <w:p>
      <w:pPr>
        <w:jc w:val="both"/>
        <w:ind w:left="1500" w:right="219" w:firstLine="5"/>
        <w:spacing w:after="0" w:line="245" w:lineRule="auto"/>
        <w:tabs>
          <w:tab w:leader="none" w:pos="1884" w:val="left"/>
        </w:tabs>
        <w:numPr>
          <w:ilvl w:val="1"/>
          <w:numId w:val="67"/>
        </w:numPr>
        <w:rPr>
          <w:rFonts w:ascii="Arial" w:cs="Arial" w:eastAsia="Arial" w:hAnsi="Arial"/>
          <w:sz w:val="18"/>
          <w:szCs w:val="18"/>
          <w:color w:val="auto"/>
        </w:rPr>
      </w:pPr>
      <w:r>
        <w:rPr>
          <w:rFonts w:ascii="Arial" w:cs="Arial" w:eastAsia="Arial" w:hAnsi="Arial"/>
          <w:sz w:val="18"/>
          <w:szCs w:val="18"/>
          <w:color w:val="auto"/>
        </w:rPr>
        <w:t>Lease and [***] vacating the 2022 Expansion Premises on or before September 30, 2022 (“</w:t>
      </w:r>
      <w:r>
        <w:rPr>
          <w:rFonts w:ascii="Arial" w:cs="Arial" w:eastAsia="Arial" w:hAnsi="Arial"/>
          <w:sz w:val="18"/>
          <w:szCs w:val="18"/>
          <w:b w:val="1"/>
          <w:bCs w:val="1"/>
          <w:color w:val="auto"/>
        </w:rPr>
        <w:t>Termination Agreement</w:t>
      </w:r>
      <w:r>
        <w:rPr>
          <w:rFonts w:ascii="Arial" w:cs="Arial" w:eastAsia="Arial" w:hAnsi="Arial"/>
          <w:sz w:val="18"/>
          <w:szCs w:val="18"/>
          <w:color w:val="auto"/>
        </w:rPr>
        <w:t>”), which Termination Agreement shall be on terms and conditions acceptable to Landlord in its sole and absolute discretion (“</w:t>
      </w:r>
      <w:r>
        <w:rPr>
          <w:rFonts w:ascii="Arial" w:cs="Arial" w:eastAsia="Arial" w:hAnsi="Arial"/>
          <w:sz w:val="18"/>
          <w:szCs w:val="18"/>
          <w:b w:val="1"/>
          <w:bCs w:val="1"/>
          <w:color w:val="auto"/>
        </w:rPr>
        <w:t>Contingency</w:t>
      </w:r>
      <w:r>
        <w:rPr>
          <w:rFonts w:ascii="Arial" w:cs="Arial" w:eastAsia="Arial" w:hAnsi="Arial"/>
          <w:sz w:val="18"/>
          <w:szCs w:val="18"/>
          <w:color w:val="auto"/>
        </w:rPr>
        <w:t>”).</w:t>
      </w:r>
    </w:p>
    <w:p>
      <w:pPr>
        <w:jc w:val="both"/>
        <w:ind w:left="1500" w:right="219" w:firstLine="97"/>
        <w:spacing w:after="0" w:line="248" w:lineRule="auto"/>
        <w:rPr>
          <w:rFonts w:ascii="Arial" w:cs="Arial" w:eastAsia="Arial" w:hAnsi="Arial"/>
          <w:sz w:val="18"/>
          <w:szCs w:val="18"/>
          <w:color w:val="auto"/>
        </w:rPr>
      </w:pPr>
      <w:r>
        <w:rPr>
          <w:rFonts w:ascii="Arial" w:cs="Arial" w:eastAsia="Arial" w:hAnsi="Arial"/>
          <w:sz w:val="18"/>
          <w:szCs w:val="18"/>
          <w:color w:val="auto"/>
        </w:rPr>
        <w:t>Landlord will notify Tenant promptly of the execution and delivery of the Termination Agreement. Tenant acknowledges that Landlord makes no promise, guaranty, or assurance that it will be able to enter into the Termination Agreement and, as a result, Landlord makes no guaranty, representation, or assurance that Landlord will be able to Deliver the 2022 Expansion Premises to Tenant by the 2022 Expansion Premises Commencement Date and that Landlord shall have no obligation or duty to seek the vacation or removal of [***] from the 2022 Expansion Premises. If Landlord is unable to Deliver the 2022 Expansion Premises on or before November 30, 2022, Tenant shall have the right to terminate this Fourth Amendment by sending written notice thereof to Landlord by no later than December 15, 2022, whereupon neither Landlord nor Tenant shall have any further rights, duties, or obligations under this Fourth Amendment. If Tenant does not elect to so terminate this Fourth Amendment by December 15, 2022, such right to terminate this Fourth Amendment shall be waived.</w:t>
      </w:r>
    </w:p>
    <w:p>
      <w:pPr>
        <w:spacing w:after="0" w:line="194" w:lineRule="exact"/>
        <w:rPr>
          <w:rFonts w:ascii="Arial" w:cs="Arial" w:eastAsia="Arial" w:hAnsi="Arial"/>
          <w:sz w:val="18"/>
          <w:szCs w:val="18"/>
          <w:color w:val="auto"/>
        </w:rPr>
      </w:pPr>
    </w:p>
    <w:p>
      <w:pPr>
        <w:jc w:val="both"/>
        <w:ind w:left="200" w:right="219" w:firstLine="657"/>
        <w:spacing w:after="0" w:line="268" w:lineRule="auto"/>
        <w:tabs>
          <w:tab w:leader="none" w:pos="1496"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Amendment to Exhibit B of the Third Amendment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Third Amendment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hereby deleted in its entirety and replaced with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solely for the purpose of reflecting this Fourth Amendment.</w:t>
      </w:r>
    </w:p>
    <w:p>
      <w:pPr>
        <w:spacing w:after="0" w:line="170" w:lineRule="exact"/>
        <w:rPr>
          <w:rFonts w:ascii="Arial" w:cs="Arial" w:eastAsia="Arial" w:hAnsi="Arial"/>
          <w:sz w:val="18"/>
          <w:szCs w:val="18"/>
          <w:color w:val="auto"/>
        </w:rPr>
      </w:pPr>
    </w:p>
    <w:p>
      <w:pPr>
        <w:jc w:val="both"/>
        <w:ind w:left="200" w:right="219" w:firstLine="657"/>
        <w:spacing w:after="0" w:line="257" w:lineRule="auto"/>
        <w:tabs>
          <w:tab w:leader="none" w:pos="1496"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Amendment to Exhibit C of the Third Amendment</w:t>
      </w:r>
      <w:r>
        <w:rPr>
          <w:rFonts w:ascii="Arial" w:cs="Arial" w:eastAsia="Arial" w:hAnsi="Arial"/>
          <w:sz w:val="18"/>
          <w:szCs w:val="18"/>
          <w:color w:val="auto"/>
        </w:rPr>
        <w:t>. The introductory paragraph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Third Amendment is hereby deleted in its entirety and replaced with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solely for the purpose of reflecting this Fourth Amendment. For clarity, the balance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Third Amendment is left unchanged and in full force and effect.</w:t>
      </w:r>
    </w:p>
    <w:p>
      <w:pPr>
        <w:spacing w:after="0" w:line="179" w:lineRule="exact"/>
        <w:rPr>
          <w:rFonts w:ascii="Arial" w:cs="Arial" w:eastAsia="Arial" w:hAnsi="Arial"/>
          <w:sz w:val="18"/>
          <w:szCs w:val="18"/>
          <w:color w:val="auto"/>
        </w:rPr>
      </w:pPr>
    </w:p>
    <w:p>
      <w:pPr>
        <w:ind w:left="1500" w:hanging="643"/>
        <w:spacing w:after="0"/>
        <w:tabs>
          <w:tab w:leader="none" w:pos="15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200" w:right="219" w:firstLine="1305"/>
        <w:spacing w:after="0" w:line="257" w:lineRule="auto"/>
        <w:tabs>
          <w:tab w:leader="none" w:pos="2144"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The Lease, as amended by this Fourth Amendment, is the</w:t>
      </w:r>
      <w:r>
        <w:rPr>
          <w:rFonts w:ascii="Arial" w:cs="Arial" w:eastAsia="Arial" w:hAnsi="Arial"/>
          <w:sz w:val="18"/>
          <w:szCs w:val="18"/>
          <w:b w:val="1"/>
          <w:bCs w:val="1"/>
          <w:color w:val="auto"/>
        </w:rPr>
        <w:t xml:space="preserve"> </w:t>
      </w:r>
      <w:r>
        <w:rPr>
          <w:rFonts w:ascii="Arial" w:cs="Arial" w:eastAsia="Arial" w:hAnsi="Arial"/>
          <w:sz w:val="18"/>
          <w:szCs w:val="18"/>
          <w:color w:val="auto"/>
        </w:rPr>
        <w:t>entire agreement between the parties with respect to the subject matter hereof and supersedes all prior and contemporaneous oral and written agreements and discussions. The Lease, as so amended by this Fourth Amendment, may be amended only by an agreement in writing, signed by the parties hereto.</w:t>
      </w:r>
    </w:p>
    <w:p>
      <w:pPr>
        <w:spacing w:after="0" w:line="179" w:lineRule="exact"/>
        <w:rPr>
          <w:rFonts w:ascii="Arial" w:cs="Arial" w:eastAsia="Arial" w:hAnsi="Arial"/>
          <w:sz w:val="18"/>
          <w:szCs w:val="18"/>
          <w:color w:val="auto"/>
        </w:rPr>
      </w:pPr>
    </w:p>
    <w:p>
      <w:pPr>
        <w:jc w:val="both"/>
        <w:ind w:left="200" w:right="219" w:firstLine="1305"/>
        <w:spacing w:after="0" w:line="268" w:lineRule="auto"/>
        <w:tabs>
          <w:tab w:leader="none" w:pos="2144"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Fourth Amendment is binding upon and shall inure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the parties hereto, their respective agents, employees, members, representatives, officers, directors, divisions, subsidiaries, affiliates, assigns, heirs, successors in interest and shareholders.</w:t>
      </w:r>
    </w:p>
    <w:p>
      <w:pPr>
        <w:spacing w:after="0" w:line="157" w:lineRule="exact"/>
        <w:rPr>
          <w:rFonts w:ascii="Arial" w:cs="Arial" w:eastAsia="Arial" w:hAnsi="Arial"/>
          <w:sz w:val="18"/>
          <w:szCs w:val="18"/>
          <w:color w:val="auto"/>
        </w:rPr>
      </w:pPr>
    </w:p>
    <w:p>
      <w:pPr>
        <w:jc w:val="both"/>
        <w:ind w:left="200" w:right="219" w:firstLine="1305"/>
        <w:spacing w:after="0" w:line="256" w:lineRule="auto"/>
        <w:tabs>
          <w:tab w:leader="none" w:pos="2144"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Broker</w:t>
      </w:r>
      <w:r>
        <w:rPr>
          <w:rFonts w:ascii="Arial" w:cs="Arial" w:eastAsia="Arial" w:hAnsi="Arial"/>
          <w:sz w:val="18"/>
          <w:szCs w:val="18"/>
          <w:color w:val="auto"/>
        </w:rPr>
        <w:t>. Landlord and Tenant each represents and warrants that it has not dealt</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broker, agent or other person (collectively,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this Fourth Amendment and that no Broker brought about this Fourth Amendment, other than CB Richard Ellis (“</w:t>
      </w:r>
      <w:r>
        <w:rPr>
          <w:rFonts w:ascii="Arial" w:cs="Arial" w:eastAsia="Arial" w:hAnsi="Arial"/>
          <w:sz w:val="18"/>
          <w:szCs w:val="18"/>
          <w:b w:val="1"/>
          <w:bCs w:val="1"/>
          <w:color w:val="auto"/>
        </w:rPr>
        <w:t>CBRE</w:t>
      </w:r>
      <w:r>
        <w:rPr>
          <w:rFonts w:ascii="Arial" w:cs="Arial" w:eastAsia="Arial" w:hAnsi="Arial"/>
          <w:sz w:val="18"/>
          <w:szCs w:val="18"/>
          <w:color w:val="auto"/>
        </w:rPr>
        <w:t>”). CBRE shall be paid by Landlord pursuant to a separate agreement between Landlord and CBRE. Landlord and Tenant each hereby agree to indemnify and hold the other harmless from and against any claims by any Broker, other than the brokers named in this Section, claiming a commission or other form of compensation by virtue of having dealt with Tenant or Landlord, as applicable, with regard to this Fourth Amendment.</w:t>
      </w:r>
    </w:p>
    <w:p>
      <w:pPr>
        <w:spacing w:after="0" w:line="169" w:lineRule="exact"/>
        <w:rPr>
          <w:rFonts w:ascii="Arial" w:cs="Arial" w:eastAsia="Arial" w:hAnsi="Arial"/>
          <w:sz w:val="18"/>
          <w:szCs w:val="18"/>
          <w:color w:val="auto"/>
        </w:rPr>
      </w:pPr>
    </w:p>
    <w:p>
      <w:pPr>
        <w:jc w:val="both"/>
        <w:ind w:left="200" w:right="219" w:firstLine="1305"/>
        <w:spacing w:after="0" w:line="259" w:lineRule="auto"/>
        <w:tabs>
          <w:tab w:leader="none" w:pos="2144"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Fourth Amendment may be executed in 2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including DocuSign) or other transmission method and any counterpart so delivered shall be deemed to have been duly and validly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5" w:name="page116"/>
    <w:bookmarkEnd w:id="115"/>
    <w:p>
      <w:pPr>
        <w:jc w:val="center"/>
        <w:ind w:left="1660" w:right="40"/>
        <w:spacing w:after="0" w:line="270" w:lineRule="auto"/>
        <w:rPr>
          <w:sz w:val="20"/>
          <w:szCs w:val="20"/>
          <w:color w:val="auto"/>
        </w:rPr>
      </w:pPr>
      <w:r>
        <w:rPr>
          <w:rFonts w:ascii="Arial" w:cs="Arial" w:eastAsia="Arial" w:hAnsi="Arial"/>
          <w:sz w:val="14"/>
          <w:szCs w:val="14"/>
          <w:b w:val="1"/>
          <w:bCs w:val="1"/>
          <w:color w:val="auto"/>
        </w:rPr>
        <w:t>CERTAIN IDENTIFIED INFORMATION HAS BEEN EXCLUDED FROM THE EXHIBIT BECAUSE IT IS BOTH NOT MATERIAL AND IS THE TYPE THAT THE REGISTRANT TREATS AS PRIVATE OR CONFIDENTIAL. OMITTED INFORMATION HAS BEEN REPLACED WITH [***].</w:t>
      </w:r>
    </w:p>
    <w:p>
      <w:pPr>
        <w:spacing w:after="0" w:line="200" w:lineRule="exact"/>
        <w:rPr>
          <w:sz w:val="20"/>
          <w:szCs w:val="20"/>
          <w:color w:val="auto"/>
        </w:rPr>
      </w:pPr>
    </w:p>
    <w:p>
      <w:pPr>
        <w:spacing w:after="0" w:line="305" w:lineRule="exact"/>
        <w:rPr>
          <w:sz w:val="20"/>
          <w:szCs w:val="20"/>
          <w:color w:val="auto"/>
        </w:rPr>
      </w:pPr>
    </w:p>
    <w:p>
      <w:pPr>
        <w:jc w:val="both"/>
        <w:ind w:left="200" w:right="219"/>
        <w:spacing w:after="0" w:line="256" w:lineRule="auto"/>
        <w:rPr>
          <w:sz w:val="20"/>
          <w:szCs w:val="20"/>
          <w:color w:val="auto"/>
        </w:rPr>
      </w:pPr>
      <w:r>
        <w:rPr>
          <w:rFonts w:ascii="Arial" w:cs="Arial" w:eastAsia="Arial" w:hAnsi="Arial"/>
          <w:sz w:val="18"/>
          <w:szCs w:val="18"/>
          <w:color w:val="auto"/>
        </w:rPr>
        <w:t>delivered and be valid and effective for all purposes. Electronic signatures shall be deemed original signatures for purposes of this Fourth Amendment and all matters related thereto, with such electronic signatures having the same legal effect as original signatures.</w:t>
      </w:r>
    </w:p>
    <w:p>
      <w:pPr>
        <w:spacing w:after="0" w:line="180" w:lineRule="exact"/>
        <w:rPr>
          <w:sz w:val="20"/>
          <w:szCs w:val="20"/>
          <w:color w:val="auto"/>
        </w:rPr>
      </w:pPr>
    </w:p>
    <w:p>
      <w:pPr>
        <w:jc w:val="both"/>
        <w:ind w:left="200" w:right="219" w:firstLine="1305"/>
        <w:spacing w:after="0" w:line="254" w:lineRule="auto"/>
        <w:tabs>
          <w:tab w:leader="none" w:pos="2144"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Ratification; Conflicts</w:t>
      </w:r>
      <w:r>
        <w:rPr>
          <w:rFonts w:ascii="Arial" w:cs="Arial" w:eastAsia="Arial" w:hAnsi="Arial"/>
          <w:sz w:val="18"/>
          <w:szCs w:val="18"/>
          <w:color w:val="auto"/>
        </w:rPr>
        <w:t>. Except as amended and/or modified by this Fourth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the Lease is hereby ratified and confirmed and all other terms of the Lease shall remain in full force and effect, unaltered and unchanged by this Fourth Amendment. In the event of any conflict between the provisions of this Fourth Amendment and the provisions of the Lease, the provisions of this Fourth Amendment shall prevail. Regardless of whether specifically amended by this Fourth Amendment, all of the terms and provisions of the Lease are hereby amended to the extent necessary to give effect to the purpose and intent of this Fourth Amendment.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 APPEAR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525780</wp:posOffset>
            </wp:positionV>
            <wp:extent cx="545211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6" w:name="page117"/>
    <w:bookmarkEnd w:id="116"/>
    <w:p>
      <w:pPr>
        <w:jc w:val="center"/>
        <w:ind w:left="1680" w:right="20"/>
        <w:spacing w:after="0" w:line="270" w:lineRule="auto"/>
        <w:rPr>
          <w:sz w:val="20"/>
          <w:szCs w:val="20"/>
          <w:color w:val="auto"/>
        </w:rPr>
      </w:pPr>
      <w:r>
        <w:rPr>
          <w:rFonts w:ascii="Arial" w:cs="Arial" w:eastAsia="Arial" w:hAnsi="Arial"/>
          <w:sz w:val="14"/>
          <w:szCs w:val="14"/>
          <w:b w:val="1"/>
          <w:bCs w:val="1"/>
          <w:color w:val="auto"/>
        </w:rPr>
        <w:t>CERTAIN IDENTIFIED INFORMATION HAS BEEN EXCLUDED FROM THE EXHIBIT BECAUSE IT IS BOTH NOT MATERIAL AND IS THE TYPE THAT THE REGISTRANT TREATS AS PRIVATE OR CONFIDENTIAL. OMITTED INFORMATION HAS BEEN REPLACED WITH [***].</w:t>
      </w:r>
    </w:p>
    <w:p>
      <w:pPr>
        <w:spacing w:after="0" w:line="200" w:lineRule="exact"/>
        <w:rPr>
          <w:sz w:val="20"/>
          <w:szCs w:val="20"/>
          <w:color w:val="auto"/>
        </w:rPr>
      </w:pPr>
    </w:p>
    <w:p>
      <w:pPr>
        <w:spacing w:after="0" w:line="305" w:lineRule="exact"/>
        <w:rPr>
          <w:sz w:val="20"/>
          <w:szCs w:val="20"/>
          <w:color w:val="auto"/>
        </w:rPr>
      </w:pPr>
    </w:p>
    <w:p>
      <w:pPr>
        <w:ind w:left="200" w:right="239" w:firstLine="648"/>
        <w:spacing w:after="0" w:line="261" w:lineRule="auto"/>
        <w:rPr>
          <w:sz w:val="20"/>
          <w:szCs w:val="20"/>
          <w:color w:val="auto"/>
        </w:rPr>
      </w:pPr>
      <w:r>
        <w:rPr>
          <w:rFonts w:ascii="Arial" w:cs="Arial" w:eastAsia="Arial" w:hAnsi="Arial"/>
          <w:sz w:val="18"/>
          <w:szCs w:val="18"/>
          <w:color w:val="auto"/>
        </w:rPr>
        <w:t>IN WITNESS WHEREOF, the parties hereto have executed this Fourth Amendment under seal as of the day and year first above written.</w:t>
      </w:r>
    </w:p>
    <w:p>
      <w:pPr>
        <w:spacing w:after="0" w:line="176"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NEXTCURE, INC</w:t>
      </w:r>
      <w:r>
        <w:rPr>
          <w:rFonts w:ascii="Arial" w:cs="Arial" w:eastAsia="Arial" w:hAnsi="Arial"/>
          <w:sz w:val="18"/>
          <w:szCs w:val="18"/>
          <w:color w:val="auto"/>
        </w:rPr>
        <w:t>.,</w:t>
      </w:r>
    </w:p>
    <w:p>
      <w:pPr>
        <w:spacing w:after="0" w:line="1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Timothy J. Mayer</w:t>
      </w:r>
      <w:r>
        <w:rPr>
          <w:rFonts w:ascii="Arial" w:cs="Arial" w:eastAsia="Arial" w:hAnsi="Arial"/>
          <w:sz w:val="18"/>
          <w:szCs w:val="18"/>
          <w:color w:val="auto"/>
        </w:rPr>
        <w:t xml:space="preserve"> (SEAL)</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Chief Operating Officer</w:t>
      </w:r>
    </w:p>
    <w:p>
      <w:pPr>
        <w:spacing w:after="0" w:line="212"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X I hereby certify that the signature, name, and title</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above are my signature, name, and title.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ARE-8000/9000/10000 VIRGINIA MANOR, LLC</w:t>
      </w:r>
      <w:r>
        <w:rPr>
          <w:rFonts w:ascii="Arial" w:cs="Arial" w:eastAsia="Arial" w:hAnsi="Arial"/>
          <w:sz w:val="18"/>
          <w:szCs w:val="18"/>
          <w:color w:val="auto"/>
        </w:rPr>
        <w:t>,</w:t>
      </w:r>
    </w:p>
    <w:p>
      <w:pPr>
        <w:spacing w:after="0" w:line="1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 Delaware limited liability company</w:t>
      </w:r>
    </w:p>
    <w:p>
      <w:pPr>
        <w:sectPr>
          <w:pgSz w:w="11900" w:h="16838" w:orient="portrait"/>
          <w:cols w:equalWidth="0" w:num="1">
            <w:col w:w="9019"/>
          </w:cols>
          <w:pgMar w:left="1440" w:top="657" w:right="1440" w:bottom="1440" w:gutter="0" w:footer="0" w:header="0"/>
        </w:sectPr>
      </w:pP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959"/>
        <w:spacing w:after="0" w:line="256" w:lineRule="auto"/>
        <w:rPr>
          <w:sz w:val="20"/>
          <w:szCs w:val="20"/>
          <w:color w:val="auto"/>
        </w:rPr>
      </w:pPr>
      <w:r>
        <w:rPr>
          <w:rFonts w:ascii="Arial" w:cs="Arial" w:eastAsia="Arial" w:hAnsi="Arial"/>
          <w:sz w:val="18"/>
          <w:szCs w:val="18"/>
          <w:color w:val="auto"/>
        </w:rPr>
        <w:t>Alexandria Real Estate Equities, L.P., a Delaware limited partnership, managing member</w:t>
      </w:r>
    </w:p>
    <w:p>
      <w:pPr>
        <w:spacing w:after="0" w:line="197" w:lineRule="exact"/>
        <w:rPr>
          <w:sz w:val="20"/>
          <w:szCs w:val="20"/>
          <w:color w:val="auto"/>
        </w:rPr>
      </w:pPr>
    </w:p>
    <w:p>
      <w:pPr>
        <w:sectPr>
          <w:pgSz w:w="11900" w:h="16838" w:orient="portrait"/>
          <w:cols w:equalWidth="0" w:num="2">
            <w:col w:w="3700" w:space="400"/>
            <w:col w:w="4919"/>
          </w:cols>
          <w:pgMar w:left="1440" w:top="657" w:right="1440" w:bottom="1440" w:gutter="0" w:footer="0" w:header="0"/>
          <w:type w:val="continuous"/>
        </w:sectPr>
      </w:pPr>
    </w:p>
    <w:p>
      <w:pPr>
        <w:spacing w:after="0" w:line="5"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ARE-QRS CORP.,</w:t>
      </w:r>
    </w:p>
    <w:p>
      <w:pPr>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4360" w:space="380"/>
            <w:col w:w="4279"/>
          </w:cols>
          <w:pgMar w:left="1440" w:top="657"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By:_</w:t>
      </w:r>
      <w:r>
        <w:rPr>
          <w:rFonts w:ascii="Arial" w:cs="Arial" w:eastAsia="Arial" w:hAnsi="Arial"/>
          <w:sz w:val="18"/>
          <w:szCs w:val="18"/>
          <w:u w:val="single" w:color="auto"/>
          <w:color w:val="auto"/>
        </w:rPr>
        <w:t>/s/ Gregory Kay</w:t>
      </w:r>
      <w:r>
        <w:rPr>
          <w:rFonts w:ascii="Arial" w:cs="Arial" w:eastAsia="Arial" w:hAnsi="Arial"/>
          <w:sz w:val="18"/>
          <w:szCs w:val="18"/>
          <w:color w:val="auto"/>
        </w:rPr>
        <w:t xml:space="preserve"> (SEAL)</w:t>
      </w:r>
    </w:p>
    <w:p>
      <w:pPr>
        <w:spacing w:after="0" w:line="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Gregory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-15875</wp:posOffset>
            </wp:positionV>
            <wp:extent cx="8001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7"/>
          <w:szCs w:val="17"/>
          <w:color w:val="auto"/>
        </w:rPr>
        <w:t>Title:_</w:t>
      </w:r>
      <w:r>
        <w:rPr>
          <w:rFonts w:ascii="Arial" w:cs="Arial" w:eastAsia="Arial" w:hAnsi="Arial"/>
          <w:sz w:val="17"/>
          <w:szCs w:val="17"/>
          <w:u w:val="single" w:color="auto"/>
          <w:color w:val="auto"/>
        </w:rPr>
        <w:t>SVP – Real Estate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519430</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type w:val="continuous"/>
        </w:sectPr>
      </w:pPr>
    </w:p>
    <w:bookmarkStart w:id="117" w:name="page118"/>
    <w:bookmarkEnd w:id="117"/>
    <w:p>
      <w:pPr>
        <w:jc w:val="right"/>
        <w:ind w:right="219"/>
        <w:spacing w:after="0"/>
        <w:rPr>
          <w:sz w:val="20"/>
          <w:szCs w:val="20"/>
          <w:color w:val="auto"/>
        </w:rPr>
      </w:pPr>
      <w:r>
        <w:rPr>
          <w:rFonts w:ascii="Arial" w:cs="Arial" w:eastAsia="Arial" w:hAnsi="Arial"/>
          <w:sz w:val="22"/>
          <w:szCs w:val="22"/>
          <w:b w:val="1"/>
          <w:bCs w:val="1"/>
          <w:color w:val="auto"/>
        </w:rPr>
        <w:t>Exhibit 10.28</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THIRD AMENDMENT TO SRA</w:t>
      </w:r>
    </w:p>
    <w:p>
      <w:pPr>
        <w:spacing w:after="0" w:line="260" w:lineRule="exact"/>
        <w:rPr>
          <w:sz w:val="20"/>
          <w:szCs w:val="20"/>
          <w:color w:val="auto"/>
        </w:rPr>
      </w:pPr>
    </w:p>
    <w:p>
      <w:pPr>
        <w:jc w:val="both"/>
        <w:ind w:left="200" w:right="219" w:firstLine="648"/>
        <w:spacing w:after="0" w:line="247" w:lineRule="auto"/>
        <w:rPr>
          <w:sz w:val="20"/>
          <w:szCs w:val="20"/>
          <w:color w:val="auto"/>
        </w:rPr>
      </w:pPr>
      <w:r>
        <w:rPr>
          <w:rFonts w:ascii="Arial" w:cs="Arial" w:eastAsia="Arial" w:hAnsi="Arial"/>
          <w:sz w:val="22"/>
          <w:szCs w:val="22"/>
          <w:color w:val="auto"/>
        </w:rPr>
        <w:t>This THIRD AMENDMENT TO SRA (this “</w:t>
      </w:r>
      <w:r>
        <w:rPr>
          <w:rFonts w:ascii="Arial" w:cs="Arial" w:eastAsia="Arial" w:hAnsi="Arial"/>
          <w:sz w:val="22"/>
          <w:szCs w:val="22"/>
          <w:b w:val="1"/>
          <w:bCs w:val="1"/>
          <w:color w:val="auto"/>
        </w:rPr>
        <w:t>THIRD AMENDMENT</w:t>
      </w:r>
      <w:r>
        <w:rPr>
          <w:rFonts w:ascii="Arial" w:cs="Arial" w:eastAsia="Arial" w:hAnsi="Arial"/>
          <w:sz w:val="22"/>
          <w:szCs w:val="22"/>
          <w:color w:val="auto"/>
        </w:rPr>
        <w:t>”) is made and entered into effective as of September 14, 2022 (“</w:t>
      </w:r>
      <w:r>
        <w:rPr>
          <w:rFonts w:ascii="Arial" w:cs="Arial" w:eastAsia="Arial" w:hAnsi="Arial"/>
          <w:sz w:val="22"/>
          <w:szCs w:val="22"/>
          <w:b w:val="1"/>
          <w:bCs w:val="1"/>
          <w:color w:val="auto"/>
        </w:rPr>
        <w:t>THIRD AMENDMENT EFFECTIVE</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by and between Yale University, a nonprofit corporation organized and existing under and</w:t>
      </w:r>
      <w:r>
        <w:rPr>
          <w:rFonts w:ascii="Arial" w:cs="Arial" w:eastAsia="Arial" w:hAnsi="Arial"/>
          <w:sz w:val="22"/>
          <w:szCs w:val="22"/>
          <w:b w:val="1"/>
          <w:bCs w:val="1"/>
          <w:color w:val="auto"/>
        </w:rPr>
        <w:t xml:space="preserve"> </w:t>
      </w:r>
      <w:r>
        <w:rPr>
          <w:rFonts w:ascii="Arial" w:cs="Arial" w:eastAsia="Arial" w:hAnsi="Arial"/>
          <w:sz w:val="22"/>
          <w:szCs w:val="22"/>
          <w:color w:val="auto"/>
        </w:rPr>
        <w:t>by virtue of a charter granted by the general assembly of the Colony and State of Connecticut (“</w:t>
      </w:r>
      <w:r>
        <w:rPr>
          <w:rFonts w:ascii="Arial" w:cs="Arial" w:eastAsia="Arial" w:hAnsi="Arial"/>
          <w:sz w:val="22"/>
          <w:szCs w:val="22"/>
          <w:b w:val="1"/>
          <w:bCs w:val="1"/>
          <w:color w:val="auto"/>
        </w:rPr>
        <w:t>YALE</w:t>
      </w:r>
      <w:r>
        <w:rPr>
          <w:rFonts w:ascii="Arial" w:cs="Arial" w:eastAsia="Arial" w:hAnsi="Arial"/>
          <w:sz w:val="22"/>
          <w:szCs w:val="22"/>
          <w:color w:val="auto"/>
        </w:rPr>
        <w:t>”), and NextCure, Inc., a corporation organized and existing under the laws of the State of Delaware (“</w:t>
      </w:r>
      <w:r>
        <w:rPr>
          <w:rFonts w:ascii="Arial" w:cs="Arial" w:eastAsia="Arial" w:hAnsi="Arial"/>
          <w:sz w:val="22"/>
          <w:szCs w:val="22"/>
          <w:b w:val="1"/>
          <w:bCs w:val="1"/>
          <w:color w:val="auto"/>
        </w:rPr>
        <w:t>NEXTCURE</w:t>
      </w:r>
      <w:r>
        <w:rPr>
          <w:rFonts w:ascii="Arial" w:cs="Arial" w:eastAsia="Arial" w:hAnsi="Arial"/>
          <w:sz w:val="22"/>
          <w:szCs w:val="22"/>
          <w:color w:val="auto"/>
        </w:rPr>
        <w:t>”). YALE and NEXTCURE are each referred to herein, individually, as a “Party” and, collectively, as the “Parties.”</w:t>
      </w:r>
    </w:p>
    <w:p>
      <w:pPr>
        <w:spacing w:after="0" w:line="236" w:lineRule="exact"/>
        <w:rPr>
          <w:sz w:val="20"/>
          <w:szCs w:val="20"/>
          <w:color w:val="auto"/>
        </w:rPr>
      </w:pPr>
    </w:p>
    <w:p>
      <w:pPr>
        <w:jc w:val="both"/>
        <w:ind w:left="200" w:right="219" w:firstLine="648"/>
        <w:spacing w:after="0" w:line="263" w:lineRule="auto"/>
        <w:rPr>
          <w:sz w:val="20"/>
          <w:szCs w:val="20"/>
          <w:color w:val="auto"/>
        </w:rPr>
      </w:pPr>
      <w:r>
        <w:rPr>
          <w:rFonts w:ascii="Arial" w:cs="Arial" w:eastAsia="Arial" w:hAnsi="Arial"/>
          <w:sz w:val="22"/>
          <w:szCs w:val="22"/>
          <w:color w:val="auto"/>
        </w:rPr>
        <w:t>WHEREAS, the Parties entered into that certain Corporate Sponsored Research Agreement effective as of December 29, 2015 (the “</w:t>
      </w:r>
      <w:r>
        <w:rPr>
          <w:rFonts w:ascii="Arial" w:cs="Arial" w:eastAsia="Arial" w:hAnsi="Arial"/>
          <w:sz w:val="22"/>
          <w:szCs w:val="22"/>
          <w:b w:val="1"/>
          <w:bCs w:val="1"/>
          <w:i w:val="1"/>
          <w:iCs w:val="1"/>
          <w:color w:val="auto"/>
        </w:rPr>
        <w:t>SRA</w:t>
      </w:r>
      <w:r>
        <w:rPr>
          <w:rFonts w:ascii="Arial" w:cs="Arial" w:eastAsia="Arial" w:hAnsi="Arial"/>
          <w:sz w:val="22"/>
          <w:szCs w:val="22"/>
          <w:color w:val="auto"/>
        </w:rPr>
        <w:t>”);</w:t>
      </w:r>
    </w:p>
    <w:p>
      <w:pPr>
        <w:spacing w:after="0" w:line="215"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22"/>
          <w:szCs w:val="22"/>
          <w:color w:val="auto"/>
        </w:rPr>
        <w:t>WHEREAS, the Parties previously amended the SRA by that certain Amendment to License Agreement and SRA effective as of January 31, 2020 and further by that certain Second Amendment to License Agreement and SRA effective as of October 20, 2021 (collectively, the “</w:t>
      </w:r>
      <w:r>
        <w:rPr>
          <w:rFonts w:ascii="Arial" w:cs="Arial" w:eastAsia="Arial" w:hAnsi="Arial"/>
          <w:sz w:val="22"/>
          <w:szCs w:val="22"/>
          <w:b w:val="1"/>
          <w:bCs w:val="1"/>
          <w:color w:val="auto"/>
        </w:rPr>
        <w:t>PRIOR AMENDMENTS</w:t>
      </w:r>
      <w:r>
        <w:rPr>
          <w:rFonts w:ascii="Arial" w:cs="Arial" w:eastAsia="Arial" w:hAnsi="Arial"/>
          <w:sz w:val="22"/>
          <w:szCs w:val="22"/>
          <w:color w:val="auto"/>
        </w:rPr>
        <w:t>”); and</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WHEREAS, the Parties now desire to amend further the SRA as more particularly set forth</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herein.</w:t>
      </w:r>
    </w:p>
    <w:p>
      <w:pPr>
        <w:spacing w:after="0" w:line="242"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2"/>
          <w:szCs w:val="22"/>
          <w:color w:val="auto"/>
        </w:rPr>
        <w:t>NOW, THEREFORE, in consideration of the mutual promises, representations, warranties and covenants set forth in this THIRD AMENDMENT, and for other good and valuable consideration, the receipt and sufficiency of which are hereby acknowledged, the parties hereto hereby agree as follows:</w:t>
      </w:r>
    </w:p>
    <w:p>
      <w:pPr>
        <w:spacing w:after="0" w:line="188" w:lineRule="exact"/>
        <w:rPr>
          <w:sz w:val="20"/>
          <w:szCs w:val="20"/>
          <w:color w:val="auto"/>
        </w:rPr>
      </w:pPr>
    </w:p>
    <w:p>
      <w:pPr>
        <w:ind w:left="1500" w:hanging="643"/>
        <w:spacing w:after="0"/>
        <w:tabs>
          <w:tab w:leader="none" w:pos="1500" w:val="left"/>
        </w:tabs>
        <w:numPr>
          <w:ilvl w:val="0"/>
          <w:numId w:val="71"/>
        </w:numPr>
        <w:rPr>
          <w:rFonts w:ascii="Arial" w:cs="Arial" w:eastAsia="Arial" w:hAnsi="Arial"/>
          <w:sz w:val="22"/>
          <w:szCs w:val="22"/>
          <w:color w:val="252525"/>
        </w:rPr>
      </w:pPr>
      <w:r>
        <w:rPr>
          <w:rFonts w:ascii="Arial" w:cs="Arial" w:eastAsia="Arial" w:hAnsi="Arial"/>
          <w:sz w:val="22"/>
          <w:szCs w:val="22"/>
          <w:color w:val="252525"/>
        </w:rPr>
        <w:t>Definitions and Phrases.</w:t>
      </w:r>
    </w:p>
    <w:p>
      <w:pPr>
        <w:spacing w:after="0" w:line="220" w:lineRule="exact"/>
        <w:rPr>
          <w:sz w:val="20"/>
          <w:szCs w:val="20"/>
          <w:color w:val="auto"/>
        </w:rPr>
      </w:pPr>
    </w:p>
    <w:p>
      <w:pPr>
        <w:jc w:val="both"/>
        <w:ind w:left="200" w:right="239" w:firstLine="648"/>
        <w:spacing w:after="0" w:line="263" w:lineRule="auto"/>
        <w:rPr>
          <w:sz w:val="20"/>
          <w:szCs w:val="20"/>
          <w:color w:val="auto"/>
        </w:rPr>
      </w:pPr>
      <w:r>
        <w:rPr>
          <w:rFonts w:ascii="Arial" w:cs="Arial" w:eastAsia="Arial" w:hAnsi="Arial"/>
          <w:sz w:val="22"/>
          <w:szCs w:val="22"/>
          <w:color w:val="auto"/>
        </w:rPr>
        <w:t>1.1 Capitalized terms used, but not defined, in this THIRD AMENDMENT shall have the respective meanings ascribed to such terms in the SRA.</w:t>
      </w:r>
    </w:p>
    <w:p>
      <w:pPr>
        <w:spacing w:after="0" w:line="175" w:lineRule="exact"/>
        <w:rPr>
          <w:sz w:val="20"/>
          <w:szCs w:val="20"/>
          <w:color w:val="auto"/>
        </w:rPr>
      </w:pPr>
    </w:p>
    <w:p>
      <w:pPr>
        <w:jc w:val="both"/>
        <w:ind w:left="200" w:right="219" w:firstLine="648"/>
        <w:spacing w:after="0" w:line="271" w:lineRule="auto"/>
        <w:rPr>
          <w:sz w:val="20"/>
          <w:szCs w:val="20"/>
          <w:color w:val="auto"/>
        </w:rPr>
      </w:pPr>
      <w:r>
        <w:rPr>
          <w:rFonts w:ascii="Arial" w:cs="Arial" w:eastAsia="Arial" w:hAnsi="Arial"/>
          <w:sz w:val="21"/>
          <w:szCs w:val="21"/>
          <w:color w:val="auto"/>
        </w:rPr>
        <w:t>1.2 Any reference to “the Agreement” or “this Agreement” or “the SRA” in this THIRD AMENDMENT shall mean the SRA (or any specifically referenced part or section thereof) in such form it was already collectively amended by the PRIOR AMENDMENTS.</w:t>
      </w:r>
    </w:p>
    <w:p>
      <w:pPr>
        <w:spacing w:after="0" w:line="167" w:lineRule="exact"/>
        <w:rPr>
          <w:sz w:val="20"/>
          <w:szCs w:val="20"/>
          <w:color w:val="auto"/>
        </w:rPr>
      </w:pPr>
    </w:p>
    <w:p>
      <w:pPr>
        <w:jc w:val="both"/>
        <w:ind w:left="200" w:right="219" w:firstLine="657"/>
        <w:spacing w:after="0" w:line="248" w:lineRule="auto"/>
        <w:tabs>
          <w:tab w:leader="none" w:pos="1496" w:val="left"/>
        </w:tabs>
        <w:numPr>
          <w:ilvl w:val="0"/>
          <w:numId w:val="72"/>
        </w:numPr>
        <w:rPr>
          <w:rFonts w:ascii="Arial" w:cs="Arial" w:eastAsia="Arial" w:hAnsi="Arial"/>
          <w:sz w:val="22"/>
          <w:szCs w:val="22"/>
          <w:color w:val="252525"/>
        </w:rPr>
      </w:pPr>
      <w:r>
        <w:rPr>
          <w:rFonts w:ascii="Arial" w:cs="Arial" w:eastAsia="Arial" w:hAnsi="Arial"/>
          <w:sz w:val="22"/>
          <w:szCs w:val="22"/>
          <w:u w:val="single" w:color="auto"/>
          <w:color w:val="252525"/>
        </w:rPr>
        <w:t>Amendment to Section 10(a) of the SRA</w:t>
      </w:r>
      <w:r>
        <w:rPr>
          <w:rFonts w:ascii="Arial" w:cs="Arial" w:eastAsia="Arial" w:hAnsi="Arial"/>
          <w:sz w:val="22"/>
          <w:szCs w:val="22"/>
          <w:color w:val="252525"/>
        </w:rPr>
        <w:t>. Section 10(a) of the SRA is hereby amended by changing the reference to “December 31, 2020” to “March 31, 2023,” with the intent and result that the term of the SRA is extended by fifteen months. The Parties hereby agree and stipulate that the SRA remains, and has remained, in and full force in effect during the period from the EFFECTIVE DATE until March 31, 2023.</w:t>
      </w:r>
    </w:p>
    <w:p>
      <w:pPr>
        <w:spacing w:after="0" w:line="232" w:lineRule="exact"/>
        <w:rPr>
          <w:rFonts w:ascii="Arial" w:cs="Arial" w:eastAsia="Arial" w:hAnsi="Arial"/>
          <w:sz w:val="22"/>
          <w:szCs w:val="22"/>
          <w:color w:val="252525"/>
        </w:rPr>
      </w:pPr>
    </w:p>
    <w:p>
      <w:pPr>
        <w:ind w:left="1500" w:hanging="643"/>
        <w:spacing w:after="0"/>
        <w:tabs>
          <w:tab w:leader="none" w:pos="150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Amendment to the RESEARCH of the SRA</w:t>
      </w:r>
      <w:r>
        <w:rPr>
          <w:rFonts w:ascii="Arial" w:cs="Arial" w:eastAsia="Arial" w:hAnsi="Arial"/>
          <w:sz w:val="22"/>
          <w:szCs w:val="22"/>
          <w:color w:val="auto"/>
        </w:rPr>
        <w:t>.</w:t>
      </w:r>
    </w:p>
    <w:p>
      <w:pPr>
        <w:spacing w:after="0" w:line="260" w:lineRule="exact"/>
        <w:rPr>
          <w:sz w:val="20"/>
          <w:szCs w:val="20"/>
          <w:color w:val="auto"/>
        </w:rPr>
      </w:pPr>
    </w:p>
    <w:p>
      <w:pPr>
        <w:jc w:val="both"/>
        <w:ind w:left="200" w:right="219" w:firstLine="648"/>
        <w:spacing w:after="0" w:line="297" w:lineRule="auto"/>
        <w:rPr>
          <w:sz w:val="20"/>
          <w:szCs w:val="20"/>
          <w:color w:val="auto"/>
        </w:rPr>
      </w:pPr>
      <w:r>
        <w:rPr>
          <w:rFonts w:ascii="Arial" w:cs="Arial" w:eastAsia="Arial" w:hAnsi="Arial"/>
          <w:sz w:val="19"/>
          <w:szCs w:val="19"/>
          <w:color w:val="auto"/>
        </w:rPr>
        <w:t>3.1. Exhibit A of the SRA is hereby amended to add certain additional research program activities as fully described and set forth in the Attachment 1, titled “Exhibit A Supplement” and attached hereto and hereby incorporated by reference, to the RESEARCH by appending Attachment A to the end of the version of Exhibit A in effect immediately prior to the THIRD AMENDMENT EFFECTIVE DATE. The Parties hereby agree and stipulate that the budget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304165</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18" w:name="page119"/>
    <w:bookmarkEnd w:id="118"/>
    <w:p>
      <w:pPr>
        <w:jc w:val="both"/>
        <w:ind w:left="200" w:right="239"/>
        <w:spacing w:after="0" w:line="253" w:lineRule="auto"/>
        <w:rPr>
          <w:sz w:val="20"/>
          <w:szCs w:val="20"/>
          <w:color w:val="auto"/>
        </w:rPr>
      </w:pPr>
      <w:r>
        <w:rPr>
          <w:rFonts w:ascii="Arial" w:cs="Arial" w:eastAsia="Arial" w:hAnsi="Arial"/>
          <w:sz w:val="22"/>
          <w:szCs w:val="22"/>
          <w:color w:val="auto"/>
        </w:rPr>
        <w:t>all such activities described in the Attachment 1 have already been fully funded by payments previously made by NEXTCURE to YALE, and that no further payments are due from NEXTCURE.</w:t>
      </w:r>
    </w:p>
    <w:p>
      <w:pPr>
        <w:spacing w:after="0" w:line="185" w:lineRule="exact"/>
        <w:rPr>
          <w:sz w:val="20"/>
          <w:szCs w:val="20"/>
          <w:color w:val="auto"/>
        </w:rPr>
      </w:pPr>
    </w:p>
    <w:p>
      <w:pPr>
        <w:jc w:val="both"/>
        <w:ind w:left="200" w:right="219" w:firstLine="657"/>
        <w:spacing w:after="0" w:line="248" w:lineRule="auto"/>
        <w:tabs>
          <w:tab w:leader="none" w:pos="1496" w:val="left"/>
        </w:tabs>
        <w:numPr>
          <w:ilvl w:val="0"/>
          <w:numId w:val="73"/>
        </w:numPr>
        <w:rPr>
          <w:rFonts w:ascii="Arial" w:cs="Arial" w:eastAsia="Arial" w:hAnsi="Arial"/>
          <w:sz w:val="22"/>
          <w:szCs w:val="22"/>
          <w:color w:val="252525"/>
        </w:rPr>
      </w:pPr>
      <w:r>
        <w:rPr>
          <w:rFonts w:ascii="Arial" w:cs="Arial" w:eastAsia="Arial" w:hAnsi="Arial"/>
          <w:sz w:val="22"/>
          <w:szCs w:val="22"/>
          <w:u w:val="single" w:color="auto"/>
          <w:color w:val="252525"/>
        </w:rPr>
        <w:t>Acknowledgement</w:t>
      </w:r>
      <w:r>
        <w:rPr>
          <w:rFonts w:ascii="Arial" w:cs="Arial" w:eastAsia="Arial" w:hAnsi="Arial"/>
          <w:sz w:val="22"/>
          <w:szCs w:val="22"/>
          <w:color w:val="252525"/>
        </w:rPr>
        <w:t>. Except as expressly provided herein, no other terms or provisions of the SRA are modified or changed by this THIRD AMENDMENT and its terms and provisions shall continue in full force and effect. Furthermore, pursuant to SRA Section 8(e) YALE shall promptly disclose to NEXTCURE any such invention disclosures in existence prior to the signing date of this THIRD AMENDMENT.</w:t>
      </w:r>
    </w:p>
    <w:p>
      <w:pPr>
        <w:spacing w:after="0" w:line="191" w:lineRule="exact"/>
        <w:rPr>
          <w:rFonts w:ascii="Arial" w:cs="Arial" w:eastAsia="Arial" w:hAnsi="Arial"/>
          <w:sz w:val="22"/>
          <w:szCs w:val="22"/>
          <w:color w:val="252525"/>
        </w:rPr>
      </w:pPr>
    </w:p>
    <w:p>
      <w:pPr>
        <w:jc w:val="both"/>
        <w:ind w:left="200" w:right="219" w:firstLine="657"/>
        <w:spacing w:after="0" w:line="261" w:lineRule="auto"/>
        <w:tabs>
          <w:tab w:leader="none" w:pos="1496" w:val="left"/>
        </w:tabs>
        <w:numPr>
          <w:ilvl w:val="0"/>
          <w:numId w:val="73"/>
        </w:numPr>
        <w:rPr>
          <w:rFonts w:ascii="Arial" w:cs="Arial" w:eastAsia="Arial" w:hAnsi="Arial"/>
          <w:sz w:val="21"/>
          <w:szCs w:val="21"/>
          <w:color w:val="252525"/>
        </w:rPr>
      </w:pPr>
      <w:r>
        <w:rPr>
          <w:rFonts w:ascii="Arial" w:cs="Arial" w:eastAsia="Arial" w:hAnsi="Arial"/>
          <w:sz w:val="21"/>
          <w:szCs w:val="21"/>
          <w:u w:val="single" w:color="auto"/>
          <w:color w:val="252525"/>
        </w:rPr>
        <w:t>Counterparts; Facsimile Signatures</w:t>
      </w:r>
      <w:r>
        <w:rPr>
          <w:rFonts w:ascii="Arial" w:cs="Arial" w:eastAsia="Arial" w:hAnsi="Arial"/>
          <w:sz w:val="21"/>
          <w:szCs w:val="21"/>
          <w:color w:val="252525"/>
        </w:rPr>
        <w:t>. This THIRD AMENDMENT may be executed in any number of counterparts, each of which shall be deemed to be an original, and all of which together shall constitute one and the same document. This THIRD AMENDMENT may be executed by facsimile or electronic transmission signatures (including .pdf copies of wet signed copies or .pdf copies bearing electronic signatures affixed by DocuSign or similar common commercially available e-signature platforms).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19" w:name="page120"/>
    <w:bookmarkEnd w:id="119"/>
    <w:p>
      <w:pPr>
        <w:ind w:left="200" w:right="239" w:firstLine="648"/>
        <w:spacing w:after="0" w:line="263" w:lineRule="auto"/>
        <w:rPr>
          <w:sz w:val="20"/>
          <w:szCs w:val="20"/>
          <w:color w:val="auto"/>
        </w:rPr>
      </w:pPr>
      <w:r>
        <w:rPr>
          <w:rFonts w:ascii="Arial" w:cs="Arial" w:eastAsia="Arial" w:hAnsi="Arial"/>
          <w:sz w:val="22"/>
          <w:szCs w:val="22"/>
          <w:color w:val="auto"/>
        </w:rPr>
        <w:t>IN WITNESS WHEREOF, the parties hereto have executed this THIRD AMENDMENT as of the THIRD AMENDMENT EFFECTIVE DATE.</w:t>
      </w:r>
    </w:p>
    <w:p>
      <w:pPr>
        <w:spacing w:after="0" w:line="200" w:lineRule="exact"/>
        <w:rPr>
          <w:sz w:val="20"/>
          <w:szCs w:val="20"/>
          <w:color w:val="auto"/>
        </w:rPr>
      </w:pPr>
    </w:p>
    <w:p>
      <w:pPr>
        <w:spacing w:after="0" w:line="266" w:lineRule="exact"/>
        <w:rPr>
          <w:sz w:val="20"/>
          <w:szCs w:val="20"/>
          <w:color w:val="auto"/>
        </w:rPr>
      </w:pPr>
    </w:p>
    <w:tbl>
      <w:tblPr>
        <w:tblLayout w:type="fixed"/>
        <w:tblInd w:w="200" w:type="dxa"/>
        <w:tblCellMar>
          <w:top w:w="0" w:type="dxa"/>
          <w:left w:w="0" w:type="dxa"/>
          <w:bottom w:w="0" w:type="dxa"/>
          <w:right w:w="0" w:type="dxa"/>
        </w:tblCellMar>
      </w:tblPr>
      <w:tr>
        <w:trPr>
          <w:trHeight w:val="280"/>
        </w:trPr>
        <w:tc>
          <w:tcPr>
            <w:tcW w:w="3900" w:type="dxa"/>
            <w:vAlign w:val="bottom"/>
            <w:gridSpan w:val="5"/>
          </w:tcPr>
          <w:p>
            <w:pPr>
              <w:spacing w:after="0"/>
              <w:rPr>
                <w:sz w:val="20"/>
                <w:szCs w:val="20"/>
                <w:color w:val="auto"/>
              </w:rPr>
            </w:pPr>
            <w:r>
              <w:rPr>
                <w:rFonts w:ascii="Arial" w:cs="Arial" w:eastAsia="Arial" w:hAnsi="Arial"/>
                <w:sz w:val="22"/>
                <w:szCs w:val="22"/>
                <w:b w:val="1"/>
                <w:bCs w:val="1"/>
                <w:color w:val="auto"/>
              </w:rPr>
              <w:t>YALE UNIVERSITY</w:t>
            </w:r>
          </w:p>
        </w:tc>
        <w:tc>
          <w:tcPr>
            <w:tcW w:w="4540" w:type="dxa"/>
            <w:vAlign w:val="bottom"/>
            <w:gridSpan w:val="3"/>
          </w:tcPr>
          <w:p>
            <w:pPr>
              <w:ind w:left="620"/>
              <w:spacing w:after="0"/>
              <w:rPr>
                <w:sz w:val="20"/>
                <w:szCs w:val="20"/>
                <w:color w:val="auto"/>
              </w:rPr>
            </w:pPr>
            <w:r>
              <w:rPr>
                <w:rFonts w:ascii="Arial" w:cs="Arial" w:eastAsia="Arial" w:hAnsi="Arial"/>
                <w:sz w:val="22"/>
                <w:szCs w:val="22"/>
                <w:b w:val="1"/>
                <w:bCs w:val="1"/>
                <w:color w:val="auto"/>
              </w:rPr>
              <w:t>NEXTCURE, INC.</w:t>
            </w:r>
          </w:p>
        </w:tc>
      </w:tr>
      <w:tr>
        <w:trPr>
          <w:trHeight w:val="719"/>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5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Patricia Ingellis</w:t>
            </w:r>
          </w:p>
        </w:tc>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00" w:type="dxa"/>
            <w:vAlign w:val="bottom"/>
          </w:tcPr>
          <w:p>
            <w:pPr>
              <w:ind w:left="640"/>
              <w:spacing w:after="0"/>
              <w:rPr>
                <w:sz w:val="20"/>
                <w:szCs w:val="20"/>
                <w:color w:val="auto"/>
              </w:rPr>
            </w:pPr>
            <w:r>
              <w:rPr>
                <w:rFonts w:ascii="Arial" w:cs="Arial" w:eastAsia="Arial" w:hAnsi="Arial"/>
                <w:sz w:val="22"/>
                <w:szCs w:val="22"/>
                <w:color w:val="auto"/>
              </w:rPr>
              <w:t>By:</w:t>
            </w:r>
          </w:p>
        </w:tc>
        <w:tc>
          <w:tcPr>
            <w:tcW w:w="5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Michael Richman​</w:t>
            </w:r>
          </w:p>
        </w:tc>
      </w:tr>
      <w:tr>
        <w:trPr>
          <w:trHeight w:val="269"/>
        </w:trPr>
        <w:tc>
          <w:tcPr>
            <w:tcW w:w="3900" w:type="dxa"/>
            <w:vAlign w:val="bottom"/>
            <w:gridSpan w:val="5"/>
          </w:tcPr>
          <w:p>
            <w:pPr>
              <w:ind w:left="660"/>
              <w:spacing w:after="0"/>
              <w:rPr>
                <w:sz w:val="20"/>
                <w:szCs w:val="20"/>
                <w:color w:val="auto"/>
              </w:rPr>
            </w:pPr>
            <w:r>
              <w:rPr>
                <w:rFonts w:ascii="Arial" w:cs="Arial" w:eastAsia="Arial" w:hAnsi="Arial"/>
                <w:sz w:val="22"/>
                <w:szCs w:val="22"/>
                <w:color w:val="auto"/>
              </w:rPr>
              <w:t>Name: Patricia Ingellis</w:t>
            </w:r>
          </w:p>
        </w:tc>
        <w:tc>
          <w:tcPr>
            <w:tcW w:w="4540" w:type="dxa"/>
            <w:vAlign w:val="bottom"/>
            <w:gridSpan w:val="3"/>
          </w:tcPr>
          <w:p>
            <w:pPr>
              <w:ind w:left="1300"/>
              <w:spacing w:after="0"/>
              <w:rPr>
                <w:sz w:val="20"/>
                <w:szCs w:val="20"/>
                <w:color w:val="auto"/>
              </w:rPr>
            </w:pPr>
            <w:r>
              <w:rPr>
                <w:rFonts w:ascii="Arial" w:cs="Arial" w:eastAsia="Arial" w:hAnsi="Arial"/>
                <w:sz w:val="22"/>
                <w:szCs w:val="22"/>
                <w:color w:val="auto"/>
              </w:rPr>
              <w:t>Name: Michael Richman</w:t>
            </w:r>
          </w:p>
        </w:tc>
      </w:tr>
      <w:tr>
        <w:trPr>
          <w:trHeight w:val="257"/>
        </w:trPr>
        <w:tc>
          <w:tcPr>
            <w:tcW w:w="1200" w:type="dxa"/>
            <w:vAlign w:val="bottom"/>
            <w:gridSpan w:val="2"/>
          </w:tcPr>
          <w:p>
            <w:pPr>
              <w:ind w:left="660"/>
              <w:spacing w:after="0"/>
              <w:rPr>
                <w:sz w:val="20"/>
                <w:szCs w:val="20"/>
                <w:color w:val="auto"/>
              </w:rPr>
            </w:pPr>
            <w:r>
              <w:rPr>
                <w:rFonts w:ascii="Arial" w:cs="Arial" w:eastAsia="Arial" w:hAnsi="Arial"/>
                <w:sz w:val="22"/>
                <w:szCs w:val="22"/>
                <w:color w:val="auto"/>
              </w:rPr>
              <w:t>Title:</w:t>
            </w:r>
          </w:p>
        </w:tc>
        <w:tc>
          <w:tcPr>
            <w:tcW w:w="2700" w:type="dxa"/>
            <w:vAlign w:val="bottom"/>
            <w:gridSpan w:val="3"/>
          </w:tcPr>
          <w:p>
            <w:pPr>
              <w:ind w:left="100"/>
              <w:spacing w:after="0"/>
              <w:rPr>
                <w:sz w:val="20"/>
                <w:szCs w:val="20"/>
                <w:color w:val="auto"/>
              </w:rPr>
            </w:pPr>
            <w:r>
              <w:rPr>
                <w:rFonts w:ascii="Arial" w:cs="Arial" w:eastAsia="Arial" w:hAnsi="Arial"/>
                <w:sz w:val="22"/>
                <w:szCs w:val="22"/>
                <w:color w:val="auto"/>
              </w:rPr>
              <w:t>Contract Manager</w:t>
            </w:r>
          </w:p>
        </w:tc>
        <w:tc>
          <w:tcPr>
            <w:tcW w:w="1840" w:type="dxa"/>
            <w:vAlign w:val="bottom"/>
            <w:gridSpan w:val="2"/>
          </w:tcPr>
          <w:p>
            <w:pPr>
              <w:ind w:left="1280"/>
              <w:spacing w:after="0"/>
              <w:rPr>
                <w:sz w:val="20"/>
                <w:szCs w:val="20"/>
                <w:color w:val="auto"/>
              </w:rPr>
            </w:pPr>
            <w:r>
              <w:rPr>
                <w:rFonts w:ascii="Arial" w:cs="Arial" w:eastAsia="Arial" w:hAnsi="Arial"/>
                <w:sz w:val="22"/>
                <w:szCs w:val="22"/>
                <w:color w:val="auto"/>
              </w:rPr>
              <w:t>Title:</w:t>
            </w:r>
          </w:p>
        </w:tc>
        <w:tc>
          <w:tcPr>
            <w:tcW w:w="2700" w:type="dxa"/>
            <w:vAlign w:val="bottom"/>
          </w:tcPr>
          <w:p>
            <w:pPr>
              <w:ind w:left="80"/>
              <w:spacing w:after="0"/>
              <w:rPr>
                <w:sz w:val="20"/>
                <w:szCs w:val="20"/>
                <w:color w:val="auto"/>
              </w:rPr>
            </w:pPr>
            <w:r>
              <w:rPr>
                <w:rFonts w:ascii="Arial" w:cs="Arial" w:eastAsia="Arial" w:hAnsi="Arial"/>
                <w:sz w:val="22"/>
                <w:szCs w:val="22"/>
                <w:color w:val="auto"/>
              </w:rPr>
              <w:t>Chief Executive Officer</w:t>
            </w:r>
          </w:p>
        </w:tc>
      </w:tr>
      <w:tr>
        <w:trPr>
          <w:trHeight w:val="274"/>
        </w:trPr>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700" w:type="dxa"/>
            <w:vAlign w:val="bottom"/>
            <w:gridSpan w:val="3"/>
          </w:tcPr>
          <w:p>
            <w:pPr>
              <w:ind w:left="100"/>
              <w:spacing w:after="0"/>
              <w:rPr>
                <w:sz w:val="20"/>
                <w:szCs w:val="20"/>
                <w:color w:val="auto"/>
              </w:rPr>
            </w:pPr>
            <w:r>
              <w:rPr>
                <w:rFonts w:ascii="Arial" w:cs="Arial" w:eastAsia="Arial" w:hAnsi="Arial"/>
                <w:sz w:val="22"/>
                <w:szCs w:val="22"/>
                <w:color w:val="auto"/>
                <w:w w:val="92"/>
              </w:rPr>
              <w:t>Office of Sponsored Projects</w:t>
            </w:r>
          </w:p>
        </w:tc>
        <w:tc>
          <w:tcPr>
            <w:tcW w:w="1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700" w:type="dxa"/>
            <w:vAlign w:val="bottom"/>
          </w:tcPr>
          <w:p>
            <w:pPr>
              <w:spacing w:after="0"/>
              <w:rPr>
                <w:sz w:val="23"/>
                <w:szCs w:val="23"/>
                <w:color w:val="auto"/>
              </w:rPr>
            </w:pPr>
          </w:p>
        </w:tc>
      </w:tr>
    </w:tbl>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Read and acknowledged by</w:t>
      </w:r>
    </w:p>
    <w:p>
      <w:pPr>
        <w:spacing w:after="0" w:line="200" w:lineRule="exact"/>
        <w:rPr>
          <w:sz w:val="20"/>
          <w:szCs w:val="20"/>
          <w:color w:val="auto"/>
        </w:rPr>
      </w:pPr>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580" w:type="dxa"/>
            <w:vAlign w:val="bottom"/>
          </w:tcPr>
          <w:p>
            <w:pPr>
              <w:ind w:left="640"/>
              <w:spacing w:after="0"/>
              <w:rPr>
                <w:sz w:val="20"/>
                <w:szCs w:val="20"/>
                <w:color w:val="auto"/>
              </w:rPr>
            </w:pPr>
            <w:r>
              <w:rPr>
                <w:rFonts w:ascii="Arial" w:cs="Arial" w:eastAsia="Arial" w:hAnsi="Arial"/>
                <w:sz w:val="22"/>
                <w:szCs w:val="22"/>
                <w:color w:val="auto"/>
              </w:rPr>
              <w:t>/s/ Lieping Chen​</w:t>
            </w:r>
          </w:p>
        </w:tc>
        <w:tc>
          <w:tcPr>
            <w:tcW w:w="960" w:type="dxa"/>
            <w:vAlign w:val="bottom"/>
          </w:tcPr>
          <w:p>
            <w:pPr>
              <w:jc w:val="right"/>
              <w:ind w:right="312"/>
              <w:spacing w:after="0"/>
              <w:rPr>
                <w:sz w:val="20"/>
                <w:szCs w:val="20"/>
                <w:color w:val="auto"/>
              </w:rPr>
            </w:pPr>
            <w:r>
              <w:rPr>
                <w:rFonts w:ascii="Arial" w:cs="Arial" w:eastAsia="Arial" w:hAnsi="Arial"/>
                <w:sz w:val="22"/>
                <w:szCs w:val="22"/>
                <w:color w:val="auto"/>
                <w:w w:val="84"/>
              </w:rPr>
              <w:t>_____</w:t>
            </w:r>
          </w:p>
        </w:tc>
        <w:tc>
          <w:tcPr>
            <w:tcW w:w="1380" w:type="dxa"/>
            <w:vAlign w:val="bottom"/>
            <w:gridSpan w:val="2"/>
          </w:tcPr>
          <w:p>
            <w:pPr>
              <w:ind w:left="400"/>
              <w:spacing w:after="0"/>
              <w:rPr>
                <w:sz w:val="20"/>
                <w:szCs w:val="20"/>
                <w:color w:val="auto"/>
              </w:rPr>
            </w:pPr>
            <w:r>
              <w:rPr>
                <w:rFonts w:ascii="Arial" w:cs="Arial" w:eastAsia="Arial" w:hAnsi="Arial"/>
                <w:sz w:val="22"/>
                <w:szCs w:val="22"/>
                <w:color w:val="auto"/>
                <w:w w:val="87"/>
              </w:rPr>
              <w:t>10/27/2022</w:t>
            </w: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87"/>
        </w:trPr>
        <w:tc>
          <w:tcPr>
            <w:tcW w:w="3560" w:type="dxa"/>
            <w:vAlign w:val="bottom"/>
            <w:gridSpan w:val="3"/>
          </w:tcPr>
          <w:p>
            <w:pPr>
              <w:jc w:val="right"/>
              <w:ind w:right="292"/>
              <w:spacing w:after="0"/>
              <w:rPr>
                <w:sz w:val="20"/>
                <w:szCs w:val="20"/>
                <w:color w:val="auto"/>
              </w:rPr>
            </w:pPr>
            <w:r>
              <w:rPr>
                <w:rFonts w:ascii="Arial" w:cs="Arial" w:eastAsia="Arial" w:hAnsi="Arial"/>
                <w:sz w:val="22"/>
                <w:szCs w:val="22"/>
                <w:color w:val="auto"/>
                <w:w w:val="90"/>
              </w:rPr>
              <w:t>Lieping Chen, Principal Investigator</w:t>
            </w:r>
          </w:p>
        </w:tc>
        <w:tc>
          <w:tcPr>
            <w:tcW w:w="1380" w:type="dxa"/>
            <w:vAlign w:val="bottom"/>
            <w:gridSpan w:val="2"/>
          </w:tcPr>
          <w:p>
            <w:pPr>
              <w:ind w:left="400"/>
              <w:spacing w:after="0"/>
              <w:rPr>
                <w:sz w:val="20"/>
                <w:szCs w:val="20"/>
                <w:color w:val="auto"/>
              </w:rPr>
            </w:pPr>
            <w:r>
              <w:rPr>
                <w:rFonts w:ascii="Arial" w:cs="Arial" w:eastAsia="Arial" w:hAnsi="Arial"/>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[Signature Page to Third Amendment to SRA]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20" w:name="page121"/>
    <w:bookmarkEnd w:id="120"/>
    <w:p>
      <w:pPr>
        <w:ind w:left="300"/>
        <w:spacing w:after="0"/>
        <w:rPr>
          <w:sz w:val="20"/>
          <w:szCs w:val="20"/>
          <w:color w:val="auto"/>
        </w:rPr>
      </w:pPr>
      <w:r>
        <w:rPr>
          <w:rFonts w:ascii="Arial" w:cs="Arial" w:eastAsia="Arial" w:hAnsi="Arial"/>
          <w:sz w:val="14"/>
          <w:szCs w:val="14"/>
          <w:b w:val="1"/>
          <w:bCs w:val="1"/>
          <w:color w:val="auto"/>
        </w:rPr>
        <w:t>CERTAIN IDENTIFIED INFORMATION HAS BEEN EXCLUDED FROM THE EXHIBIT BECAUSE IT IS BOTH NOT MATERIAL</w:t>
      </w:r>
    </w:p>
    <w:p>
      <w:pPr>
        <w:spacing w:after="0" w:line="2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AND IS THE TYPE THAT THE REGISTRANT TREATS AS PRIVATE OR CONFIDENTIAL. OMITTED INFORMATION HAS BEEN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REPLACED WITH [***].</w:t>
      </w:r>
    </w:p>
    <w:p>
      <w:pPr>
        <w:spacing w:after="0" w:line="200" w:lineRule="exact"/>
        <w:rPr>
          <w:sz w:val="20"/>
          <w:szCs w:val="20"/>
          <w:color w:val="auto"/>
        </w:rPr>
      </w:pPr>
    </w:p>
    <w:p>
      <w:pPr>
        <w:spacing w:after="0" w:line="230" w:lineRule="exact"/>
        <w:rPr>
          <w:sz w:val="20"/>
          <w:szCs w:val="20"/>
          <w:color w:val="auto"/>
        </w:rPr>
      </w:pPr>
    </w:p>
    <w:p>
      <w:pPr>
        <w:ind w:left="7700"/>
        <w:spacing w:after="0"/>
        <w:rPr>
          <w:sz w:val="20"/>
          <w:szCs w:val="20"/>
          <w:color w:val="auto"/>
        </w:rPr>
      </w:pPr>
      <w:r>
        <w:rPr>
          <w:rFonts w:ascii="Arial" w:cs="Arial" w:eastAsia="Arial" w:hAnsi="Arial"/>
          <w:sz w:val="17"/>
          <w:szCs w:val="17"/>
          <w:b w:val="1"/>
          <w:bCs w:val="1"/>
          <w:color w:val="auto"/>
        </w:rPr>
        <w:t>Exhibit 10.29</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FIFTH AMENDMENT TO LEASE AGREEMENT</w:t>
      </w:r>
    </w:p>
    <w:p>
      <w:pPr>
        <w:spacing w:after="0" w:line="225"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18"/>
          <w:szCs w:val="18"/>
          <w:b w:val="1"/>
          <w:bCs w:val="1"/>
          <w:color w:val="auto"/>
        </w:rPr>
        <w:t xml:space="preserve">THIS FIFTH AMENDMENT TO LEASE AGREEMENT </w:t>
      </w:r>
      <w:r>
        <w:rPr>
          <w:rFonts w:ascii="Arial" w:cs="Arial" w:eastAsia="Arial" w:hAnsi="Arial"/>
          <w:sz w:val="18"/>
          <w:szCs w:val="18"/>
          <w:color w:val="auto"/>
        </w:rPr>
        <w:t>(“</w:t>
      </w:r>
      <w:r>
        <w:rPr>
          <w:rFonts w:ascii="Arial" w:cs="Arial" w:eastAsia="Arial" w:hAnsi="Arial"/>
          <w:sz w:val="18"/>
          <w:szCs w:val="18"/>
          <w:b w:val="1"/>
          <w:bCs w:val="1"/>
          <w:color w:val="auto"/>
        </w:rPr>
        <w:t>this Fifth Amendment</w:t>
      </w:r>
      <w:r>
        <w:rPr>
          <w:rFonts w:ascii="Arial" w:cs="Arial" w:eastAsia="Arial" w:hAnsi="Arial"/>
          <w:sz w:val="18"/>
          <w:szCs w:val="18"/>
          <w:color w:val="auto"/>
        </w:rPr>
        <w:t>”) is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28, 2022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ARE-8000/9000/10000 VIRGINIA MANOR, LLC</w:t>
      </w:r>
      <w:r>
        <w:rPr>
          <w:rFonts w:ascii="Arial" w:cs="Arial" w:eastAsia="Arial" w:hAnsi="Arial"/>
          <w:sz w:val="18"/>
          <w:szCs w:val="18"/>
          <w:color w:val="auto"/>
        </w:rPr>
        <w:t>, a Delaware limited liability company, having an address at 26 North Euclid Avenue, Pasadena, California 91101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NEXTCURE, INC</w:t>
      </w:r>
      <w:r>
        <w:rPr>
          <w:rFonts w:ascii="Arial" w:cs="Arial" w:eastAsia="Arial" w:hAnsi="Arial"/>
          <w:sz w:val="18"/>
          <w:szCs w:val="18"/>
          <w:color w:val="auto"/>
        </w:rPr>
        <w:t>., a Delaware corporation, having an address at Suite 140, 8000 Virginia Manor Road, Beltsville, Maryland 20705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47" w:lineRule="exact"/>
        <w:rPr>
          <w:sz w:val="20"/>
          <w:szCs w:val="20"/>
          <w:color w:val="auto"/>
        </w:rPr>
      </w:pPr>
    </w:p>
    <w:p>
      <w:pPr>
        <w:jc w:val="both"/>
        <w:ind w:left="200" w:right="219" w:firstLine="657"/>
        <w:spacing w:after="0" w:line="249" w:lineRule="auto"/>
        <w:tabs>
          <w:tab w:leader="none" w:pos="1496" w:val="left"/>
        </w:tabs>
        <w:numPr>
          <w:ilvl w:val="0"/>
          <w:numId w:val="74"/>
        </w:numPr>
        <w:rPr>
          <w:rFonts w:ascii="Arial" w:cs="Arial" w:eastAsia="Arial" w:hAnsi="Arial"/>
          <w:sz w:val="18"/>
          <w:szCs w:val="18"/>
          <w:color w:val="auto"/>
        </w:rPr>
      </w:pPr>
      <w:r>
        <w:rPr>
          <w:rFonts w:ascii="Arial" w:cs="Arial" w:eastAsia="Arial" w:hAnsi="Arial"/>
          <w:sz w:val="18"/>
          <w:szCs w:val="18"/>
          <w:color w:val="auto"/>
        </w:rPr>
        <w:t>Landlord and Tenant have entered into that certain Lease Agreement dated as of January 30, 2019 (“</w:t>
      </w:r>
      <w:r>
        <w:rPr>
          <w:rFonts w:ascii="Arial" w:cs="Arial" w:eastAsia="Arial" w:hAnsi="Arial"/>
          <w:sz w:val="18"/>
          <w:szCs w:val="18"/>
          <w:b w:val="1"/>
          <w:bCs w:val="1"/>
          <w:color w:val="auto"/>
        </w:rPr>
        <w:t>Original Lease</w:t>
      </w:r>
      <w:r>
        <w:rPr>
          <w:rFonts w:ascii="Arial" w:cs="Arial" w:eastAsia="Arial" w:hAnsi="Arial"/>
          <w:sz w:val="18"/>
          <w:szCs w:val="18"/>
          <w:color w:val="auto"/>
        </w:rPr>
        <w:t>”), as amended by that certain First Amendment to Lease Agreement dated as of August 2, 2019 (“</w:t>
      </w:r>
      <w:r>
        <w:rPr>
          <w:rFonts w:ascii="Arial" w:cs="Arial" w:eastAsia="Arial" w:hAnsi="Arial"/>
          <w:sz w:val="18"/>
          <w:szCs w:val="18"/>
          <w:b w:val="1"/>
          <w:bCs w:val="1"/>
          <w:color w:val="auto"/>
        </w:rPr>
        <w:t>First Amendment</w:t>
      </w:r>
      <w:r>
        <w:rPr>
          <w:rFonts w:ascii="Arial" w:cs="Arial" w:eastAsia="Arial" w:hAnsi="Arial"/>
          <w:sz w:val="18"/>
          <w:szCs w:val="18"/>
          <w:color w:val="auto"/>
        </w:rPr>
        <w:t>”), that certain Second Amendment to Lease Agreement dated as of February 19, 2020 (“</w:t>
      </w:r>
      <w:r>
        <w:rPr>
          <w:rFonts w:ascii="Arial" w:cs="Arial" w:eastAsia="Arial" w:hAnsi="Arial"/>
          <w:sz w:val="18"/>
          <w:szCs w:val="18"/>
          <w:b w:val="1"/>
          <w:bCs w:val="1"/>
          <w:color w:val="auto"/>
        </w:rPr>
        <w:t>Second Amendment</w:t>
      </w:r>
      <w:r>
        <w:rPr>
          <w:rFonts w:ascii="Arial" w:cs="Arial" w:eastAsia="Arial" w:hAnsi="Arial"/>
          <w:sz w:val="18"/>
          <w:szCs w:val="18"/>
          <w:color w:val="auto"/>
        </w:rPr>
        <w:t>”), that certain Third Amendment to Lease Agreement dated as of February 4, 2022 (“</w:t>
      </w:r>
      <w:r>
        <w:rPr>
          <w:rFonts w:ascii="Arial" w:cs="Arial" w:eastAsia="Arial" w:hAnsi="Arial"/>
          <w:sz w:val="18"/>
          <w:szCs w:val="18"/>
          <w:b w:val="1"/>
          <w:bCs w:val="1"/>
          <w:color w:val="auto"/>
        </w:rPr>
        <w:t>Third Amendment</w:t>
      </w:r>
      <w:r>
        <w:rPr>
          <w:rFonts w:ascii="Arial" w:cs="Arial" w:eastAsia="Arial" w:hAnsi="Arial"/>
          <w:sz w:val="18"/>
          <w:szCs w:val="18"/>
          <w:color w:val="auto"/>
        </w:rPr>
        <w:t>” ”), and that certain Fourth Amendment to Lease Agreement dated as of June 10, 2022 (“</w:t>
      </w:r>
      <w:r>
        <w:rPr>
          <w:rFonts w:ascii="Arial" w:cs="Arial" w:eastAsia="Arial" w:hAnsi="Arial"/>
          <w:sz w:val="18"/>
          <w:szCs w:val="18"/>
          <w:b w:val="1"/>
          <w:bCs w:val="1"/>
          <w:color w:val="auto"/>
        </w:rPr>
        <w:t>Fourth Amendment</w:t>
      </w:r>
      <w:r>
        <w:rPr>
          <w:rFonts w:ascii="Arial" w:cs="Arial" w:eastAsia="Arial" w:hAnsi="Arial"/>
          <w:sz w:val="18"/>
          <w:szCs w:val="18"/>
          <w:color w:val="auto"/>
        </w:rPr>
        <w:t>”; together with the Original Lease, the First Amendment, the Second Amendment, and the Third Amendment, the “</w:t>
      </w:r>
      <w:r>
        <w:rPr>
          <w:rFonts w:ascii="Arial" w:cs="Arial" w:eastAsia="Arial" w:hAnsi="Arial"/>
          <w:sz w:val="18"/>
          <w:szCs w:val="18"/>
          <w:b w:val="1"/>
          <w:bCs w:val="1"/>
          <w:color w:val="auto"/>
        </w:rPr>
        <w:t>Lease</w:t>
      </w:r>
      <w:r>
        <w:rPr>
          <w:rFonts w:ascii="Arial" w:cs="Arial" w:eastAsia="Arial" w:hAnsi="Arial"/>
          <w:sz w:val="18"/>
          <w:szCs w:val="18"/>
          <w:color w:val="auto"/>
        </w:rPr>
        <w:t>”), wherein Landlord leased to Tenant approximately 63,576 rentable square feet (“</w:t>
      </w:r>
      <w:r>
        <w:rPr>
          <w:rFonts w:ascii="Arial" w:cs="Arial" w:eastAsia="Arial" w:hAnsi="Arial"/>
          <w:sz w:val="18"/>
          <w:szCs w:val="18"/>
          <w:b w:val="1"/>
          <w:bCs w:val="1"/>
          <w:color w:val="auto"/>
        </w:rPr>
        <w:t>Existing Premises</w:t>
      </w:r>
      <w:r>
        <w:rPr>
          <w:rFonts w:ascii="Arial" w:cs="Arial" w:eastAsia="Arial" w:hAnsi="Arial"/>
          <w:sz w:val="18"/>
          <w:szCs w:val="18"/>
          <w:color w:val="auto"/>
        </w:rPr>
        <w:t>”) located at Suite 140, 8000 Virginia Manor Road, Beltsville, Maryland 20705, as more particularly described in the Lease.</w:t>
      </w:r>
    </w:p>
    <w:p>
      <w:pPr>
        <w:spacing w:after="0" w:line="213" w:lineRule="exact"/>
        <w:rPr>
          <w:rFonts w:ascii="Arial" w:cs="Arial" w:eastAsia="Arial" w:hAnsi="Arial"/>
          <w:sz w:val="18"/>
          <w:szCs w:val="18"/>
          <w:color w:val="auto"/>
        </w:rPr>
      </w:pPr>
    </w:p>
    <w:p>
      <w:pPr>
        <w:ind w:left="200" w:right="239" w:firstLine="657"/>
        <w:spacing w:after="0" w:line="246" w:lineRule="auto"/>
        <w:tabs>
          <w:tab w:leader="none" w:pos="1496" w:val="left"/>
        </w:tabs>
        <w:numPr>
          <w:ilvl w:val="0"/>
          <w:numId w:val="74"/>
        </w:numPr>
        <w:rPr>
          <w:rFonts w:ascii="Arial" w:cs="Arial" w:eastAsia="Arial" w:hAnsi="Arial"/>
          <w:sz w:val="18"/>
          <w:szCs w:val="18"/>
          <w:color w:val="auto"/>
        </w:rPr>
      </w:pPr>
      <w:r>
        <w:rPr>
          <w:rFonts w:ascii="Arial" w:cs="Arial" w:eastAsia="Arial" w:hAnsi="Arial"/>
          <w:sz w:val="18"/>
          <w:szCs w:val="18"/>
          <w:color w:val="auto"/>
        </w:rPr>
        <w:t>Landlord and Tenant desire to amend the Lease, among other things, to modify the Base Rent for the 2022 Expansion Premises.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AGREEMENT</w:t>
      </w:r>
    </w:p>
    <w:p>
      <w:pPr>
        <w:spacing w:after="0" w:line="247" w:lineRule="exact"/>
        <w:rPr>
          <w:sz w:val="20"/>
          <w:szCs w:val="20"/>
          <w:color w:val="auto"/>
        </w:rPr>
      </w:pPr>
    </w:p>
    <w:p>
      <w:pPr>
        <w:jc w:val="both"/>
        <w:ind w:left="200" w:right="219" w:firstLine="648"/>
        <w:spacing w:after="0" w:line="256" w:lineRule="auto"/>
        <w:rPr>
          <w:sz w:val="20"/>
          <w:szCs w:val="20"/>
          <w:color w:val="auto"/>
        </w:rPr>
      </w:pPr>
      <w:r>
        <w:rPr>
          <w:rFonts w:ascii="Arial" w:cs="Arial" w:eastAsia="Arial" w:hAnsi="Arial"/>
          <w:sz w:val="18"/>
          <w:szCs w:val="18"/>
          <w:color w:val="auto"/>
        </w:rPr>
        <w:t>Now, therefore, in consideration of the foregoing Recitals, the mutual promises and conditions contained herein, and for other good and valuable consideration, the receipt and legal sufficiency of which are hereby acknowledged, Landlord and Tenant hereby agree that the Lease is amended as follows:</w:t>
      </w:r>
    </w:p>
    <w:p>
      <w:pPr>
        <w:spacing w:after="0" w:line="166" w:lineRule="exact"/>
        <w:rPr>
          <w:sz w:val="20"/>
          <w:szCs w:val="20"/>
          <w:color w:val="auto"/>
        </w:rPr>
      </w:pPr>
    </w:p>
    <w:p>
      <w:pPr>
        <w:jc w:val="both"/>
        <w:ind w:left="200" w:right="219" w:firstLine="657"/>
        <w:spacing w:after="0" w:line="268" w:lineRule="auto"/>
        <w:tabs>
          <w:tab w:leader="none" w:pos="1496"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Definitions; Recitals</w:t>
      </w:r>
      <w:r>
        <w:rPr>
          <w:rFonts w:ascii="Arial" w:cs="Arial" w:eastAsia="Arial" w:hAnsi="Arial"/>
          <w:sz w:val="18"/>
          <w:szCs w:val="18"/>
          <w:color w:val="auto"/>
        </w:rPr>
        <w:t>. Terms used in this Fifth Amendment but not otherwise defined shall</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meanings set forth in the Lease (as amended). The Recitals form an integral part of this Fifth Amendment and are hereby incorporated by reference.</w:t>
      </w:r>
    </w:p>
    <w:p>
      <w:pPr>
        <w:spacing w:after="0" w:line="170" w:lineRule="exact"/>
        <w:rPr>
          <w:rFonts w:ascii="Arial" w:cs="Arial" w:eastAsia="Arial" w:hAnsi="Arial"/>
          <w:sz w:val="18"/>
          <w:szCs w:val="18"/>
          <w:color w:val="auto"/>
        </w:rPr>
      </w:pPr>
    </w:p>
    <w:p>
      <w:pPr>
        <w:jc w:val="both"/>
        <w:ind w:left="200" w:right="219" w:firstLine="657"/>
        <w:spacing w:after="0" w:line="268" w:lineRule="auto"/>
        <w:tabs>
          <w:tab w:leader="none" w:pos="1496"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Amendment to Section 4.f of the Third Amendment. </w:t>
      </w:r>
      <w:r>
        <w:rPr>
          <w:rFonts w:ascii="Arial" w:cs="Arial" w:eastAsia="Arial" w:hAnsi="Arial"/>
          <w:sz w:val="18"/>
          <w:szCs w:val="18"/>
          <w:color w:val="auto"/>
        </w:rPr>
        <w:t>Effective as of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4.f of the Third Amendment is hereby amended by deleting “[***] per month (2022 Expansion Premises)” and replacing it with “[***] per month (2022 Expansion Premises)”.</w:t>
      </w:r>
    </w:p>
    <w:p>
      <w:pPr>
        <w:spacing w:after="0" w:line="157" w:lineRule="exact"/>
        <w:rPr>
          <w:rFonts w:ascii="Arial" w:cs="Arial" w:eastAsia="Arial" w:hAnsi="Arial"/>
          <w:sz w:val="18"/>
          <w:szCs w:val="18"/>
          <w:color w:val="auto"/>
        </w:rPr>
      </w:pPr>
    </w:p>
    <w:p>
      <w:pPr>
        <w:ind w:left="1500" w:hanging="643"/>
        <w:spacing w:after="0"/>
        <w:tabs>
          <w:tab w:leader="none" w:pos="150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0" w:right="239" w:firstLine="1305"/>
        <w:spacing w:after="0" w:line="262" w:lineRule="auto"/>
        <w:tabs>
          <w:tab w:leader="none" w:pos="2144" w:val="left"/>
        </w:tabs>
        <w:numPr>
          <w:ilvl w:val="1"/>
          <w:numId w:val="75"/>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The Lease, as amended by this Fifth Amendment, is the entire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parties with respect to the subject matter hereof and supersedes all prior and contemporaneous oral and written agreements and discussions. The Lease, as so amended by this Fifth Amendment, may be amended only by an agreement in writing, signed by the parties hereto.</w:t>
      </w:r>
    </w:p>
    <w:p>
      <w:pPr>
        <w:spacing w:after="0" w:line="162" w:lineRule="exact"/>
        <w:rPr>
          <w:rFonts w:ascii="Arial" w:cs="Arial" w:eastAsia="Arial" w:hAnsi="Arial"/>
          <w:sz w:val="18"/>
          <w:szCs w:val="18"/>
          <w:color w:val="auto"/>
        </w:rPr>
      </w:pPr>
    </w:p>
    <w:p>
      <w:pPr>
        <w:jc w:val="both"/>
        <w:ind w:left="200" w:right="219" w:firstLine="1305"/>
        <w:spacing w:after="0" w:line="268" w:lineRule="auto"/>
        <w:tabs>
          <w:tab w:leader="none" w:pos="2144" w:val="left"/>
        </w:tabs>
        <w:numPr>
          <w:ilvl w:val="1"/>
          <w:numId w:val="75"/>
        </w:numPr>
        <w:rPr>
          <w:rFonts w:ascii="Arial" w:cs="Arial" w:eastAsia="Arial" w:hAnsi="Arial"/>
          <w:sz w:val="18"/>
          <w:szCs w:val="18"/>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Fifth Amendment is binding upon and shall inure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the parties hereto, their respective agents, employees, members, representatives, officers, directors, divisions, subsidiaries, affiliates, assigns, heirs, successors in interest and shareholders.</w:t>
      </w:r>
    </w:p>
    <w:p>
      <w:pPr>
        <w:spacing w:after="0" w:line="170" w:lineRule="exact"/>
        <w:rPr>
          <w:rFonts w:ascii="Arial" w:cs="Arial" w:eastAsia="Arial" w:hAnsi="Arial"/>
          <w:sz w:val="18"/>
          <w:szCs w:val="18"/>
          <w:color w:val="auto"/>
        </w:rPr>
      </w:pPr>
    </w:p>
    <w:p>
      <w:pPr>
        <w:jc w:val="both"/>
        <w:ind w:left="200" w:right="219" w:firstLine="1305"/>
        <w:spacing w:after="0" w:line="255" w:lineRule="auto"/>
        <w:tabs>
          <w:tab w:leader="none" w:pos="2144" w:val="left"/>
        </w:tabs>
        <w:numPr>
          <w:ilvl w:val="1"/>
          <w:numId w:val="75"/>
        </w:numPr>
        <w:rPr>
          <w:rFonts w:ascii="Arial" w:cs="Arial" w:eastAsia="Arial" w:hAnsi="Arial"/>
          <w:sz w:val="18"/>
          <w:szCs w:val="18"/>
          <w:color w:val="auto"/>
        </w:rPr>
      </w:pPr>
      <w:r>
        <w:rPr>
          <w:rFonts w:ascii="Arial" w:cs="Arial" w:eastAsia="Arial" w:hAnsi="Arial"/>
          <w:sz w:val="18"/>
          <w:szCs w:val="18"/>
          <w:b w:val="1"/>
          <w:bCs w:val="1"/>
          <w:color w:val="auto"/>
        </w:rPr>
        <w:t>Broker</w:t>
      </w:r>
      <w:r>
        <w:rPr>
          <w:rFonts w:ascii="Arial" w:cs="Arial" w:eastAsia="Arial" w:hAnsi="Arial"/>
          <w:sz w:val="18"/>
          <w:szCs w:val="18"/>
          <w:color w:val="auto"/>
        </w:rPr>
        <w:t>. Landlord and Tenant each represents and warrants that it has not dealt</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broker, agent or other person (collectively,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this Fifth Amendment and that no Broker brought about this Fifth Amendment, other than CB Richard Ellis (“</w:t>
      </w:r>
      <w:r>
        <w:rPr>
          <w:rFonts w:ascii="Arial" w:cs="Arial" w:eastAsia="Arial" w:hAnsi="Arial"/>
          <w:sz w:val="18"/>
          <w:szCs w:val="18"/>
          <w:b w:val="1"/>
          <w:bCs w:val="1"/>
          <w:color w:val="auto"/>
        </w:rPr>
        <w:t>CBRE</w:t>
      </w:r>
      <w:r>
        <w:rPr>
          <w:rFonts w:ascii="Arial" w:cs="Arial" w:eastAsia="Arial" w:hAnsi="Arial"/>
          <w:sz w:val="18"/>
          <w:szCs w:val="18"/>
          <w:color w:val="auto"/>
        </w:rPr>
        <w:t>”). CBRE shall be paid by Landlord pursuant to a separate agreement between Landlord and CBRE. Landlord and Tenant each hereby agree to indemnify and hold the other harmless from and against any claims by any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499110</wp:posOffset>
            </wp:positionV>
            <wp:extent cx="545211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1" w:name="page122"/>
    <w:bookmarkEnd w:id="121"/>
    <w:p>
      <w:pPr>
        <w:jc w:val="center"/>
        <w:ind w:left="1660" w:right="40"/>
        <w:spacing w:after="0" w:line="270" w:lineRule="auto"/>
        <w:rPr>
          <w:sz w:val="20"/>
          <w:szCs w:val="20"/>
          <w:color w:val="auto"/>
        </w:rPr>
      </w:pPr>
      <w:r>
        <w:rPr>
          <w:rFonts w:ascii="Arial" w:cs="Arial" w:eastAsia="Arial" w:hAnsi="Arial"/>
          <w:sz w:val="14"/>
          <w:szCs w:val="14"/>
          <w:b w:val="1"/>
          <w:bCs w:val="1"/>
          <w:color w:val="auto"/>
        </w:rPr>
        <w:t>CERTAIN IDENTIFIED INFORMATION HAS BEEN EXCLUDED FROM THE EXHIBIT BECAUSE IT IS BOTH NOT MATERIAL AND IS THE TYPE THAT THE REGISTRANT TREATS AS PRIVATE OR CONFIDENTIAL. OMITTED INFORMATION HAS BEEN REPLACED WITH [***].</w:t>
      </w:r>
    </w:p>
    <w:p>
      <w:pPr>
        <w:spacing w:after="0" w:line="200" w:lineRule="exact"/>
        <w:rPr>
          <w:sz w:val="20"/>
          <w:szCs w:val="20"/>
          <w:color w:val="auto"/>
        </w:rPr>
      </w:pPr>
    </w:p>
    <w:p>
      <w:pPr>
        <w:spacing w:after="0" w:line="224" w:lineRule="exact"/>
        <w:rPr>
          <w:sz w:val="20"/>
          <w:szCs w:val="20"/>
          <w:color w:val="auto"/>
        </w:rPr>
      </w:pPr>
    </w:p>
    <w:p>
      <w:pPr>
        <w:ind w:left="200" w:right="219"/>
        <w:spacing w:after="0" w:line="261" w:lineRule="auto"/>
        <w:rPr>
          <w:sz w:val="20"/>
          <w:szCs w:val="20"/>
          <w:color w:val="auto"/>
        </w:rPr>
      </w:pPr>
      <w:r>
        <w:rPr>
          <w:rFonts w:ascii="Arial" w:cs="Arial" w:eastAsia="Arial" w:hAnsi="Arial"/>
          <w:sz w:val="18"/>
          <w:szCs w:val="18"/>
          <w:color w:val="auto"/>
        </w:rPr>
        <w:t>other than the brokers named in this Section, claiming a commission or other form of compensation by virtue of having dealt with Tenant or Landlord, as applicable, with regard to this Fifth Amendment.</w:t>
      </w:r>
    </w:p>
    <w:p>
      <w:pPr>
        <w:spacing w:after="0" w:line="162" w:lineRule="exact"/>
        <w:rPr>
          <w:sz w:val="20"/>
          <w:szCs w:val="20"/>
          <w:color w:val="auto"/>
        </w:rPr>
      </w:pPr>
    </w:p>
    <w:p>
      <w:pPr>
        <w:jc w:val="both"/>
        <w:ind w:left="200" w:right="219" w:firstLine="1305"/>
        <w:spacing w:after="0" w:line="253" w:lineRule="auto"/>
        <w:tabs>
          <w:tab w:leader="none" w:pos="2144"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Fifth Amendment may be executed in 2 or more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shall be deemed an original, but all of which together shall constitute one and the same instrument. Counterparts may be delivered via facsimile, electronic mail (including pdf or any electronic signature process complying with the U.S. federal ESIGN Act of 2000, including DocuSign) or other transmission method and any counterpart so delivered shall be deemed to have been duly and validly delivered and be valid and effective for all purposes. Electronic signatures shall be deemed original signatures for purposes of this Fifth Amendment and all matters related thereto, with such electronic signatures having the same legal effect as original signatures.</w:t>
      </w:r>
    </w:p>
    <w:p>
      <w:pPr>
        <w:spacing w:after="0" w:line="184" w:lineRule="exact"/>
        <w:rPr>
          <w:rFonts w:ascii="Arial" w:cs="Arial" w:eastAsia="Arial" w:hAnsi="Arial"/>
          <w:sz w:val="18"/>
          <w:szCs w:val="18"/>
          <w:color w:val="auto"/>
        </w:rPr>
      </w:pPr>
    </w:p>
    <w:p>
      <w:pPr>
        <w:jc w:val="both"/>
        <w:ind w:left="200" w:right="219" w:firstLine="1305"/>
        <w:spacing w:after="0" w:line="254" w:lineRule="auto"/>
        <w:tabs>
          <w:tab w:leader="none" w:pos="2144"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Ratification; Conflicts</w:t>
      </w:r>
      <w:r>
        <w:rPr>
          <w:rFonts w:ascii="Arial" w:cs="Arial" w:eastAsia="Arial" w:hAnsi="Arial"/>
          <w:sz w:val="18"/>
          <w:szCs w:val="18"/>
          <w:color w:val="auto"/>
        </w:rPr>
        <w:t>. Except as amended and/or modified by this Fifth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the Lease is hereby ratified and confirmed and all other terms of the Lease shall remain in full force and effect, unaltered and unchanged by this Fifth Amendment. In the event of any conflict between the provisions of this Fifth Amendment and the provisions of the Lease, the provisions of this Fifth Amendment shall prevail. Regardless of whether specifically amended by this Fifth Amendment, all of the terms and provisions of the Lease are hereby amended to the extent necessary to give effect to the purpose and intent of this Fifth Amendment.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 APPEAR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525780</wp:posOffset>
            </wp:positionV>
            <wp:extent cx="545211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22" w:name="page123"/>
    <w:bookmarkEnd w:id="122"/>
    <w:p>
      <w:pPr>
        <w:jc w:val="center"/>
        <w:ind w:left="1660" w:right="40"/>
        <w:spacing w:after="0" w:line="270" w:lineRule="auto"/>
        <w:rPr>
          <w:sz w:val="20"/>
          <w:szCs w:val="20"/>
          <w:color w:val="auto"/>
        </w:rPr>
      </w:pPr>
      <w:r>
        <w:rPr>
          <w:rFonts w:ascii="Arial" w:cs="Arial" w:eastAsia="Arial" w:hAnsi="Arial"/>
          <w:sz w:val="14"/>
          <w:szCs w:val="14"/>
          <w:b w:val="1"/>
          <w:bCs w:val="1"/>
          <w:color w:val="auto"/>
        </w:rPr>
        <w:t>CERTAIN IDENTIFIED INFORMATION HAS BEEN EXCLUDED FROM THE EXHIBIT BECAUSE IT IS BOTH NOT MATERIAL AND IS THE TYPE THAT THE REGISTRANT TREATS AS PRIVATE OR CONFIDENTIAL. OMITTED INFORMATION HAS BEEN REPLACED WITH [***].</w:t>
      </w:r>
    </w:p>
    <w:p>
      <w:pPr>
        <w:spacing w:after="0" w:line="200" w:lineRule="exact"/>
        <w:rPr>
          <w:sz w:val="20"/>
          <w:szCs w:val="20"/>
          <w:color w:val="auto"/>
        </w:rPr>
      </w:pPr>
    </w:p>
    <w:p>
      <w:pPr>
        <w:spacing w:after="0" w:line="224" w:lineRule="exact"/>
        <w:rPr>
          <w:sz w:val="20"/>
          <w:szCs w:val="20"/>
          <w:color w:val="auto"/>
        </w:rPr>
      </w:pPr>
    </w:p>
    <w:p>
      <w:pPr>
        <w:ind w:left="200" w:right="219" w:firstLine="648"/>
        <w:spacing w:after="0" w:line="261" w:lineRule="auto"/>
        <w:rPr>
          <w:sz w:val="20"/>
          <w:szCs w:val="20"/>
          <w:color w:val="auto"/>
        </w:rPr>
      </w:pPr>
      <w:r>
        <w:rPr>
          <w:rFonts w:ascii="Arial" w:cs="Arial" w:eastAsia="Arial" w:hAnsi="Arial"/>
          <w:sz w:val="18"/>
          <w:szCs w:val="18"/>
          <w:color w:val="auto"/>
        </w:rPr>
        <w:t>IN WITNESS WHEREOF, the parties hereto have executed this Fifth Amendment under seal as of the day and year first above written.</w:t>
      </w:r>
    </w:p>
    <w:p>
      <w:pPr>
        <w:spacing w:after="0" w:line="16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NEXTCURE, INC</w:t>
      </w:r>
      <w:r>
        <w:rPr>
          <w:rFonts w:ascii="Arial" w:cs="Arial" w:eastAsia="Arial" w:hAnsi="Arial"/>
          <w:sz w:val="18"/>
          <w:szCs w:val="18"/>
          <w:color w:val="auto"/>
        </w:rPr>
        <w:t>.,</w:t>
      </w:r>
    </w:p>
    <w:p>
      <w:pPr>
        <w:spacing w:after="0" w:line="3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Michael Richman</w:t>
      </w:r>
      <w:r>
        <w:rPr>
          <w:rFonts w:ascii="Arial" w:cs="Arial" w:eastAsia="Arial" w:hAnsi="Arial"/>
          <w:sz w:val="18"/>
          <w:szCs w:val="18"/>
          <w:color w:val="auto"/>
        </w:rPr>
        <w:t xml:space="preserve"> (SEAL)</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President and CEO</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X I hereby certify that the signature, name, and title</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above are my signature, name, and title.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ARE-8000/9000/10000 VIRGINIA MANOR, LLC</w:t>
      </w:r>
      <w:r>
        <w:rPr>
          <w:rFonts w:ascii="Arial" w:cs="Arial" w:eastAsia="Arial" w:hAnsi="Arial"/>
          <w:sz w:val="18"/>
          <w:szCs w:val="18"/>
          <w:color w:val="auto"/>
        </w:rPr>
        <w:t>,</w:t>
      </w:r>
    </w:p>
    <w:p>
      <w:pPr>
        <w:spacing w:after="0" w:line="3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 Delaware limited liability company</w:t>
      </w:r>
    </w:p>
    <w:p>
      <w:pPr>
        <w:sectPr>
          <w:pgSz w:w="11900" w:h="16838" w:orient="portrait"/>
          <w:cols w:equalWidth="0" w:num="1">
            <w:col w:w="9019"/>
          </w:cols>
          <w:pgMar w:left="1440" w:top="657" w:right="1440" w:bottom="1440" w:gutter="0" w:footer="0" w:header="0"/>
        </w:sectPr>
      </w:pP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959"/>
        <w:spacing w:after="0" w:line="248" w:lineRule="auto"/>
        <w:rPr>
          <w:sz w:val="20"/>
          <w:szCs w:val="20"/>
          <w:color w:val="auto"/>
        </w:rPr>
      </w:pPr>
      <w:r>
        <w:rPr>
          <w:rFonts w:ascii="Arial" w:cs="Arial" w:eastAsia="Arial" w:hAnsi="Arial"/>
          <w:sz w:val="18"/>
          <w:szCs w:val="18"/>
          <w:color w:val="auto"/>
        </w:rPr>
        <w:t>Alexandria Real Estate Equities, L.P., a Delaware limited partnership, managing member</w:t>
      </w:r>
    </w:p>
    <w:p>
      <w:pPr>
        <w:spacing w:after="0" w:line="200" w:lineRule="exact"/>
        <w:rPr>
          <w:sz w:val="20"/>
          <w:szCs w:val="20"/>
          <w:color w:val="auto"/>
        </w:rPr>
      </w:pPr>
    </w:p>
    <w:p>
      <w:pPr>
        <w:sectPr>
          <w:pgSz w:w="11900" w:h="16838" w:orient="portrait"/>
          <w:cols w:equalWidth="0" w:num="2">
            <w:col w:w="3700" w:space="400"/>
            <w:col w:w="4919"/>
          </w:cols>
          <w:pgMar w:left="1440" w:top="657" w:right="1440" w:bottom="1440" w:gutter="0" w:footer="0" w:header="0"/>
          <w:type w:val="continuous"/>
        </w:sectPr>
      </w:pP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ARE-QRS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Maryland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4360" w:space="380"/>
            <w:col w:w="4279"/>
          </w:cols>
          <w:pgMar w:left="1440" w:top="657" w:right="1440"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By:_</w:t>
      </w:r>
      <w:r>
        <w:rPr>
          <w:rFonts w:ascii="Arial" w:cs="Arial" w:eastAsia="Arial" w:hAnsi="Arial"/>
          <w:sz w:val="18"/>
          <w:szCs w:val="18"/>
          <w:u w:val="single" w:color="auto"/>
          <w:color w:val="auto"/>
        </w:rPr>
        <w:t>/s/ Gregory Kay</w:t>
      </w:r>
      <w:r>
        <w:rPr>
          <w:rFonts w:ascii="Arial" w:cs="Arial" w:eastAsia="Arial" w:hAnsi="Arial"/>
          <w:sz w:val="18"/>
          <w:szCs w:val="18"/>
          <w:color w:val="auto"/>
        </w:rPr>
        <w:t xml:space="preserve"> (SEAL)</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Gregory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-19050</wp:posOffset>
            </wp:positionV>
            <wp:extent cx="8001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7"/>
          <w:szCs w:val="17"/>
          <w:color w:val="auto"/>
        </w:rPr>
        <w:t>Title:_</w:t>
      </w:r>
      <w:r>
        <w:rPr>
          <w:rFonts w:ascii="Arial" w:cs="Arial" w:eastAsia="Arial" w:hAnsi="Arial"/>
          <w:sz w:val="17"/>
          <w:szCs w:val="17"/>
          <w:u w:val="single" w:color="auto"/>
          <w:color w:val="auto"/>
        </w:rPr>
        <w:t>SVP – Real Estate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519430</wp:posOffset>
            </wp:positionV>
            <wp:extent cx="545211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type w:val="continuous"/>
        </w:sectPr>
      </w:pPr>
    </w:p>
    <w:bookmarkStart w:id="123" w:name="page124"/>
    <w:bookmarkEnd w:id="123"/>
    <w:p>
      <w:pPr>
        <w:jc w:val="right"/>
        <w:ind w:right="2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2540000</wp:posOffset>
            </wp:positionH>
            <wp:positionV relativeFrom="page">
              <wp:posOffset>88900</wp:posOffset>
            </wp:positionV>
            <wp:extent cx="2468880" cy="436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2468880" cy="436880"/>
                    </a:xfrm>
                    <a:prstGeom prst="rect">
                      <a:avLst/>
                    </a:prstGeom>
                    <a:noFill/>
                  </pic:spPr>
                </pic:pic>
              </a:graphicData>
            </a:graphic>
          </wp:anchor>
        </w:drawing>
        <w:t>Exhibit 10.30</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February 28, 2023</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22"/>
          <w:szCs w:val="22"/>
          <w:b w:val="1"/>
          <w:bCs w:val="1"/>
          <w:i w:val="1"/>
          <w:iCs w:val="1"/>
          <w:color w:val="auto"/>
        </w:rPr>
        <w:t>Via Email Only</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Kevin G. Shaw</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33"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b w:val="1"/>
          <w:bCs w:val="1"/>
          <w:color w:val="auto"/>
        </w:rPr>
        <w:t>RE:</w:t>
        <w:tab/>
        <w:t>EXECUTIVE EMPLOYMENT AGREEMENT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Dear Mr. Shaw:</w:t>
      </w:r>
    </w:p>
    <w:p>
      <w:pPr>
        <w:spacing w:after="0" w:line="281" w:lineRule="exact"/>
        <w:rPr>
          <w:sz w:val="20"/>
          <w:szCs w:val="20"/>
          <w:color w:val="auto"/>
        </w:rPr>
      </w:pPr>
    </w:p>
    <w:p>
      <w:pPr>
        <w:jc w:val="both"/>
        <w:ind w:left="200" w:right="219"/>
        <w:spacing w:after="0" w:line="287" w:lineRule="auto"/>
        <w:rPr>
          <w:sz w:val="20"/>
          <w:szCs w:val="20"/>
          <w:color w:val="auto"/>
        </w:rPr>
      </w:pPr>
      <w:r>
        <w:rPr>
          <w:rFonts w:ascii="Arial" w:cs="Arial" w:eastAsia="Arial" w:hAnsi="Arial"/>
          <w:sz w:val="19"/>
          <w:szCs w:val="19"/>
          <w:color w:val="auto"/>
        </w:rPr>
        <w:t>On behalf of NextCure, Inc. (“</w:t>
      </w:r>
      <w:r>
        <w:rPr>
          <w:rFonts w:ascii="Arial" w:cs="Arial" w:eastAsia="Arial" w:hAnsi="Arial"/>
          <w:sz w:val="19"/>
          <w:szCs w:val="19"/>
          <w:b w:val="1"/>
          <w:bCs w:val="1"/>
          <w:color w:val="auto"/>
        </w:rPr>
        <w:t>NextCure</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 it is my pleasure to confirm the terms and conditions on which the Board of Directors of NextCure (the “</w:t>
      </w:r>
      <w:r>
        <w:rPr>
          <w:rFonts w:ascii="Arial" w:cs="Arial" w:eastAsia="Arial" w:hAnsi="Arial"/>
          <w:sz w:val="19"/>
          <w:szCs w:val="19"/>
          <w:b w:val="1"/>
          <w:bCs w:val="1"/>
          <w:color w:val="auto"/>
        </w:rPr>
        <w:t>Board</w:t>
      </w:r>
      <w:r>
        <w:rPr>
          <w:rFonts w:ascii="Arial" w:cs="Arial" w:eastAsia="Arial" w:hAnsi="Arial"/>
          <w:sz w:val="19"/>
          <w:szCs w:val="19"/>
          <w:color w:val="auto"/>
        </w:rPr>
        <w:t>”) and you have agreed that you will continue your employment with the Company, serving as the Company’s Senior Vice President, Legal Affairs, reporting to the Company’s Chief Operating Officer, that you started on May 23, 2022 (the “</w:t>
      </w:r>
      <w:r>
        <w:rPr>
          <w:rFonts w:ascii="Arial" w:cs="Arial" w:eastAsia="Arial" w:hAnsi="Arial"/>
          <w:sz w:val="19"/>
          <w:szCs w:val="19"/>
          <w:b w:val="1"/>
          <w:bCs w:val="1"/>
          <w:color w:val="auto"/>
        </w:rPr>
        <w:t>Start Date</w:t>
      </w:r>
      <w:r>
        <w:rPr>
          <w:rFonts w:ascii="Arial" w:cs="Arial" w:eastAsia="Arial" w:hAnsi="Arial"/>
          <w:sz w:val="19"/>
          <w:szCs w:val="19"/>
          <w:color w:val="auto"/>
        </w:rPr>
        <w:t xml:space="preserve">”). During your employment with NextCure, you will devote substantially all of your professional efforts to the business of NextCure, except that you may engage in the business activities described on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of this employment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and other activities that may be approved in advance by the Company’s Chief Executive Officer, with advice from the Board (which may include the for-profit board membership(s) described on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in each case, so long as these activities do not interfere or conflict with your obligations to the Company. Your employment under the terms of this Agreement shall continue until it terminates in accordance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below.</w:t>
      </w:r>
    </w:p>
    <w:p>
      <w:pPr>
        <w:spacing w:after="0" w:line="165"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2"/>
          <w:szCs w:val="22"/>
          <w:color w:val="auto"/>
        </w:rPr>
        <w:t>This Agreement supersedes, amends and restates in all respects all prior agreements and understandings between you and the Company regarding the subject matter herein.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This Agreement is intended to summarize some of the terms and conditions of your employment.</w:t>
      </w:r>
    </w:p>
    <w:p>
      <w:pPr>
        <w:spacing w:after="0" w:line="254" w:lineRule="exact"/>
        <w:rPr>
          <w:sz w:val="20"/>
          <w:szCs w:val="20"/>
          <w:color w:val="auto"/>
        </w:rPr>
      </w:pPr>
    </w:p>
    <w:p>
      <w:pPr>
        <w:ind w:left="860" w:right="219" w:firstLine="645"/>
        <w:spacing w:after="0" w:line="251" w:lineRule="auto"/>
        <w:tabs>
          <w:tab w:leader="none" w:pos="2156"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Location</w:t>
      </w:r>
      <w:r>
        <w:rPr>
          <w:rFonts w:ascii="Arial" w:cs="Arial" w:eastAsia="Arial" w:hAnsi="Arial"/>
          <w:sz w:val="22"/>
          <w:szCs w:val="22"/>
          <w:color w:val="auto"/>
        </w:rPr>
        <w:t>. Your place of employment will be at NextCure’s principal offices, currently located in Beltsville, Maryland.</w:t>
      </w:r>
    </w:p>
    <w:p>
      <w:pPr>
        <w:spacing w:after="0" w:line="1" w:lineRule="exact"/>
        <w:rPr>
          <w:rFonts w:ascii="Arial" w:cs="Arial" w:eastAsia="Arial" w:hAnsi="Arial"/>
          <w:sz w:val="22"/>
          <w:szCs w:val="22"/>
          <w:color w:val="auto"/>
        </w:rPr>
      </w:pPr>
    </w:p>
    <w:p>
      <w:pPr>
        <w:ind w:left="2160" w:hanging="655"/>
        <w:spacing w:after="0"/>
        <w:tabs>
          <w:tab w:leader="none" w:pos="216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3" w:lineRule="exact"/>
        <w:rPr>
          <w:rFonts w:ascii="Arial" w:cs="Arial" w:eastAsia="Arial" w:hAnsi="Arial"/>
          <w:sz w:val="22"/>
          <w:szCs w:val="22"/>
          <w:color w:val="auto"/>
        </w:rPr>
      </w:pPr>
    </w:p>
    <w:p>
      <w:pPr>
        <w:jc w:val="both"/>
        <w:ind w:left="1500" w:right="219" w:firstLine="1301"/>
        <w:spacing w:after="0" w:line="254" w:lineRule="auto"/>
        <w:tabs>
          <w:tab w:leader="none" w:pos="3444" w:val="left"/>
        </w:tabs>
        <w:numPr>
          <w:ilvl w:val="1"/>
          <w:numId w:val="77"/>
        </w:numPr>
        <w:rPr>
          <w:rFonts w:ascii="Arial" w:cs="Arial" w:eastAsia="Arial" w:hAnsi="Arial"/>
          <w:sz w:val="21"/>
          <w:szCs w:val="21"/>
          <w:color w:val="auto"/>
        </w:rPr>
      </w:pPr>
      <w:r>
        <w:rPr>
          <w:rFonts w:ascii="Arial" w:cs="Arial" w:eastAsia="Arial" w:hAnsi="Arial"/>
          <w:sz w:val="21"/>
          <w:szCs w:val="21"/>
          <w:i w:val="1"/>
          <w:iCs w:val="1"/>
          <w:color w:val="auto"/>
        </w:rPr>
        <w:t>Base Salary</w:t>
      </w:r>
      <w:r>
        <w:rPr>
          <w:rFonts w:ascii="Arial" w:cs="Arial" w:eastAsia="Arial" w:hAnsi="Arial"/>
          <w:sz w:val="21"/>
          <w:szCs w:val="21"/>
          <w:color w:val="auto"/>
        </w:rPr>
        <w:t>. Your annualized base salary rate will be</w:t>
      </w:r>
      <w:r>
        <w:rPr>
          <w:rFonts w:ascii="Arial" w:cs="Arial" w:eastAsia="Arial" w:hAnsi="Arial"/>
          <w:sz w:val="21"/>
          <w:szCs w:val="21"/>
          <w:i w:val="1"/>
          <w:iCs w:val="1"/>
          <w:color w:val="auto"/>
        </w:rPr>
        <w:t xml:space="preserve"> </w:t>
      </w:r>
      <w:r>
        <w:rPr>
          <w:rFonts w:ascii="Arial" w:cs="Arial" w:eastAsia="Arial" w:hAnsi="Arial"/>
          <w:sz w:val="21"/>
          <w:szCs w:val="21"/>
          <w:color w:val="auto"/>
        </w:rPr>
        <w:t>$338,000, less standard deductions and withholding and payable bi-weekly in accordance with NextCure’s regular payroll practices. Your salary shall be reviewed annually and may be adjusted in connection with any such review.</w:t>
      </w:r>
    </w:p>
    <w:p>
      <w:pPr>
        <w:spacing w:after="0" w:line="3" w:lineRule="exact"/>
        <w:rPr>
          <w:rFonts w:ascii="Arial" w:cs="Arial" w:eastAsia="Arial" w:hAnsi="Arial"/>
          <w:sz w:val="21"/>
          <w:szCs w:val="21"/>
          <w:color w:val="auto"/>
        </w:rPr>
      </w:pPr>
    </w:p>
    <w:p>
      <w:pPr>
        <w:jc w:val="both"/>
        <w:ind w:left="1500" w:right="219" w:firstLine="1301"/>
        <w:spacing w:after="0" w:line="295" w:lineRule="auto"/>
        <w:tabs>
          <w:tab w:leader="none" w:pos="3444" w:val="left"/>
        </w:tabs>
        <w:numPr>
          <w:ilvl w:val="1"/>
          <w:numId w:val="77"/>
        </w:numPr>
        <w:rPr>
          <w:rFonts w:ascii="Arial" w:cs="Arial" w:eastAsia="Arial" w:hAnsi="Arial"/>
          <w:sz w:val="19"/>
          <w:szCs w:val="19"/>
          <w:color w:val="auto"/>
        </w:rPr>
      </w:pPr>
      <w:r>
        <w:rPr>
          <w:rFonts w:ascii="Arial" w:cs="Arial" w:eastAsia="Arial" w:hAnsi="Arial"/>
          <w:sz w:val="19"/>
          <w:szCs w:val="19"/>
          <w:i w:val="1"/>
          <w:iCs w:val="1"/>
          <w:color w:val="auto"/>
        </w:rPr>
        <w:t>Bonus Program</w:t>
      </w:r>
      <w:r>
        <w:rPr>
          <w:rFonts w:ascii="Arial" w:cs="Arial" w:eastAsia="Arial" w:hAnsi="Arial"/>
          <w:sz w:val="19"/>
          <w:szCs w:val="19"/>
          <w:color w:val="auto"/>
        </w:rPr>
        <w:t>. You will be eligible for an annual target</w:t>
      </w:r>
      <w:r>
        <w:rPr>
          <w:rFonts w:ascii="Arial" w:cs="Arial" w:eastAsia="Arial" w:hAnsi="Arial"/>
          <w:sz w:val="19"/>
          <w:szCs w:val="19"/>
          <w:i w:val="1"/>
          <w:iCs w:val="1"/>
          <w:color w:val="auto"/>
        </w:rPr>
        <w:t xml:space="preserve"> </w:t>
      </w:r>
      <w:r>
        <w:rPr>
          <w:rFonts w:ascii="Arial" w:cs="Arial" w:eastAsia="Arial" w:hAnsi="Arial"/>
          <w:sz w:val="19"/>
          <w:szCs w:val="19"/>
          <w:color w:val="auto"/>
        </w:rPr>
        <w:t>bonus of 35% of your annual base salary as determined by the Board in its sole discretion based upon, among other things, the achievement of pre-determined performance milestones. Any annual bonus, if earned, shall be paid no later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306070</wp:posOffset>
            </wp:positionV>
            <wp:extent cx="545211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28" w:right="1440" w:bottom="1440" w:gutter="0" w:footer="0" w:header="0"/>
        </w:sectPr>
      </w:pPr>
    </w:p>
    <w:bookmarkStart w:id="124" w:name="page125"/>
    <w:bookmarkEnd w:id="124"/>
    <w:p>
      <w:pPr>
        <w:ind w:left="1500" w:right="239"/>
        <w:spacing w:after="0" w:line="205" w:lineRule="auto"/>
        <w:rPr>
          <w:sz w:val="20"/>
          <w:szCs w:val="20"/>
          <w:color w:val="auto"/>
        </w:rPr>
      </w:pPr>
      <w:r>
        <w:rPr>
          <w:rFonts w:ascii="Arial" w:cs="Arial" w:eastAsia="Arial" w:hAnsi="Arial"/>
          <w:sz w:val="22"/>
          <w:szCs w:val="22"/>
          <w:color w:val="auto"/>
        </w:rPr>
        <w:t>March 15</w:t>
      </w:r>
      <w:r>
        <w:rPr>
          <w:rFonts w:ascii="Arial" w:cs="Arial" w:eastAsia="Arial" w:hAnsi="Arial"/>
          <w:sz w:val="32"/>
          <w:szCs w:val="32"/>
          <w:color w:val="auto"/>
          <w:vertAlign w:val="superscript"/>
        </w:rPr>
        <w:t>th</w:t>
      </w:r>
      <w:r>
        <w:rPr>
          <w:rFonts w:ascii="Arial" w:cs="Arial" w:eastAsia="Arial" w:hAnsi="Arial"/>
          <w:sz w:val="22"/>
          <w:szCs w:val="22"/>
          <w:color w:val="auto"/>
        </w:rPr>
        <w:t xml:space="preserve"> of the year immediately following the year to which the applicable annual bonus relates.</w:t>
      </w:r>
    </w:p>
    <w:p>
      <w:pPr>
        <w:spacing w:after="0" w:line="2" w:lineRule="exact"/>
        <w:rPr>
          <w:sz w:val="20"/>
          <w:szCs w:val="20"/>
          <w:color w:val="auto"/>
        </w:rPr>
      </w:pPr>
    </w:p>
    <w:p>
      <w:pPr>
        <w:jc w:val="both"/>
        <w:ind w:left="1500" w:right="219" w:firstLine="1301"/>
        <w:spacing w:after="0" w:line="281" w:lineRule="auto"/>
        <w:tabs>
          <w:tab w:leader="none" w:pos="3444" w:val="left"/>
        </w:tabs>
        <w:numPr>
          <w:ilvl w:val="1"/>
          <w:numId w:val="78"/>
        </w:numPr>
        <w:rPr>
          <w:rFonts w:ascii="Arial" w:cs="Arial" w:eastAsia="Arial" w:hAnsi="Arial"/>
          <w:sz w:val="19"/>
          <w:szCs w:val="19"/>
          <w:color w:val="auto"/>
        </w:rPr>
      </w:pPr>
      <w:r>
        <w:rPr>
          <w:rFonts w:ascii="Arial" w:cs="Arial" w:eastAsia="Arial" w:hAnsi="Arial"/>
          <w:sz w:val="19"/>
          <w:szCs w:val="19"/>
          <w:i w:val="1"/>
          <w:iCs w:val="1"/>
          <w:color w:val="auto"/>
        </w:rPr>
        <w:t xml:space="preserve">Option Grants. </w:t>
      </w:r>
      <w:r>
        <w:rPr>
          <w:rFonts w:ascii="Arial" w:cs="Arial" w:eastAsia="Arial" w:hAnsi="Arial"/>
          <w:sz w:val="19"/>
          <w:szCs w:val="19"/>
          <w:color w:val="auto"/>
        </w:rPr>
        <w:t>As of your Start Date, you were granted an</w:t>
      </w:r>
      <w:r>
        <w:rPr>
          <w:rFonts w:ascii="Arial" w:cs="Arial" w:eastAsia="Arial" w:hAnsi="Arial"/>
          <w:sz w:val="19"/>
          <w:szCs w:val="19"/>
          <w:i w:val="1"/>
          <w:iCs w:val="1"/>
          <w:color w:val="auto"/>
        </w:rPr>
        <w:t xml:space="preserve"> </w:t>
      </w:r>
      <w:r>
        <w:rPr>
          <w:rFonts w:ascii="Arial" w:cs="Arial" w:eastAsia="Arial" w:hAnsi="Arial"/>
          <w:sz w:val="19"/>
          <w:szCs w:val="19"/>
          <w:color w:val="auto"/>
        </w:rPr>
        <w:t>option to purchase 35,000 shares of NextCure’s common stock, vesting 25% on the first anniversary of your Start Date, and thereafter in 36 equal, monthly installments until fully-vested, on the fourth anniversary of your Start Date. The option grant is subject to the terms of NextCure’s equity incentive arrangements, including its customary Incentive Stock Option (ISO) Grant Agreement.</w:t>
      </w:r>
    </w:p>
    <w:p>
      <w:pPr>
        <w:spacing w:after="0" w:line="4" w:lineRule="exact"/>
        <w:rPr>
          <w:rFonts w:ascii="Arial" w:cs="Arial" w:eastAsia="Arial" w:hAnsi="Arial"/>
          <w:sz w:val="19"/>
          <w:szCs w:val="19"/>
          <w:color w:val="auto"/>
        </w:rPr>
      </w:pPr>
    </w:p>
    <w:p>
      <w:pPr>
        <w:jc w:val="both"/>
        <w:ind w:left="1500" w:right="219" w:firstLine="1301"/>
        <w:spacing w:after="0" w:line="243" w:lineRule="auto"/>
        <w:tabs>
          <w:tab w:leader="none" w:pos="3444" w:val="left"/>
        </w:tabs>
        <w:numPr>
          <w:ilvl w:val="1"/>
          <w:numId w:val="78"/>
        </w:numPr>
        <w:rPr>
          <w:rFonts w:ascii="Arial" w:cs="Arial" w:eastAsia="Arial" w:hAnsi="Arial"/>
          <w:sz w:val="22"/>
          <w:szCs w:val="22"/>
          <w:color w:val="auto"/>
        </w:rPr>
      </w:pPr>
      <w:r>
        <w:rPr>
          <w:rFonts w:ascii="Arial" w:cs="Arial" w:eastAsia="Arial" w:hAnsi="Arial"/>
          <w:sz w:val="22"/>
          <w:szCs w:val="22"/>
          <w:i w:val="1"/>
          <w:iCs w:val="1"/>
          <w:color w:val="auto"/>
        </w:rPr>
        <w:t xml:space="preserve">Withholding. </w:t>
      </w:r>
      <w:r>
        <w:rPr>
          <w:rFonts w:ascii="Arial" w:cs="Arial" w:eastAsia="Arial" w:hAnsi="Arial"/>
          <w:sz w:val="22"/>
          <w:szCs w:val="22"/>
          <w:color w:val="auto"/>
        </w:rPr>
        <w:t>NextCure shall withhold from any</w:t>
      </w:r>
      <w:r>
        <w:rPr>
          <w:rFonts w:ascii="Arial" w:cs="Arial" w:eastAsia="Arial" w:hAnsi="Arial"/>
          <w:sz w:val="22"/>
          <w:szCs w:val="22"/>
          <w:i w:val="1"/>
          <w:iCs w:val="1"/>
          <w:color w:val="auto"/>
        </w:rPr>
        <w:t xml:space="preserve"> </w:t>
      </w:r>
      <w:r>
        <w:rPr>
          <w:rFonts w:ascii="Arial" w:cs="Arial" w:eastAsia="Arial" w:hAnsi="Arial"/>
          <w:sz w:val="22"/>
          <w:szCs w:val="22"/>
          <w:color w:val="auto"/>
        </w:rPr>
        <w:t>compensation or benefits payable to you by NextCure any federal, state and/or local income, employment and/or other similar taxes as may be required to be withheld pursuant to any applicable law or regulation.</w:t>
      </w:r>
    </w:p>
    <w:p>
      <w:pPr>
        <w:spacing w:after="0" w:line="1" w:lineRule="exact"/>
        <w:rPr>
          <w:rFonts w:ascii="Arial" w:cs="Arial" w:eastAsia="Arial" w:hAnsi="Arial"/>
          <w:sz w:val="22"/>
          <w:szCs w:val="22"/>
          <w:color w:val="auto"/>
        </w:rPr>
      </w:pPr>
    </w:p>
    <w:p>
      <w:pPr>
        <w:ind w:left="2160" w:hanging="655"/>
        <w:spacing w:after="0"/>
        <w:tabs>
          <w:tab w:leader="none" w:pos="216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w:t>
      </w:r>
    </w:p>
    <w:p>
      <w:pPr>
        <w:spacing w:after="0" w:line="3" w:lineRule="exact"/>
        <w:rPr>
          <w:rFonts w:ascii="Arial" w:cs="Arial" w:eastAsia="Arial" w:hAnsi="Arial"/>
          <w:sz w:val="22"/>
          <w:szCs w:val="22"/>
          <w:color w:val="auto"/>
        </w:rPr>
      </w:pPr>
    </w:p>
    <w:p>
      <w:pPr>
        <w:jc w:val="both"/>
        <w:ind w:left="1500" w:right="219" w:firstLine="1301"/>
        <w:spacing w:after="0" w:line="281" w:lineRule="auto"/>
        <w:tabs>
          <w:tab w:leader="none" w:pos="3444" w:val="left"/>
        </w:tabs>
        <w:numPr>
          <w:ilvl w:val="1"/>
          <w:numId w:val="79"/>
        </w:numPr>
        <w:rPr>
          <w:rFonts w:ascii="Arial" w:cs="Arial" w:eastAsia="Arial" w:hAnsi="Arial"/>
          <w:sz w:val="19"/>
          <w:szCs w:val="19"/>
          <w:color w:val="auto"/>
        </w:rPr>
      </w:pPr>
      <w:r>
        <w:rPr>
          <w:rFonts w:ascii="Arial" w:cs="Arial" w:eastAsia="Arial" w:hAnsi="Arial"/>
          <w:sz w:val="19"/>
          <w:szCs w:val="19"/>
          <w:i w:val="1"/>
          <w:iCs w:val="1"/>
          <w:color w:val="auto"/>
        </w:rPr>
        <w:t>Vacation and Holidays</w:t>
      </w:r>
      <w:r>
        <w:rPr>
          <w:rFonts w:ascii="Arial" w:cs="Arial" w:eastAsia="Arial" w:hAnsi="Arial"/>
          <w:sz w:val="19"/>
          <w:szCs w:val="19"/>
          <w:color w:val="auto"/>
        </w:rPr>
        <w:t>. You will be eligible each year for 10</w:t>
      </w:r>
      <w:r>
        <w:rPr>
          <w:rFonts w:ascii="Arial" w:cs="Arial" w:eastAsia="Arial" w:hAnsi="Arial"/>
          <w:sz w:val="19"/>
          <w:szCs w:val="19"/>
          <w:i w:val="1"/>
          <w:iCs w:val="1"/>
          <w:color w:val="auto"/>
        </w:rPr>
        <w:t xml:space="preserve"> </w:t>
      </w:r>
      <w:r>
        <w:rPr>
          <w:rFonts w:ascii="Arial" w:cs="Arial" w:eastAsia="Arial" w:hAnsi="Arial"/>
          <w:sz w:val="19"/>
          <w:szCs w:val="19"/>
          <w:color w:val="auto"/>
        </w:rPr>
        <w:t>paid vacation days (excluding federal holidays), 2 paid personal days and 8 paid days of sick time, as well as paid time off from December 26 through December 30.</w:t>
      </w:r>
    </w:p>
    <w:p>
      <w:pPr>
        <w:spacing w:after="0" w:line="2" w:lineRule="exact"/>
        <w:rPr>
          <w:rFonts w:ascii="Arial" w:cs="Arial" w:eastAsia="Arial" w:hAnsi="Arial"/>
          <w:sz w:val="19"/>
          <w:szCs w:val="19"/>
          <w:color w:val="auto"/>
        </w:rPr>
      </w:pPr>
    </w:p>
    <w:p>
      <w:pPr>
        <w:jc w:val="both"/>
        <w:ind w:left="1500" w:right="219" w:firstLine="1301"/>
        <w:spacing w:after="0" w:line="284" w:lineRule="auto"/>
        <w:tabs>
          <w:tab w:leader="none" w:pos="3444" w:val="left"/>
        </w:tabs>
        <w:numPr>
          <w:ilvl w:val="1"/>
          <w:numId w:val="79"/>
        </w:numPr>
        <w:rPr>
          <w:rFonts w:ascii="Arial" w:cs="Arial" w:eastAsia="Arial" w:hAnsi="Arial"/>
          <w:sz w:val="19"/>
          <w:szCs w:val="19"/>
          <w:color w:val="auto"/>
        </w:rPr>
      </w:pPr>
      <w:r>
        <w:rPr>
          <w:rFonts w:ascii="Arial" w:cs="Arial" w:eastAsia="Arial" w:hAnsi="Arial"/>
          <w:sz w:val="19"/>
          <w:szCs w:val="19"/>
          <w:i w:val="1"/>
          <w:iCs w:val="1"/>
          <w:color w:val="auto"/>
        </w:rPr>
        <w:t>Other</w:t>
      </w:r>
      <w:r>
        <w:rPr>
          <w:rFonts w:ascii="Arial" w:cs="Arial" w:eastAsia="Arial" w:hAnsi="Arial"/>
          <w:sz w:val="19"/>
          <w:szCs w:val="19"/>
          <w:color w:val="auto"/>
        </w:rPr>
        <w:t>. You will be eligible to participate in the benefits to be</w:t>
      </w:r>
      <w:r>
        <w:rPr>
          <w:rFonts w:ascii="Arial" w:cs="Arial" w:eastAsia="Arial" w:hAnsi="Arial"/>
          <w:sz w:val="19"/>
          <w:szCs w:val="19"/>
          <w:i w:val="1"/>
          <w:iCs w:val="1"/>
          <w:color w:val="auto"/>
        </w:rPr>
        <w:t xml:space="preserve"> </w:t>
      </w:r>
      <w:r>
        <w:rPr>
          <w:rFonts w:ascii="Arial" w:cs="Arial" w:eastAsia="Arial" w:hAnsi="Arial"/>
          <w:sz w:val="19"/>
          <w:szCs w:val="19"/>
          <w:color w:val="auto"/>
        </w:rPr>
        <w:t>offered by NextCure on the same terms and conditions as it will make such benefits available to employees in positions similar to your position. The benefits are currently expected to include health insurance and such other benefits provided by similar companies of a similar stage, as approved by the Board.</w:t>
      </w:r>
    </w:p>
    <w:p>
      <w:pPr>
        <w:spacing w:after="0" w:line="3" w:lineRule="exact"/>
        <w:rPr>
          <w:rFonts w:ascii="Arial" w:cs="Arial" w:eastAsia="Arial" w:hAnsi="Arial"/>
          <w:sz w:val="19"/>
          <w:szCs w:val="19"/>
          <w:color w:val="auto"/>
        </w:rPr>
      </w:pPr>
    </w:p>
    <w:p>
      <w:pPr>
        <w:jc w:val="both"/>
        <w:ind w:left="1500" w:right="219" w:firstLine="1301"/>
        <w:spacing w:after="0" w:line="244" w:lineRule="auto"/>
        <w:tabs>
          <w:tab w:leader="none" w:pos="3444" w:val="left"/>
        </w:tabs>
        <w:numPr>
          <w:ilvl w:val="1"/>
          <w:numId w:val="79"/>
        </w:numPr>
        <w:rPr>
          <w:rFonts w:ascii="Arial" w:cs="Arial" w:eastAsia="Arial" w:hAnsi="Arial"/>
          <w:sz w:val="22"/>
          <w:szCs w:val="22"/>
          <w:color w:val="auto"/>
        </w:rPr>
      </w:pPr>
      <w:r>
        <w:rPr>
          <w:rFonts w:ascii="Arial" w:cs="Arial" w:eastAsia="Arial" w:hAnsi="Arial"/>
          <w:sz w:val="22"/>
          <w:szCs w:val="22"/>
          <w:i w:val="1"/>
          <w:iCs w:val="1"/>
          <w:color w:val="auto"/>
        </w:rPr>
        <w:t>Expenses</w:t>
      </w:r>
      <w:r>
        <w:rPr>
          <w:rFonts w:ascii="Arial" w:cs="Arial" w:eastAsia="Arial" w:hAnsi="Arial"/>
          <w:sz w:val="22"/>
          <w:szCs w:val="22"/>
          <w:color w:val="auto"/>
        </w:rPr>
        <w:t>. NextCure shall reimburse you for all reasonable</w:t>
      </w:r>
      <w:r>
        <w:rPr>
          <w:rFonts w:ascii="Arial" w:cs="Arial" w:eastAsia="Arial" w:hAnsi="Arial"/>
          <w:sz w:val="22"/>
          <w:szCs w:val="22"/>
          <w:i w:val="1"/>
          <w:iCs w:val="1"/>
          <w:color w:val="auto"/>
        </w:rPr>
        <w:t xml:space="preserve"> </w:t>
      </w:r>
      <w:r>
        <w:rPr>
          <w:rFonts w:ascii="Arial" w:cs="Arial" w:eastAsia="Arial" w:hAnsi="Arial"/>
          <w:sz w:val="22"/>
          <w:szCs w:val="22"/>
          <w:color w:val="auto"/>
        </w:rPr>
        <w:t>expenses of the type authorized by NextCure and incurred by you in the performance of your duties under this Agreement, all in accordance with the Company’s reimbursement policies.</w:t>
      </w:r>
    </w:p>
    <w:p>
      <w:pPr>
        <w:spacing w:after="0" w:line="249" w:lineRule="exact"/>
        <w:rPr>
          <w:sz w:val="20"/>
          <w:szCs w:val="20"/>
          <w:color w:val="auto"/>
        </w:rPr>
      </w:pPr>
    </w:p>
    <w:p>
      <w:pPr>
        <w:jc w:val="both"/>
        <w:ind w:left="200" w:right="219"/>
        <w:spacing w:after="0" w:line="343" w:lineRule="auto"/>
        <w:rPr>
          <w:sz w:val="20"/>
          <w:szCs w:val="20"/>
          <w:color w:val="auto"/>
        </w:rPr>
      </w:pPr>
      <w:r>
        <w:rPr>
          <w:rFonts w:ascii="Arial" w:cs="Arial" w:eastAsia="Arial" w:hAnsi="Arial"/>
          <w:sz w:val="19"/>
          <w:szCs w:val="19"/>
          <w:color w:val="auto"/>
        </w:rPr>
        <w:t>As is the case of all employee benefits, such benefits will be governed by the terms and conditions of applicable NextCure plans or policies, which are subject to change or discontinuation at any time.</w:t>
      </w:r>
    </w:p>
    <w:p>
      <w:pPr>
        <w:spacing w:after="0" w:line="104" w:lineRule="exact"/>
        <w:rPr>
          <w:sz w:val="20"/>
          <w:szCs w:val="20"/>
          <w:color w:val="auto"/>
        </w:rPr>
      </w:pPr>
    </w:p>
    <w:p>
      <w:pPr>
        <w:ind w:left="2160" w:hanging="655"/>
        <w:spacing w:after="0"/>
        <w:tabs>
          <w:tab w:leader="none" w:pos="216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Severance</w:t>
      </w:r>
      <w:r>
        <w:rPr>
          <w:rFonts w:ascii="Arial" w:cs="Arial" w:eastAsia="Arial" w:hAnsi="Arial"/>
          <w:sz w:val="22"/>
          <w:szCs w:val="22"/>
          <w:color w:val="auto"/>
        </w:rPr>
        <w:t>.</w:t>
      </w:r>
    </w:p>
    <w:p>
      <w:pPr>
        <w:spacing w:after="0" w:line="21" w:lineRule="exact"/>
        <w:rPr>
          <w:rFonts w:ascii="Arial" w:cs="Arial" w:eastAsia="Arial" w:hAnsi="Arial"/>
          <w:sz w:val="22"/>
          <w:szCs w:val="22"/>
          <w:color w:val="auto"/>
        </w:rPr>
      </w:pPr>
    </w:p>
    <w:p>
      <w:pPr>
        <w:ind w:left="2800"/>
        <w:spacing w:after="0"/>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19"/>
          <w:szCs w:val="19"/>
          <w:i w:val="1"/>
          <w:iCs w:val="1"/>
          <w:color w:val="auto"/>
        </w:rPr>
        <w:t xml:space="preserve">Definitions. </w:t>
      </w:r>
      <w:r>
        <w:rPr>
          <w:rFonts w:ascii="Arial" w:cs="Arial" w:eastAsia="Arial" w:hAnsi="Arial"/>
          <w:sz w:val="19"/>
          <w:szCs w:val="19"/>
          <w:color w:val="auto"/>
        </w:rPr>
        <w:t>For purposes of this Agreement:</w:t>
      </w:r>
    </w:p>
    <w:p>
      <w:pPr>
        <w:spacing w:after="0" w:line="4" w:lineRule="exact"/>
        <w:rPr>
          <w:sz w:val="20"/>
          <w:szCs w:val="20"/>
          <w:color w:val="auto"/>
        </w:rPr>
      </w:pPr>
    </w:p>
    <w:p>
      <w:pPr>
        <w:jc w:val="both"/>
        <w:ind w:left="200" w:right="219" w:firstLine="2106"/>
        <w:spacing w:after="0" w:line="256" w:lineRule="auto"/>
        <w:rPr>
          <w:sz w:val="20"/>
          <w:szCs w:val="20"/>
          <w:color w:val="auto"/>
        </w:rPr>
      </w:pPr>
      <w:r>
        <w:rPr>
          <w:rFonts w:ascii="Arial" w:cs="Arial" w:eastAsia="Arial" w:hAnsi="Arial"/>
          <w:sz w:val="21"/>
          <w:szCs w:val="21"/>
          <w:color w:val="auto"/>
        </w:rPr>
        <w:t>i. “</w:t>
      </w:r>
      <w:r>
        <w:rPr>
          <w:rFonts w:ascii="Arial" w:cs="Arial" w:eastAsia="Arial" w:hAnsi="Arial"/>
          <w:sz w:val="21"/>
          <w:szCs w:val="21"/>
          <w:b w:val="1"/>
          <w:bCs w:val="1"/>
          <w:color w:val="auto"/>
        </w:rPr>
        <w:t>Accrued Benefits</w:t>
      </w:r>
      <w:r>
        <w:rPr>
          <w:rFonts w:ascii="Arial" w:cs="Arial" w:eastAsia="Arial" w:hAnsi="Arial"/>
          <w:sz w:val="21"/>
          <w:szCs w:val="21"/>
          <w:color w:val="auto"/>
        </w:rPr>
        <w:t>” means: (i) any unpaid base salary for services rendered prior to the date of termination of employment; (ii) any earned but unpaid annual bonus for any completed fiscal year prior to the year in which termination of employment occurs; (iii) reimbursement of any unreimbursed business expenses incurred as of the date of termination of employment in accordance with NextCure’s reimbursement policy, (iv) accrued but unused vacation (if applicable), earned through the date of termination of employment; and (v) all other payments, benefits or fringe benefits to which you shall be entitled under the terms of any applicable compensation arrangement or benefit, equity or fringe benefit plan or program or grant with or by NextCure or this Agreement.</w:t>
      </w:r>
    </w:p>
    <w:p>
      <w:pPr>
        <w:spacing w:after="0" w:line="4" w:lineRule="exact"/>
        <w:rPr>
          <w:sz w:val="20"/>
          <w:szCs w:val="20"/>
          <w:color w:val="auto"/>
        </w:rPr>
      </w:pPr>
    </w:p>
    <w:p>
      <w:pPr>
        <w:jc w:val="both"/>
        <w:ind w:left="200" w:right="219" w:firstLine="1944"/>
        <w:spacing w:after="0" w:line="244" w:lineRule="auto"/>
        <w:rPr>
          <w:sz w:val="20"/>
          <w:szCs w:val="20"/>
          <w:color w:val="auto"/>
        </w:rPr>
      </w:pPr>
      <w:r>
        <w:rPr>
          <w:rFonts w:ascii="Arial" w:cs="Arial" w:eastAsia="Arial" w:hAnsi="Arial"/>
          <w:sz w:val="22"/>
          <w:szCs w:val="22"/>
          <w:color w:val="auto"/>
        </w:rPr>
        <w:t>ii. “</w:t>
      </w:r>
      <w:r>
        <w:rPr>
          <w:rFonts w:ascii="Arial" w:cs="Arial" w:eastAsia="Arial" w:hAnsi="Arial"/>
          <w:sz w:val="22"/>
          <w:szCs w:val="22"/>
          <w:b w:val="1"/>
          <w:bCs w:val="1"/>
          <w:color w:val="auto"/>
        </w:rPr>
        <w:t>Cause</w:t>
      </w:r>
      <w:r>
        <w:rPr>
          <w:rFonts w:ascii="Arial" w:cs="Arial" w:eastAsia="Arial" w:hAnsi="Arial"/>
          <w:sz w:val="22"/>
          <w:szCs w:val="22"/>
          <w:color w:val="auto"/>
        </w:rPr>
        <w:t>” means conduct involving one or more of the following by you: (i) failure to perform a substantial portion of your duties and responsibilities in accordance with the terms or requirements of this Agreement and your position, which failure continues for, or is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334645</wp:posOffset>
            </wp:positionV>
            <wp:extent cx="545211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25" w:name="page126"/>
    <w:bookmarkEnd w:id="125"/>
    <w:p>
      <w:pPr>
        <w:jc w:val="both"/>
        <w:ind w:left="200" w:right="219" w:firstLine="1944"/>
        <w:spacing w:after="0" w:line="257" w:lineRule="auto"/>
        <w:rPr>
          <w:sz w:val="20"/>
          <w:szCs w:val="20"/>
          <w:color w:val="auto"/>
        </w:rPr>
      </w:pPr>
      <w:r>
        <w:rPr>
          <w:rFonts w:ascii="Arial" w:cs="Arial" w:eastAsia="Arial" w:hAnsi="Arial"/>
          <w:sz w:val="21"/>
          <w:szCs w:val="21"/>
          <w:color w:val="auto"/>
        </w:rPr>
        <w:t>permanently cured within, a period of 60 days after written notice given to you by NextCure except in the case of your physical or mental illness; (ii) disloyalty, gross negligence, willful misconduct, or dishonesty that materially injures NextCure or breach of fiduciary duty to NextCure; (iii) the conviction of (x) a felony or (y) a misdemeanor involving moral turpitude, or fraud; (iv) the commission of an act of embezzlement or fraud; or (v) the material breach of any agreement between NextCure and you.</w:t>
      </w:r>
    </w:p>
    <w:p>
      <w:pPr>
        <w:spacing w:after="0" w:line="5" w:lineRule="exact"/>
        <w:rPr>
          <w:sz w:val="20"/>
          <w:szCs w:val="20"/>
          <w:color w:val="auto"/>
        </w:rPr>
      </w:pPr>
    </w:p>
    <w:p>
      <w:pPr>
        <w:jc w:val="both"/>
        <w:ind w:left="200" w:right="219" w:firstLine="2106"/>
        <w:spacing w:after="0" w:line="243" w:lineRule="auto"/>
        <w:rPr>
          <w:sz w:val="20"/>
          <w:szCs w:val="20"/>
          <w:color w:val="auto"/>
        </w:rPr>
      </w:pPr>
      <w:r>
        <w:rPr>
          <w:rFonts w:ascii="Arial" w:cs="Arial" w:eastAsia="Arial" w:hAnsi="Arial"/>
          <w:sz w:val="22"/>
          <w:szCs w:val="22"/>
          <w:color w:val="auto"/>
        </w:rPr>
        <w:t>iii. “</w:t>
      </w:r>
      <w:r>
        <w:rPr>
          <w:rFonts w:ascii="Arial" w:cs="Arial" w:eastAsia="Arial" w:hAnsi="Arial"/>
          <w:sz w:val="22"/>
          <w:szCs w:val="22"/>
          <w:b w:val="1"/>
          <w:bCs w:val="1"/>
          <w:color w:val="auto"/>
        </w:rPr>
        <w:t>Good Reason</w:t>
      </w:r>
      <w:r>
        <w:rPr>
          <w:rFonts w:ascii="Arial" w:cs="Arial" w:eastAsia="Arial" w:hAnsi="Arial"/>
          <w:sz w:val="22"/>
          <w:szCs w:val="22"/>
          <w:color w:val="auto"/>
        </w:rPr>
        <w:t>” means, without your express written consent, (i) any reduction in your annual base salary other than a reduction which is proportional to general reductions affecting other senior executive officers of NextCure generally,</w:t>
      </w:r>
    </w:p>
    <w:p>
      <w:pPr>
        <w:spacing w:after="0" w:line="1" w:lineRule="exact"/>
        <w:rPr>
          <w:sz w:val="20"/>
          <w:szCs w:val="20"/>
          <w:color w:val="auto"/>
        </w:rPr>
      </w:pPr>
    </w:p>
    <w:p>
      <w:pPr>
        <w:jc w:val="both"/>
        <w:ind w:left="200" w:right="219" w:firstLine="9"/>
        <w:spacing w:after="0" w:line="281" w:lineRule="auto"/>
        <w:tabs>
          <w:tab w:leader="none" w:pos="519" w:val="left"/>
        </w:tabs>
        <w:numPr>
          <w:ilvl w:val="0"/>
          <w:numId w:val="81"/>
        </w:numPr>
        <w:rPr>
          <w:rFonts w:ascii="Arial" w:cs="Arial" w:eastAsia="Arial" w:hAnsi="Arial"/>
          <w:sz w:val="19"/>
          <w:szCs w:val="19"/>
          <w:color w:val="auto"/>
        </w:rPr>
      </w:pPr>
      <w:r>
        <w:rPr>
          <w:rFonts w:ascii="Arial" w:cs="Arial" w:eastAsia="Arial" w:hAnsi="Arial"/>
          <w:sz w:val="19"/>
          <w:szCs w:val="19"/>
          <w:color w:val="auto"/>
        </w:rPr>
        <w:t>any material reduction in your title or scope of responsibilities without your consent (other than your removal from the Board); or (iii) a requirement that the location of the office in which you perform your principal duties for NextCure be changed to a new location that is outside a radius of 50 miles from the Company’s corporate headquarters in Beltsville, Maryland.</w:t>
      </w:r>
    </w:p>
    <w:p>
      <w:pPr>
        <w:spacing w:after="0" w:line="2" w:lineRule="exact"/>
        <w:rPr>
          <w:rFonts w:ascii="Arial" w:cs="Arial" w:eastAsia="Arial" w:hAnsi="Arial"/>
          <w:sz w:val="19"/>
          <w:szCs w:val="19"/>
          <w:color w:val="auto"/>
        </w:rPr>
      </w:pPr>
    </w:p>
    <w:p>
      <w:pPr>
        <w:ind w:left="1180"/>
        <w:spacing w:after="0"/>
        <w:rPr>
          <w:rFonts w:ascii="Arial" w:cs="Arial" w:eastAsia="Arial" w:hAnsi="Arial"/>
          <w:sz w:val="19"/>
          <w:szCs w:val="19"/>
          <w:color w:val="auto"/>
        </w:rPr>
      </w:pPr>
      <w:r>
        <w:rPr>
          <w:rFonts w:ascii="Arial" w:cs="Arial" w:eastAsia="Arial" w:hAnsi="Arial"/>
          <w:sz w:val="22"/>
          <w:szCs w:val="22"/>
          <w:color w:val="auto"/>
        </w:rPr>
        <w:t xml:space="preserve">b.  </w:t>
      </w:r>
      <w:r>
        <w:rPr>
          <w:rFonts w:ascii="Arial" w:cs="Arial" w:eastAsia="Arial" w:hAnsi="Arial"/>
          <w:sz w:val="22"/>
          <w:szCs w:val="22"/>
          <w:i w:val="1"/>
          <w:iCs w:val="1"/>
          <w:color w:val="auto"/>
        </w:rPr>
        <w:t>Severance Benefits and Payment</w:t>
      </w:r>
      <w:r>
        <w:rPr>
          <w:rFonts w:ascii="Arial" w:cs="Arial" w:eastAsia="Arial" w:hAnsi="Arial"/>
          <w:sz w:val="22"/>
          <w:szCs w:val="22"/>
          <w:color w:val="auto"/>
        </w:rPr>
        <w:t>.</w:t>
      </w:r>
    </w:p>
    <w:p>
      <w:pPr>
        <w:spacing w:after="0" w:line="4" w:lineRule="exact"/>
        <w:rPr>
          <w:sz w:val="20"/>
          <w:szCs w:val="20"/>
          <w:color w:val="auto"/>
        </w:rPr>
      </w:pPr>
    </w:p>
    <w:p>
      <w:pPr>
        <w:jc w:val="both"/>
        <w:ind w:left="200" w:right="219" w:firstLine="2106"/>
        <w:spacing w:after="0" w:line="261" w:lineRule="auto"/>
        <w:rPr>
          <w:sz w:val="20"/>
          <w:szCs w:val="20"/>
          <w:color w:val="auto"/>
        </w:rPr>
      </w:pPr>
      <w:r>
        <w:rPr>
          <w:rFonts w:ascii="Arial" w:cs="Arial" w:eastAsia="Arial" w:hAnsi="Arial"/>
          <w:sz w:val="20"/>
          <w:szCs w:val="20"/>
          <w:color w:val="auto"/>
        </w:rPr>
        <w:t xml:space="preserve">i. </w:t>
      </w:r>
      <w:r>
        <w:rPr>
          <w:rFonts w:ascii="Arial" w:cs="Arial" w:eastAsia="Arial" w:hAnsi="Arial"/>
          <w:sz w:val="20"/>
          <w:szCs w:val="20"/>
          <w:i w:val="1"/>
          <w:iCs w:val="1"/>
          <w:color w:val="auto"/>
        </w:rPr>
        <w:t>Generally</w:t>
      </w:r>
      <w:r>
        <w:rPr>
          <w:rFonts w:ascii="Arial" w:cs="Arial" w:eastAsia="Arial" w:hAnsi="Arial"/>
          <w:sz w:val="20"/>
          <w:szCs w:val="20"/>
          <w:color w:val="auto"/>
        </w:rPr>
        <w:t xml:space="preserve">. If your employment with NextCure is terminated by NextCure for any reason other than Cause or by you for Good Reason, NextCure will pay you (1) the Accrued Benefits; (2) subject to your compliance with </w:t>
      </w:r>
      <w:r>
        <w:rPr>
          <w:rFonts w:ascii="Arial" w:cs="Arial" w:eastAsia="Arial" w:hAnsi="Arial"/>
          <w:sz w:val="20"/>
          <w:szCs w:val="20"/>
          <w:u w:val="single" w:color="auto"/>
          <w:color w:val="auto"/>
        </w:rPr>
        <w:t>Section 4(c)</w:t>
      </w:r>
      <w:r>
        <w:rPr>
          <w:rFonts w:ascii="Arial" w:cs="Arial" w:eastAsia="Arial" w:hAnsi="Arial"/>
          <w:sz w:val="20"/>
          <w:szCs w:val="20"/>
          <w:color w:val="auto"/>
        </w:rPr>
        <w:t xml:space="preserve"> below, after the execution and delivery of the Separation Agreement and General Release in the form attached hereto as </w:t>
      </w:r>
      <w:r>
        <w:rPr>
          <w:rFonts w:ascii="Arial" w:cs="Arial" w:eastAsia="Arial" w:hAnsi="Arial"/>
          <w:sz w:val="20"/>
          <w:szCs w:val="20"/>
          <w:u w:val="single" w:color="auto"/>
          <w:color w:val="auto"/>
        </w:rPr>
        <w:t>Appendix B</w:t>
      </w:r>
      <w:r>
        <w:rPr>
          <w:rFonts w:ascii="Arial" w:cs="Arial" w:eastAsia="Arial" w:hAnsi="Arial"/>
          <w:sz w:val="20"/>
          <w:szCs w:val="20"/>
          <w:color w:val="auto"/>
        </w:rPr>
        <w:t xml:space="preserve"> (the “</w:t>
      </w:r>
      <w:r>
        <w:rPr>
          <w:rFonts w:ascii="Arial" w:cs="Arial" w:eastAsia="Arial" w:hAnsi="Arial"/>
          <w:sz w:val="20"/>
          <w:szCs w:val="20"/>
          <w:b w:val="1"/>
          <w:bCs w:val="1"/>
          <w:color w:val="auto"/>
        </w:rPr>
        <w:t>Separation Agreement and General</w:t>
      </w:r>
      <w:r>
        <w:rPr>
          <w:rFonts w:ascii="Arial" w:cs="Arial" w:eastAsia="Arial" w:hAnsi="Arial"/>
          <w:sz w:val="20"/>
          <w:szCs w:val="20"/>
          <w:color w:val="auto"/>
        </w:rPr>
        <w:t xml:space="preserve"> </w:t>
      </w:r>
      <w:r>
        <w:rPr>
          <w:rFonts w:ascii="Arial" w:cs="Arial" w:eastAsia="Arial" w:hAnsi="Arial"/>
          <w:sz w:val="20"/>
          <w:szCs w:val="20"/>
          <w:b w:val="1"/>
          <w:bCs w:val="1"/>
          <w:color w:val="auto"/>
        </w:rPr>
        <w:t>Release</w:t>
      </w:r>
      <w:r>
        <w:rPr>
          <w:rFonts w:ascii="Arial" w:cs="Arial" w:eastAsia="Arial" w:hAnsi="Arial"/>
          <w:sz w:val="20"/>
          <w:szCs w:val="20"/>
          <w:color w:val="auto"/>
        </w:rPr>
        <w:t>”) and the expiration of any revocation period without the release being revoked, 9</w:t>
      </w:r>
      <w:r>
        <w:rPr>
          <w:rFonts w:ascii="Arial" w:cs="Arial" w:eastAsia="Arial" w:hAnsi="Arial"/>
          <w:sz w:val="20"/>
          <w:szCs w:val="20"/>
          <w:b w:val="1"/>
          <w:bCs w:val="1"/>
          <w:color w:val="auto"/>
        </w:rPr>
        <w:t xml:space="preserve"> </w:t>
      </w:r>
      <w:r>
        <w:rPr>
          <w:rFonts w:ascii="Arial" w:cs="Arial" w:eastAsia="Arial" w:hAnsi="Arial"/>
          <w:sz w:val="20"/>
          <w:szCs w:val="20"/>
          <w:color w:val="auto"/>
        </w:rPr>
        <w:t>months’ base salary, less standard deductions, payable in a single lump sum on the 60</w:t>
      </w:r>
      <w:r>
        <w:rPr>
          <w:rFonts w:ascii="Arial" w:cs="Arial" w:eastAsia="Arial" w:hAnsi="Arial"/>
          <w:sz w:val="30"/>
          <w:szCs w:val="30"/>
          <w:color w:val="auto"/>
          <w:vertAlign w:val="superscript"/>
        </w:rPr>
        <w:t>th</w:t>
      </w:r>
      <w:r>
        <w:rPr>
          <w:rFonts w:ascii="Arial" w:cs="Arial" w:eastAsia="Arial" w:hAnsi="Arial"/>
          <w:sz w:val="20"/>
          <w:szCs w:val="20"/>
          <w:color w:val="auto"/>
        </w:rPr>
        <w:t xml:space="preserve"> day following the termination of your employment; and (3) if you elect to continue your health insurance coverage pursuant to your rights under the Consolidated Omnibus Budget Reconciliation Act of 1985, as amended (“</w:t>
      </w:r>
      <w:r>
        <w:rPr>
          <w:rFonts w:ascii="Arial" w:cs="Arial" w:eastAsia="Arial" w:hAnsi="Arial"/>
          <w:sz w:val="20"/>
          <w:szCs w:val="20"/>
          <w:b w:val="1"/>
          <w:bCs w:val="1"/>
          <w:color w:val="auto"/>
        </w:rPr>
        <w:t>COBRA</w:t>
      </w:r>
      <w:r>
        <w:rPr>
          <w:rFonts w:ascii="Arial" w:cs="Arial" w:eastAsia="Arial" w:hAnsi="Arial"/>
          <w:sz w:val="20"/>
          <w:szCs w:val="20"/>
          <w:color w:val="auto"/>
        </w:rPr>
        <w:t>”), following the termination of your employment, your monthly premium under COBRA on a monthly basis until the earlier of (x) 9 months following the effective termination date, or (y) the date upon which you commence full-time employment (or employment that provides you with eligibility for healthcare benefits substantially comparable to those provided by NextCure). A termination of your employment by NextCure due to physical or mental illness which is not a Disability (as defined herein) shall be treated as an involuntary termination other than for Cause. The term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shall mean that you have not been able to materially engage in your duties and responsibilities by reason of any medically determinable physical or mental impairment for a period of not less than 120 consecutive days or not less than 180 days during any one-year period.</w:t>
      </w:r>
    </w:p>
    <w:p>
      <w:pPr>
        <w:spacing w:after="0" w:line="10" w:lineRule="exact"/>
        <w:rPr>
          <w:sz w:val="20"/>
          <w:szCs w:val="20"/>
          <w:color w:val="auto"/>
        </w:rPr>
      </w:pPr>
    </w:p>
    <w:p>
      <w:pPr>
        <w:jc w:val="both"/>
        <w:ind w:left="200" w:right="239" w:firstLine="2106"/>
        <w:spacing w:after="0" w:line="244" w:lineRule="auto"/>
        <w:rPr>
          <w:sz w:val="20"/>
          <w:szCs w:val="20"/>
          <w:color w:val="auto"/>
        </w:rPr>
      </w:pPr>
      <w:r>
        <w:rPr>
          <w:rFonts w:ascii="Arial" w:cs="Arial" w:eastAsia="Arial" w:hAnsi="Arial"/>
          <w:sz w:val="22"/>
          <w:szCs w:val="22"/>
          <w:color w:val="auto"/>
        </w:rPr>
        <w:t xml:space="preserve">ii. </w:t>
      </w:r>
      <w:r>
        <w:rPr>
          <w:rFonts w:ascii="Arial" w:cs="Arial" w:eastAsia="Arial" w:hAnsi="Arial"/>
          <w:sz w:val="22"/>
          <w:szCs w:val="22"/>
          <w:i w:val="1"/>
          <w:iCs w:val="1"/>
          <w:color w:val="auto"/>
        </w:rPr>
        <w:t>In connection with the Change in Control</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Period. </w:t>
      </w:r>
      <w:r>
        <w:rPr>
          <w:rFonts w:ascii="Arial" w:cs="Arial" w:eastAsia="Arial" w:hAnsi="Arial"/>
          <w:sz w:val="22"/>
          <w:szCs w:val="22"/>
          <w:color w:val="auto"/>
        </w:rPr>
        <w:t>If your employment with NextCure is terminated by NextCure for any reason other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than Cause or by you for Good Reason during the Change in Control Period, NextCure will pay you (1) the Accrued Benefits; (2) subject to your compliance with </w:t>
      </w:r>
      <w:r>
        <w:rPr>
          <w:rFonts w:ascii="Arial" w:cs="Arial" w:eastAsia="Arial" w:hAnsi="Arial"/>
          <w:sz w:val="22"/>
          <w:szCs w:val="22"/>
          <w:u w:val="single" w:color="auto"/>
          <w:color w:val="auto"/>
        </w:rPr>
        <w:t>Section 4(c)</w:t>
      </w:r>
      <w:r>
        <w:rPr>
          <w:rFonts w:ascii="Arial" w:cs="Arial" w:eastAsia="Arial" w:hAnsi="Arial"/>
          <w:sz w:val="22"/>
          <w:szCs w:val="22"/>
          <w:color w:val="auto"/>
        </w:rPr>
        <w:t xml:space="preserve"> below,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334645</wp:posOffset>
            </wp:positionV>
            <wp:extent cx="545211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26" w:name="page127"/>
    <w:bookmarkEnd w:id="126"/>
    <w:p>
      <w:pPr>
        <w:jc w:val="both"/>
        <w:ind w:left="200" w:right="219" w:firstLine="2106"/>
        <w:spacing w:after="0" w:line="245" w:lineRule="auto"/>
        <w:rPr>
          <w:sz w:val="20"/>
          <w:szCs w:val="20"/>
          <w:color w:val="auto"/>
        </w:rPr>
      </w:pPr>
      <w:r>
        <w:rPr>
          <w:rFonts w:ascii="Arial" w:cs="Arial" w:eastAsia="Arial" w:hAnsi="Arial"/>
          <w:sz w:val="21"/>
          <w:szCs w:val="21"/>
          <w:color w:val="auto"/>
        </w:rPr>
        <w:t>the execution and delivery of the Separation Agreement and General Release and the expiration of any revocation period without the release being revoked, 12 months’ base salary plus your annual target bonus, less standard deductions, payable in a single lump sum on the 60</w:t>
      </w:r>
      <w:r>
        <w:rPr>
          <w:rFonts w:ascii="Arial" w:cs="Arial" w:eastAsia="Arial" w:hAnsi="Arial"/>
          <w:sz w:val="31"/>
          <w:szCs w:val="31"/>
          <w:color w:val="auto"/>
          <w:vertAlign w:val="superscript"/>
        </w:rPr>
        <w:t>th</w:t>
      </w:r>
      <w:r>
        <w:rPr>
          <w:rFonts w:ascii="Arial" w:cs="Arial" w:eastAsia="Arial" w:hAnsi="Arial"/>
          <w:sz w:val="21"/>
          <w:szCs w:val="21"/>
          <w:color w:val="auto"/>
        </w:rPr>
        <w:t xml:space="preserve"> day following the termination of your employment; and (3) if you elect to continue your health insurance coverage pursuant to your rights under COBRA following the termination of your </w:t>
      </w:r>
      <w:r>
        <w:rPr>
          <w:rFonts w:ascii="Arial" w:cs="Arial" w:eastAsia="Arial" w:hAnsi="Arial"/>
          <w:sz w:val="21"/>
          <w:szCs w:val="21"/>
          <w:u w:val="single" w:color="auto"/>
          <w:color w:val="auto"/>
        </w:rPr>
        <w:t>employment</w:t>
      </w:r>
      <w:r>
        <w:rPr>
          <w:rFonts w:ascii="Arial" w:cs="Arial" w:eastAsia="Arial" w:hAnsi="Arial"/>
          <w:sz w:val="21"/>
          <w:szCs w:val="21"/>
          <w:color w:val="auto"/>
        </w:rPr>
        <w:t>, your monthly premium under COBRA on a monthly basis until the earlier of (x) 12 months following the effective termination date, or (y) the date upon which you commence full-time employment (or employment that provides you with eligibility for healthcare benefits substantially comparable to those provided by NextCure). A termination of your employment by NextCure due to physical or mental illness which is not a Disability shall be treated as an involuntary termination other than for Cause.</w:t>
      </w:r>
    </w:p>
    <w:p>
      <w:pPr>
        <w:spacing w:after="0" w:line="10" w:lineRule="exact"/>
        <w:rPr>
          <w:sz w:val="20"/>
          <w:szCs w:val="20"/>
          <w:color w:val="auto"/>
        </w:rPr>
      </w:pPr>
    </w:p>
    <w:p>
      <w:pPr>
        <w:jc w:val="both"/>
        <w:ind w:left="1500" w:right="219" w:firstLine="1301"/>
        <w:spacing w:after="0" w:line="254" w:lineRule="auto"/>
        <w:tabs>
          <w:tab w:leader="none" w:pos="3444" w:val="left"/>
        </w:tabs>
        <w:numPr>
          <w:ilvl w:val="1"/>
          <w:numId w:val="82"/>
        </w:numPr>
        <w:rPr>
          <w:rFonts w:ascii="Arial" w:cs="Arial" w:eastAsia="Arial" w:hAnsi="Arial"/>
          <w:sz w:val="21"/>
          <w:szCs w:val="21"/>
          <w:color w:val="auto"/>
        </w:rPr>
      </w:pPr>
      <w:r>
        <w:rPr>
          <w:rFonts w:ascii="Arial" w:cs="Arial" w:eastAsia="Arial" w:hAnsi="Arial"/>
          <w:sz w:val="21"/>
          <w:szCs w:val="21"/>
          <w:i w:val="1"/>
          <w:iCs w:val="1"/>
          <w:color w:val="auto"/>
        </w:rPr>
        <w:t>Eligibility for Severance</w:t>
      </w:r>
      <w:r>
        <w:rPr>
          <w:rFonts w:ascii="Arial" w:cs="Arial" w:eastAsia="Arial" w:hAnsi="Arial"/>
          <w:sz w:val="21"/>
          <w:szCs w:val="21"/>
          <w:color w:val="auto"/>
        </w:rPr>
        <w:t>. Eligibility for receipt of the items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in </w:t>
      </w:r>
      <w:r>
        <w:rPr>
          <w:rFonts w:ascii="Arial" w:cs="Arial" w:eastAsia="Arial" w:hAnsi="Arial"/>
          <w:sz w:val="21"/>
          <w:szCs w:val="21"/>
          <w:u w:val="single" w:color="auto"/>
          <w:color w:val="auto"/>
        </w:rPr>
        <w:t>Section 4(b)(ii)</w:t>
      </w:r>
      <w:r>
        <w:rPr>
          <w:rFonts w:ascii="Arial" w:cs="Arial" w:eastAsia="Arial" w:hAnsi="Arial"/>
          <w:sz w:val="21"/>
          <w:szCs w:val="21"/>
          <w:color w:val="auto"/>
        </w:rPr>
        <w:t xml:space="preserve"> above shall be conditioned on your (i) returning to NextCure promptly upon termination of your employment all of its property, including confidential information and all electronically stored information, and (ii) signing and not revoking the Separation Agreement and General Release.</w:t>
      </w:r>
    </w:p>
    <w:p>
      <w:pPr>
        <w:spacing w:after="0" w:line="4" w:lineRule="exact"/>
        <w:rPr>
          <w:rFonts w:ascii="Arial" w:cs="Arial" w:eastAsia="Arial" w:hAnsi="Arial"/>
          <w:sz w:val="21"/>
          <w:szCs w:val="21"/>
          <w:color w:val="auto"/>
        </w:rPr>
      </w:pPr>
    </w:p>
    <w:p>
      <w:pPr>
        <w:jc w:val="both"/>
        <w:ind w:left="1500" w:right="219" w:firstLine="1301"/>
        <w:spacing w:after="0" w:line="259" w:lineRule="auto"/>
        <w:tabs>
          <w:tab w:leader="none" w:pos="3444" w:val="left"/>
        </w:tabs>
        <w:numPr>
          <w:ilvl w:val="1"/>
          <w:numId w:val="82"/>
        </w:numPr>
        <w:rPr>
          <w:rFonts w:ascii="Arial" w:cs="Arial" w:eastAsia="Arial" w:hAnsi="Arial"/>
          <w:sz w:val="21"/>
          <w:szCs w:val="21"/>
          <w:color w:val="auto"/>
        </w:rPr>
      </w:pPr>
      <w:r>
        <w:rPr>
          <w:rFonts w:ascii="Arial" w:cs="Arial" w:eastAsia="Arial" w:hAnsi="Arial"/>
          <w:sz w:val="21"/>
          <w:szCs w:val="21"/>
          <w:i w:val="1"/>
          <w:iCs w:val="1"/>
          <w:color w:val="auto"/>
        </w:rPr>
        <w:t>Accrued Benefits</w:t>
      </w:r>
      <w:r>
        <w:rPr>
          <w:rFonts w:ascii="Arial" w:cs="Arial" w:eastAsia="Arial" w:hAnsi="Arial"/>
          <w:sz w:val="21"/>
          <w:szCs w:val="21"/>
          <w:color w:val="auto"/>
        </w:rPr>
        <w:t>. The Accrued Benefits shall be paid to you</w:t>
      </w:r>
      <w:r>
        <w:rPr>
          <w:rFonts w:ascii="Arial" w:cs="Arial" w:eastAsia="Arial" w:hAnsi="Arial"/>
          <w:sz w:val="21"/>
          <w:szCs w:val="21"/>
          <w:i w:val="1"/>
          <w:iCs w:val="1"/>
          <w:color w:val="auto"/>
        </w:rPr>
        <w:t xml:space="preserve"> </w:t>
      </w:r>
      <w:r>
        <w:rPr>
          <w:rFonts w:ascii="Arial" w:cs="Arial" w:eastAsia="Arial" w:hAnsi="Arial"/>
          <w:sz w:val="21"/>
          <w:szCs w:val="21"/>
          <w:color w:val="auto"/>
        </w:rPr>
        <w:t>(or your estate in the event of your death) upon termination of employment regardless of the circumstances giving rise to such termination.</w:t>
      </w:r>
    </w:p>
    <w:p>
      <w:pPr>
        <w:spacing w:after="0" w:line="1" w:lineRule="exact"/>
        <w:rPr>
          <w:rFonts w:ascii="Arial" w:cs="Arial" w:eastAsia="Arial" w:hAnsi="Arial"/>
          <w:sz w:val="21"/>
          <w:szCs w:val="21"/>
          <w:color w:val="auto"/>
        </w:rPr>
      </w:pPr>
    </w:p>
    <w:p>
      <w:pPr>
        <w:jc w:val="both"/>
        <w:ind w:left="860" w:right="219" w:firstLine="645"/>
        <w:spacing w:after="0" w:line="243" w:lineRule="auto"/>
        <w:tabs>
          <w:tab w:leader="none" w:pos="215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At Will Employment</w:t>
      </w:r>
      <w:r>
        <w:rPr>
          <w:rFonts w:ascii="Arial" w:cs="Arial" w:eastAsia="Arial" w:hAnsi="Arial"/>
          <w:sz w:val="22"/>
          <w:szCs w:val="22"/>
          <w:color w:val="auto"/>
        </w:rPr>
        <w:t xml:space="preserve">. Your employment with NextCure is at will, meaning it may be terminated by you or NextCure at any time, subject to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above, for any reason with or without Cause. You understand that this Agreement is not a contract for employment for a definite term.</w:t>
      </w:r>
    </w:p>
    <w:p>
      <w:pPr>
        <w:spacing w:after="0" w:line="1" w:lineRule="exact"/>
        <w:rPr>
          <w:rFonts w:ascii="Arial" w:cs="Arial" w:eastAsia="Arial" w:hAnsi="Arial"/>
          <w:sz w:val="22"/>
          <w:szCs w:val="22"/>
          <w:color w:val="auto"/>
        </w:rPr>
      </w:pPr>
    </w:p>
    <w:p>
      <w:pPr>
        <w:jc w:val="both"/>
        <w:ind w:left="860" w:right="219" w:firstLine="645"/>
        <w:spacing w:after="0" w:line="243" w:lineRule="auto"/>
        <w:tabs>
          <w:tab w:leader="none" w:pos="215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Confidentiality and Proprietary Rights Agreement</w:t>
      </w:r>
      <w:r>
        <w:rPr>
          <w:rFonts w:ascii="Arial" w:cs="Arial" w:eastAsia="Arial" w:hAnsi="Arial"/>
          <w:sz w:val="22"/>
          <w:szCs w:val="22"/>
          <w:color w:val="auto"/>
        </w:rPr>
        <w:t xml:space="preserve">. This offer of employment is subject to the Confidentiality and Proprietary Rights Agreement attached as </w:t>
      </w:r>
      <w:r>
        <w:rPr>
          <w:rFonts w:ascii="Arial" w:cs="Arial" w:eastAsia="Arial" w:hAnsi="Arial"/>
          <w:sz w:val="22"/>
          <w:szCs w:val="22"/>
          <w:u w:val="single" w:color="auto"/>
          <w:color w:val="auto"/>
        </w:rPr>
        <w:t>Appendix C</w:t>
      </w:r>
      <w:r>
        <w:rPr>
          <w:rFonts w:ascii="Arial" w:cs="Arial" w:eastAsia="Arial" w:hAnsi="Arial"/>
          <w:sz w:val="22"/>
          <w:szCs w:val="22"/>
          <w:color w:val="auto"/>
        </w:rPr>
        <w:t>, which shall be effective as of the date set forth therein.</w:t>
      </w:r>
    </w:p>
    <w:p>
      <w:pPr>
        <w:spacing w:after="0" w:line="1" w:lineRule="exact"/>
        <w:rPr>
          <w:rFonts w:ascii="Arial" w:cs="Arial" w:eastAsia="Arial" w:hAnsi="Arial"/>
          <w:sz w:val="22"/>
          <w:szCs w:val="22"/>
          <w:color w:val="auto"/>
        </w:rPr>
      </w:pPr>
    </w:p>
    <w:p>
      <w:pPr>
        <w:jc w:val="both"/>
        <w:ind w:left="860" w:right="219" w:firstLine="645"/>
        <w:spacing w:after="0" w:line="281" w:lineRule="auto"/>
        <w:tabs>
          <w:tab w:leader="none" w:pos="2156"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No Inconsistent Obligations</w:t>
      </w:r>
      <w:r>
        <w:rPr>
          <w:rFonts w:ascii="Arial" w:cs="Arial" w:eastAsia="Arial" w:hAnsi="Arial"/>
          <w:sz w:val="19"/>
          <w:szCs w:val="19"/>
          <w:color w:val="auto"/>
        </w:rPr>
        <w:t>. By accepting this offer of employment, you represent and warrant to NextCure that you are under no obligations or commitments, whether contractual or otherwise, that are inconsistent with your obligations set forth in this Agreement or that would be violated by your employment by NextCure. You agree that you will not take any action on behalf of NextCure or cause NextCure to take any action that will violate any agreement that you have with a prior employer.</w:t>
      </w:r>
    </w:p>
    <w:p>
      <w:pPr>
        <w:spacing w:after="0" w:line="4" w:lineRule="exact"/>
        <w:rPr>
          <w:rFonts w:ascii="Arial" w:cs="Arial" w:eastAsia="Arial" w:hAnsi="Arial"/>
          <w:sz w:val="19"/>
          <w:szCs w:val="19"/>
          <w:color w:val="auto"/>
        </w:rPr>
      </w:pPr>
    </w:p>
    <w:p>
      <w:pPr>
        <w:ind w:left="2160" w:right="1819" w:hanging="655"/>
        <w:spacing w:after="0" w:line="244" w:lineRule="auto"/>
        <w:tabs>
          <w:tab w:leader="none" w:pos="216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Delayed Commencement Date for Payments and Benefits</w:t>
      </w:r>
      <w:r>
        <w:rPr>
          <w:rFonts w:ascii="Arial" w:cs="Arial" w:eastAsia="Arial" w:hAnsi="Arial"/>
          <w:sz w:val="22"/>
          <w:szCs w:val="22"/>
          <w:color w:val="auto"/>
        </w:rPr>
        <w:t xml:space="preserve">. </w:t>
      </w:r>
      <w:r>
        <w:rPr>
          <w:rFonts w:ascii="Arial" w:cs="Arial" w:eastAsia="Arial" w:hAnsi="Arial"/>
          <w:sz w:val="20"/>
          <w:szCs w:val="20"/>
          <w:color w:val="auto"/>
        </w:rPr>
        <w:t>a.</w:t>
      </w:r>
    </w:p>
    <w:p>
      <w:pPr>
        <w:spacing w:after="0" w:line="183" w:lineRule="exact"/>
        <w:rPr>
          <w:rFonts w:ascii="Arial" w:cs="Arial" w:eastAsia="Arial" w:hAnsi="Arial"/>
          <w:sz w:val="22"/>
          <w:szCs w:val="22"/>
          <w:color w:val="auto"/>
        </w:rPr>
      </w:pPr>
    </w:p>
    <w:p>
      <w:pPr>
        <w:jc w:val="both"/>
        <w:ind w:left="2160" w:right="219"/>
        <w:spacing w:after="0" w:line="280" w:lineRule="auto"/>
        <w:rPr>
          <w:rFonts w:ascii="Arial" w:cs="Arial" w:eastAsia="Arial" w:hAnsi="Arial"/>
          <w:sz w:val="22"/>
          <w:szCs w:val="22"/>
          <w:color w:val="auto"/>
        </w:rPr>
      </w:pPr>
      <w:r>
        <w:rPr>
          <w:rFonts w:ascii="Arial" w:cs="Arial" w:eastAsia="Arial" w:hAnsi="Arial"/>
          <w:sz w:val="19"/>
          <w:szCs w:val="19"/>
          <w:color w:val="auto"/>
        </w:rPr>
        <w:t>The intent of the parties hereto is that payments and benefits under this Agreement comply with, or be exempt from, Section 409A of the Internal Revenue Code of 1986, as amended, and the regulations and guidance promulgated thereunder (collectively “</w:t>
      </w:r>
      <w:r>
        <w:rPr>
          <w:rFonts w:ascii="Arial" w:cs="Arial" w:eastAsia="Arial" w:hAnsi="Arial"/>
          <w:sz w:val="19"/>
          <w:szCs w:val="19"/>
          <w:b w:val="1"/>
          <w:bCs w:val="1"/>
          <w:color w:val="auto"/>
        </w:rPr>
        <w:t>Code Section 409A</w:t>
      </w:r>
      <w:r>
        <w:rPr>
          <w:rFonts w:ascii="Arial" w:cs="Arial" w:eastAsia="Arial" w:hAnsi="Arial"/>
          <w:sz w:val="19"/>
          <w:szCs w:val="19"/>
          <w:color w:val="auto"/>
        </w:rPr>
        <w:t>”) and, accordingly, to the maximum extent permitted, this Agreement shall be interpreted to be in compliance therewith or exempt therefrom. If you notify NextCure (with specificity as to the reason therefor) that you believe that any provision of this Agreement (or of any award of compensation, including equity compensation or benefits) would cause you to incur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314325</wp:posOffset>
            </wp:positionV>
            <wp:extent cx="545211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27" w:name="page128"/>
    <w:bookmarkEnd w:id="127"/>
    <w:p>
      <w:pPr>
        <w:jc w:val="both"/>
        <w:ind w:left="2160" w:right="219"/>
        <w:spacing w:after="0" w:line="278" w:lineRule="auto"/>
        <w:rPr>
          <w:sz w:val="20"/>
          <w:szCs w:val="20"/>
          <w:color w:val="auto"/>
        </w:rPr>
      </w:pPr>
      <w:r>
        <w:rPr>
          <w:rFonts w:ascii="Arial" w:cs="Arial" w:eastAsia="Arial" w:hAnsi="Arial"/>
          <w:sz w:val="19"/>
          <w:szCs w:val="19"/>
          <w:color w:val="auto"/>
        </w:rPr>
        <w:t>additional tax or interest under Code Section 409A and NextCure concurs with such belief or NextCure independently makes such determination, NextCure shall, after consulting with you, reform such provision to try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you and NextCure of the applicable provision without violating the provisions of Code Section 409A.</w:t>
      </w:r>
    </w:p>
    <w:p>
      <w:pPr>
        <w:spacing w:after="0" w:line="156" w:lineRule="exact"/>
        <w:rPr>
          <w:sz w:val="20"/>
          <w:szCs w:val="20"/>
          <w:color w:val="auto"/>
        </w:rPr>
      </w:pPr>
    </w:p>
    <w:p>
      <w:pPr>
        <w:ind w:left="2160"/>
        <w:spacing w:after="0"/>
        <w:tabs>
          <w:tab w:leader="none" w:pos="8620" w:val="left"/>
        </w:tabs>
        <w:rPr>
          <w:sz w:val="20"/>
          <w:szCs w:val="20"/>
          <w:color w:val="auto"/>
        </w:rPr>
      </w:pPr>
      <w:r>
        <w:rPr>
          <w:rFonts w:ascii="Arial" w:cs="Arial" w:eastAsia="Arial" w:hAnsi="Arial"/>
          <w:sz w:val="21"/>
          <w:szCs w:val="21"/>
          <w:color w:val="auto"/>
        </w:rPr>
        <w:t>2.</w:t>
      </w:r>
      <w:r>
        <w:rPr>
          <w:sz w:val="20"/>
          <w:szCs w:val="20"/>
          <w:color w:val="auto"/>
        </w:rPr>
        <w:tab/>
      </w:r>
      <w:r>
        <w:rPr>
          <w:rFonts w:ascii="Arial" w:cs="Arial" w:eastAsia="Arial" w:hAnsi="Arial"/>
          <w:sz w:val="22"/>
          <w:szCs w:val="22"/>
          <w:color w:val="auto"/>
        </w:rPr>
        <w:t>A</w:t>
      </w:r>
    </w:p>
    <w:p>
      <w:pPr>
        <w:spacing w:after="0" w:line="21" w:lineRule="exact"/>
        <w:rPr>
          <w:sz w:val="20"/>
          <w:szCs w:val="20"/>
          <w:color w:val="auto"/>
        </w:rPr>
      </w:pPr>
    </w:p>
    <w:p>
      <w:pPr>
        <w:jc w:val="both"/>
        <w:ind w:left="860" w:right="219"/>
        <w:spacing w:after="0" w:line="274" w:lineRule="auto"/>
        <w:rPr>
          <w:sz w:val="20"/>
          <w:szCs w:val="20"/>
          <w:color w:val="auto"/>
        </w:rPr>
      </w:pPr>
      <w:r>
        <w:rPr>
          <w:rFonts w:ascii="Arial" w:cs="Arial" w:eastAsia="Arial" w:hAnsi="Arial"/>
          <w:sz w:val="19"/>
          <w:szCs w:val="19"/>
          <w:color w:val="auto"/>
        </w:rPr>
        <w:t xml:space="preserve">termination of employment shall not be deemed to have occurred for purposes of any provision of this Agreement providing for the payment of any amounts or benefits upon or following a termination of employment that are considered “nonqualified deferred compensation” under Code Section 409A unless such termination is also a “separation from service” within the meaning of Code Section 409A and, for purposes of any such provision of this Agreement, references to a “termination,” “termination of employment” or like terms shall mean “separation from service.” Notwithstanding any provision to the contrary in this Agreement, no payments or benefits that are considered “nonqualified deferred compensation” under Code Section 409A to which you otherwise become entitled under this Agreement in connection with your termination of employment, shall be made or provided to you prior to the earlier of (i) the expiration of the 6 month period measured from the date of your “separation from service” with NextCure (as such term is defined in Code Section 409A) or (ii) the date of your death, if you are deemed at the time of such separation from service to be a “specified employee” under Code Section 409A and if, in the absence of such delay, the payments would be subject to additional tax under Code Section 409A. Upon the expiration of the applicable Code Section 409A(a)(2) deferral period, all payments and benefits deferred pursuant to this </w:t>
      </w:r>
      <w:r>
        <w:rPr>
          <w:rFonts w:ascii="Arial" w:cs="Arial" w:eastAsia="Arial" w:hAnsi="Arial"/>
          <w:sz w:val="19"/>
          <w:szCs w:val="19"/>
          <w:u w:val="single" w:color="auto"/>
          <w:color w:val="auto"/>
        </w:rPr>
        <w:t>Section 8(b)</w:t>
      </w:r>
      <w:r>
        <w:rPr>
          <w:rFonts w:ascii="Arial" w:cs="Arial" w:eastAsia="Arial" w:hAnsi="Arial"/>
          <w:sz w:val="19"/>
          <w:szCs w:val="19"/>
          <w:color w:val="auto"/>
        </w:rPr>
        <w:t xml:space="preserve"> (whether they would have otherwise been payable in a single sum or in installments in the absence of such deferral) shall be paid or reimbursed to you in a lump sum, and any remaining payments and benefits due under this Agreement shall be paid or provided in accordance with the normal payment dates specified for them herein.</w:t>
      </w:r>
    </w:p>
    <w:p>
      <w:pPr>
        <w:spacing w:after="0" w:line="200" w:lineRule="exact"/>
        <w:rPr>
          <w:sz w:val="20"/>
          <w:szCs w:val="20"/>
          <w:color w:val="auto"/>
        </w:rPr>
      </w:pPr>
    </w:p>
    <w:p>
      <w:pPr>
        <w:spacing w:after="0" w:line="220" w:lineRule="exact"/>
        <w:rPr>
          <w:sz w:val="20"/>
          <w:szCs w:val="20"/>
          <w:color w:val="auto"/>
        </w:rPr>
      </w:pPr>
    </w:p>
    <w:p>
      <w:pPr>
        <w:ind w:left="200" w:right="219" w:firstLine="1305"/>
        <w:spacing w:after="0" w:line="249" w:lineRule="auto"/>
        <w:tabs>
          <w:tab w:leader="none" w:pos="2144" w:val="left"/>
        </w:tabs>
        <w:numPr>
          <w:ilvl w:val="0"/>
          <w:numId w:val="84"/>
        </w:numPr>
        <w:rPr>
          <w:rFonts w:ascii="Arial" w:cs="Arial" w:eastAsia="Arial" w:hAnsi="Arial"/>
          <w:sz w:val="20"/>
          <w:szCs w:val="20"/>
          <w:color w:val="auto"/>
        </w:rPr>
      </w:pPr>
      <w:r>
        <w:rPr>
          <w:rFonts w:ascii="Arial" w:cs="Arial" w:eastAsia="Arial" w:hAnsi="Arial"/>
          <w:sz w:val="21"/>
          <w:szCs w:val="21"/>
          <w:color w:val="auto"/>
        </w:rPr>
        <w:t>For purposes of Code Section 409A, your right to receive any installment payment pursuant to this Agreement shall be treated as a right to receive a series of separate and distinct payments. Whenever a payment under this Agreement specifies a payment period with reference to a number of days (</w:t>
      </w:r>
      <w:r>
        <w:rPr>
          <w:rFonts w:ascii="Arial" w:cs="Arial" w:eastAsia="Arial" w:hAnsi="Arial"/>
          <w:sz w:val="21"/>
          <w:szCs w:val="21"/>
          <w:i w:val="1"/>
          <w:iCs w:val="1"/>
          <w:color w:val="auto"/>
        </w:rPr>
        <w:t>e.g.</w:t>
      </w:r>
      <w:r>
        <w:rPr>
          <w:rFonts w:ascii="Arial" w:cs="Arial" w:eastAsia="Arial" w:hAnsi="Arial"/>
          <w:sz w:val="21"/>
          <w:szCs w:val="21"/>
          <w:color w:val="auto"/>
        </w:rPr>
        <w:t>, “payment shall be made within 30 days following the date of termination”), the actual date of payment within the specified period shall be within the sole discretion of NextCure. Notwithstanding any other provision of this Agreement to the contrary, in no event shall any payment under this Agreement that constitutes “nonqualified deferred compensation” for purposes of Code Section 409A be subject to offset, counterclaim or recoupment by any other amount payable to you unless otherwise permitted by Code Section 409A.</w:t>
      </w:r>
    </w:p>
    <w:p>
      <w:pPr>
        <w:spacing w:after="0" w:line="194" w:lineRule="exact"/>
        <w:rPr>
          <w:rFonts w:ascii="Arial" w:cs="Arial" w:eastAsia="Arial" w:hAnsi="Arial"/>
          <w:sz w:val="20"/>
          <w:szCs w:val="20"/>
          <w:color w:val="auto"/>
        </w:rPr>
      </w:pPr>
    </w:p>
    <w:p>
      <w:pPr>
        <w:ind w:left="200" w:right="219" w:firstLine="1305"/>
        <w:spacing w:after="0" w:line="328" w:lineRule="auto"/>
        <w:tabs>
          <w:tab w:leader="none" w:pos="2144" w:val="left"/>
        </w:tabs>
        <w:numPr>
          <w:ilvl w:val="0"/>
          <w:numId w:val="84"/>
        </w:numPr>
        <w:rPr>
          <w:rFonts w:ascii="Arial" w:cs="Arial" w:eastAsia="Arial" w:hAnsi="Arial"/>
          <w:sz w:val="19"/>
          <w:szCs w:val="19"/>
          <w:color w:val="auto"/>
        </w:rPr>
      </w:pPr>
      <w:r>
        <w:rPr>
          <w:rFonts w:ascii="Arial" w:cs="Arial" w:eastAsia="Arial" w:hAnsi="Arial"/>
          <w:sz w:val="19"/>
          <w:szCs w:val="19"/>
          <w:color w:val="auto"/>
        </w:rPr>
        <w:t>All in-kind benefits provided and expenses eligible for reimbursement under this Agreement shall be provided by NextCure or incurred by you during the time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294640</wp:posOffset>
            </wp:positionV>
            <wp:extent cx="545211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8" w:name="page129"/>
    <w:bookmarkEnd w:id="128"/>
    <w:p>
      <w:pPr>
        <w:jc w:val="both"/>
        <w:ind w:left="200" w:right="219"/>
        <w:spacing w:after="0" w:line="285" w:lineRule="auto"/>
        <w:rPr>
          <w:sz w:val="20"/>
          <w:szCs w:val="20"/>
          <w:color w:val="auto"/>
        </w:rPr>
      </w:pPr>
      <w:r>
        <w:rPr>
          <w:rFonts w:ascii="Arial" w:cs="Arial" w:eastAsia="Arial" w:hAnsi="Arial"/>
          <w:sz w:val="19"/>
          <w:szCs w:val="19"/>
          <w:color w:val="auto"/>
        </w:rPr>
        <w:t>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45" w:lineRule="exact"/>
        <w:rPr>
          <w:sz w:val="20"/>
          <w:szCs w:val="20"/>
          <w:color w:val="auto"/>
        </w:rPr>
      </w:pPr>
    </w:p>
    <w:p>
      <w:pPr>
        <w:jc w:val="both"/>
        <w:ind w:left="200" w:right="219" w:firstLine="1305"/>
        <w:spacing w:after="0" w:line="247" w:lineRule="auto"/>
        <w:tabs>
          <w:tab w:leader="none" w:pos="2144" w:val="left"/>
        </w:tabs>
        <w:numPr>
          <w:ilvl w:val="1"/>
          <w:numId w:val="85"/>
        </w:numPr>
        <w:rPr>
          <w:rFonts w:ascii="Arial" w:cs="Arial" w:eastAsia="Arial" w:hAnsi="Arial"/>
          <w:sz w:val="21"/>
          <w:szCs w:val="21"/>
          <w:color w:val="auto"/>
        </w:rPr>
      </w:pPr>
      <w:r>
        <w:rPr>
          <w:rFonts w:ascii="Arial" w:cs="Arial" w:eastAsia="Arial" w:hAnsi="Arial"/>
          <w:sz w:val="22"/>
          <w:szCs w:val="22"/>
          <w:color w:val="auto"/>
        </w:rPr>
        <w:t>If under this Agreement an amount is to be paid in installments, each installment shall be treated as a separate payment for purposes of Treasury Regulation Section 1.409A-2(b)(2)(iii).</w:t>
      </w:r>
    </w:p>
    <w:p>
      <w:pPr>
        <w:spacing w:after="0" w:line="204" w:lineRule="exact"/>
        <w:rPr>
          <w:rFonts w:ascii="Arial" w:cs="Arial" w:eastAsia="Arial" w:hAnsi="Arial"/>
          <w:sz w:val="21"/>
          <w:szCs w:val="21"/>
          <w:color w:val="auto"/>
        </w:rPr>
      </w:pPr>
    </w:p>
    <w:p>
      <w:pPr>
        <w:jc w:val="both"/>
        <w:ind w:left="200" w:right="219" w:firstLine="657"/>
        <w:spacing w:after="0" w:line="283" w:lineRule="auto"/>
        <w:tabs>
          <w:tab w:leader="none" w:pos="1496"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280G</w:t>
      </w:r>
      <w:r>
        <w:rPr>
          <w:rFonts w:ascii="Arial" w:cs="Arial" w:eastAsia="Arial" w:hAnsi="Arial"/>
          <w:sz w:val="19"/>
          <w:szCs w:val="19"/>
          <w:i w:val="1"/>
          <w:iCs w:val="1"/>
          <w:color w:val="auto"/>
        </w:rPr>
        <w:t>.</w:t>
      </w:r>
      <w:r>
        <w:rPr>
          <w:rFonts w:ascii="Arial" w:cs="Arial" w:eastAsia="Arial" w:hAnsi="Arial"/>
          <w:sz w:val="19"/>
          <w:szCs w:val="19"/>
          <w:color w:val="auto"/>
        </w:rPr>
        <w:t xml:space="preserve"> In the event that the amount of any compensation, payment or distribution by NextCure or its affiliates to or for your benefit,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9"/>
          <w:szCs w:val="19"/>
          <w:b w:val="1"/>
          <w:bCs w:val="1"/>
          <w:color w:val="auto"/>
        </w:rPr>
        <w:t>Aggregate Payments</w:t>
      </w:r>
      <w:r>
        <w:rPr>
          <w:rFonts w:ascii="Arial" w:cs="Arial" w:eastAsia="Arial" w:hAnsi="Arial"/>
          <w:sz w:val="19"/>
          <w:szCs w:val="19"/>
          <w:color w:val="auto"/>
        </w:rPr>
        <w:t>”) would be subject to the excise tax imposed by Section 4999 of the Code, then the Aggregate Payments shall be reduced (but not below zero) so that the sum of all of the Aggregate Payments shall be $1.00 less than the amount at which you become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 1.280G-1, Q&amp;A-24(b) or (c) shall be reduced before any amounts that are subject to calculation under Treasury Regulation §1.280G-1, Q&amp;A- 24(b) or (c). For purposes of this Section 9, the “</w:t>
      </w:r>
      <w:r>
        <w:rPr>
          <w:rFonts w:ascii="Arial" w:cs="Arial" w:eastAsia="Arial" w:hAnsi="Arial"/>
          <w:sz w:val="19"/>
          <w:szCs w:val="19"/>
          <w:b w:val="1"/>
          <w:bCs w:val="1"/>
          <w:color w:val="auto"/>
        </w:rPr>
        <w:t>After Tax Amount</w:t>
      </w:r>
      <w:r>
        <w:rPr>
          <w:rFonts w:ascii="Arial" w:cs="Arial" w:eastAsia="Arial" w:hAnsi="Arial"/>
          <w:sz w:val="19"/>
          <w:szCs w:val="19"/>
          <w:color w:val="auto"/>
        </w:rPr>
        <w:t>” 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this Section 9 shall be made by a nationally recognized accounting firm or a firm specializing in Section 280G calculations selected by NextCure, which shall provide detailed supporting calculations both to NextCure and you. The costs of obtaining such determination and all related fees and expenses (including related fees and expenses incurred in any later audit) shall be borne by NextCure. Notwithstanding the foregoing, if (i) NextCure is not publicly traded prior to the occurrence of a change in control such that the private company exception pursuant to Q &amp; A #7 of the regulations promulgated under Section 280G of the Code is applicable and (ii) you request that NextCure seek shareholder approval of the portion of any payments to be made to you which are parachute payments under Section 280G and exceed 2.99 times your “base amount” (as such term is defined in Section 280G) in order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494030</wp:posOffset>
            </wp:positionV>
            <wp:extent cx="545211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9" w:name="page130"/>
    <w:bookmarkEnd w:id="129"/>
    <w:p>
      <w:pPr>
        <w:jc w:val="both"/>
        <w:ind w:left="200" w:right="219"/>
        <w:spacing w:after="0" w:line="253" w:lineRule="auto"/>
        <w:rPr>
          <w:sz w:val="20"/>
          <w:szCs w:val="20"/>
          <w:color w:val="auto"/>
        </w:rPr>
      </w:pPr>
      <w:r>
        <w:rPr>
          <w:rFonts w:ascii="Arial" w:cs="Arial" w:eastAsia="Arial" w:hAnsi="Arial"/>
          <w:sz w:val="22"/>
          <w:szCs w:val="22"/>
          <w:color w:val="auto"/>
        </w:rPr>
        <w:t>upon obtaining such approval, all of the payments will be exempt from the excise taxes imposed under Sections 280G and 4999 of the Code, NextCure shall use its reasonable best efforts to obtain such approval.</w:t>
      </w:r>
    </w:p>
    <w:p>
      <w:pPr>
        <w:spacing w:after="0" w:line="185" w:lineRule="exact"/>
        <w:rPr>
          <w:sz w:val="20"/>
          <w:szCs w:val="20"/>
          <w:color w:val="auto"/>
        </w:rPr>
      </w:pPr>
    </w:p>
    <w:p>
      <w:pPr>
        <w:ind w:left="860" w:hanging="327"/>
        <w:spacing w:after="0"/>
        <w:tabs>
          <w:tab w:leader="none" w:pos="86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8" w:lineRule="exact"/>
        <w:rPr>
          <w:rFonts w:ascii="Arial" w:cs="Arial" w:eastAsia="Arial" w:hAnsi="Arial"/>
          <w:sz w:val="22"/>
          <w:szCs w:val="22"/>
          <w:color w:val="auto"/>
        </w:rPr>
      </w:pPr>
    </w:p>
    <w:p>
      <w:pPr>
        <w:ind w:left="860" w:right="219" w:firstLine="1293"/>
        <w:spacing w:after="0" w:line="236" w:lineRule="auto"/>
        <w:tabs>
          <w:tab w:leader="none" w:pos="2804" w:val="left"/>
        </w:tabs>
        <w:numPr>
          <w:ilvl w:val="1"/>
          <w:numId w:val="87"/>
        </w:numPr>
        <w:rPr>
          <w:rFonts w:ascii="Arial" w:cs="Arial" w:eastAsia="Arial" w:hAnsi="Arial"/>
          <w:sz w:val="21"/>
          <w:szCs w:val="21"/>
          <w:color w:val="auto"/>
        </w:rPr>
      </w:pPr>
      <w:r>
        <w:rPr>
          <w:rFonts w:ascii="Arial" w:cs="Arial" w:eastAsia="Arial" w:hAnsi="Arial"/>
          <w:sz w:val="22"/>
          <w:szCs w:val="22"/>
          <w:color w:val="auto"/>
        </w:rPr>
        <w:t>This offer of employment is made subject to you having the legal right to work in the United States.</w:t>
      </w:r>
    </w:p>
    <w:p>
      <w:pPr>
        <w:spacing w:after="0" w:line="200" w:lineRule="exact"/>
        <w:rPr>
          <w:rFonts w:ascii="Arial" w:cs="Arial" w:eastAsia="Arial" w:hAnsi="Arial"/>
          <w:sz w:val="21"/>
          <w:szCs w:val="21"/>
          <w:color w:val="auto"/>
        </w:rPr>
      </w:pPr>
    </w:p>
    <w:p>
      <w:pPr>
        <w:jc w:val="both"/>
        <w:ind w:left="860" w:right="219" w:firstLine="1293"/>
        <w:spacing w:after="0"/>
        <w:tabs>
          <w:tab w:leader="none" w:pos="2804" w:val="left"/>
        </w:tabs>
        <w:numPr>
          <w:ilvl w:val="1"/>
          <w:numId w:val="87"/>
        </w:numPr>
        <w:rPr>
          <w:rFonts w:ascii="Arial" w:cs="Arial" w:eastAsia="Arial" w:hAnsi="Arial"/>
          <w:sz w:val="21"/>
          <w:szCs w:val="21"/>
          <w:color w:val="auto"/>
        </w:rPr>
      </w:pPr>
      <w:r>
        <w:rPr>
          <w:rFonts w:ascii="Arial" w:cs="Arial" w:eastAsia="Arial" w:hAnsi="Arial"/>
          <w:sz w:val="22"/>
          <w:szCs w:val="22"/>
          <w:color w:val="auto"/>
        </w:rPr>
        <w:t>Your employment with NextCure is subject to all Company policies and procedures, and NextCure retains the right to change its policies or procedures at any time.</w:t>
      </w:r>
    </w:p>
    <w:p>
      <w:pPr>
        <w:spacing w:after="0" w:line="199" w:lineRule="exact"/>
        <w:rPr>
          <w:rFonts w:ascii="Arial" w:cs="Arial" w:eastAsia="Arial" w:hAnsi="Arial"/>
          <w:sz w:val="21"/>
          <w:szCs w:val="21"/>
          <w:color w:val="auto"/>
        </w:rPr>
      </w:pPr>
    </w:p>
    <w:p>
      <w:pPr>
        <w:jc w:val="both"/>
        <w:ind w:left="860" w:right="219" w:firstLine="1293"/>
        <w:spacing w:after="0"/>
        <w:tabs>
          <w:tab w:leader="none" w:pos="2804" w:val="left"/>
        </w:tabs>
        <w:numPr>
          <w:ilvl w:val="1"/>
          <w:numId w:val="87"/>
        </w:numPr>
        <w:rPr>
          <w:rFonts w:ascii="Arial" w:cs="Arial" w:eastAsia="Arial" w:hAnsi="Arial"/>
          <w:sz w:val="21"/>
          <w:szCs w:val="21"/>
          <w:color w:val="auto"/>
        </w:rPr>
      </w:pPr>
      <w:r>
        <w:rPr>
          <w:rFonts w:ascii="Arial" w:cs="Arial" w:eastAsia="Arial" w:hAnsi="Arial"/>
          <w:sz w:val="22"/>
          <w:szCs w:val="22"/>
          <w:color w:val="auto"/>
        </w:rPr>
        <w:t>This Agreement may be executed in several counterparts, each of which shall be deemed to be an original but all of which together will constitute one and the same instrument.</w:t>
      </w:r>
    </w:p>
    <w:p>
      <w:pPr>
        <w:spacing w:after="0" w:line="199" w:lineRule="exact"/>
        <w:rPr>
          <w:rFonts w:ascii="Arial" w:cs="Arial" w:eastAsia="Arial" w:hAnsi="Arial"/>
          <w:sz w:val="21"/>
          <w:szCs w:val="21"/>
          <w:color w:val="auto"/>
        </w:rPr>
      </w:pPr>
    </w:p>
    <w:p>
      <w:pPr>
        <w:jc w:val="both"/>
        <w:ind w:left="860" w:right="219" w:firstLine="1293"/>
        <w:spacing w:after="0" w:line="282" w:lineRule="auto"/>
        <w:tabs>
          <w:tab w:leader="none" w:pos="2804" w:val="left"/>
        </w:tabs>
        <w:numPr>
          <w:ilvl w:val="1"/>
          <w:numId w:val="87"/>
        </w:numPr>
        <w:rPr>
          <w:rFonts w:ascii="Arial" w:cs="Arial" w:eastAsia="Arial" w:hAnsi="Arial"/>
          <w:sz w:val="19"/>
          <w:szCs w:val="19"/>
          <w:color w:val="auto"/>
        </w:rPr>
      </w:pPr>
      <w:r>
        <w:rPr>
          <w:rFonts w:ascii="Arial" w:cs="Arial" w:eastAsia="Arial" w:hAnsi="Arial"/>
          <w:sz w:val="19"/>
          <w:szCs w:val="19"/>
          <w:color w:val="auto"/>
        </w:rPr>
        <w:t>Neither this Agreement nor any of your rights or obligations hereunder shall be assignable by you. NextCure may assign this Agreement or any of its obligations hereunder to any subsidiary of NextCure, or to any successor (whether by merger, purchase or otherwise) to all or substantially all of the equity, assets or businesses of NextCure. This Agreement is intended to bind and inure to the benefit of and be enforceable to you and NextCure and NextCure’s permitted successors and assigns.</w:t>
      </w:r>
    </w:p>
    <w:p>
      <w:pPr>
        <w:spacing w:after="0" w:line="169" w:lineRule="exact"/>
        <w:rPr>
          <w:sz w:val="20"/>
          <w:szCs w:val="20"/>
          <w:color w:val="auto"/>
        </w:rPr>
      </w:pPr>
    </w:p>
    <w:p>
      <w:pPr>
        <w:ind w:left="2160"/>
        <w:spacing w:after="0"/>
        <w:rPr>
          <w:sz w:val="20"/>
          <w:szCs w:val="20"/>
          <w:color w:val="auto"/>
        </w:rPr>
      </w:pPr>
      <w:r>
        <w:rPr>
          <w:rFonts w:ascii="Arial" w:cs="Arial" w:eastAsia="Arial" w:hAnsi="Arial"/>
          <w:sz w:val="21"/>
          <w:szCs w:val="21"/>
          <w:color w:val="auto"/>
        </w:rPr>
        <w:t>e.</w:t>
      </w:r>
    </w:p>
    <w:p>
      <w:pPr>
        <w:spacing w:after="0" w:line="11" w:lineRule="exact"/>
        <w:rPr>
          <w:sz w:val="20"/>
          <w:szCs w:val="20"/>
          <w:color w:val="auto"/>
        </w:rPr>
      </w:pPr>
    </w:p>
    <w:p>
      <w:pPr>
        <w:jc w:val="both"/>
        <w:ind w:left="860" w:right="219"/>
        <w:spacing w:after="0" w:line="236" w:lineRule="auto"/>
        <w:rPr>
          <w:sz w:val="20"/>
          <w:szCs w:val="20"/>
          <w:color w:val="auto"/>
        </w:rPr>
      </w:pPr>
      <w:r>
        <w:rPr>
          <w:rFonts w:ascii="Arial" w:cs="Arial" w:eastAsia="Arial" w:hAnsi="Arial"/>
          <w:sz w:val="22"/>
          <w:szCs w:val="22"/>
          <w:color w:val="auto"/>
        </w:rPr>
        <w:t>No provision of this Agreement may be modified, waived or discharged unless such waiver, modification or discharge is agreed to in writing and signed by you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93" w:lineRule="exact"/>
        <w:rPr>
          <w:sz w:val="20"/>
          <w:szCs w:val="20"/>
          <w:color w:val="auto"/>
        </w:rPr>
      </w:pPr>
    </w:p>
    <w:p>
      <w:pPr>
        <w:ind w:left="2160"/>
        <w:spacing w:after="0"/>
        <w:rPr>
          <w:sz w:val="20"/>
          <w:szCs w:val="20"/>
          <w:color w:val="auto"/>
        </w:rPr>
      </w:pPr>
      <w:r>
        <w:rPr>
          <w:rFonts w:ascii="Arial" w:cs="Arial" w:eastAsia="Arial" w:hAnsi="Arial"/>
          <w:sz w:val="21"/>
          <w:szCs w:val="21"/>
          <w:color w:val="auto"/>
        </w:rPr>
        <w:t>f.</w:t>
      </w:r>
    </w:p>
    <w:p>
      <w:pPr>
        <w:spacing w:after="0" w:line="23" w:lineRule="exact"/>
        <w:rPr>
          <w:sz w:val="20"/>
          <w:szCs w:val="20"/>
          <w:color w:val="auto"/>
        </w:rPr>
      </w:pPr>
    </w:p>
    <w:p>
      <w:pPr>
        <w:jc w:val="both"/>
        <w:ind w:left="860" w:right="219"/>
        <w:spacing w:after="0" w:line="235" w:lineRule="auto"/>
        <w:rPr>
          <w:sz w:val="20"/>
          <w:szCs w:val="20"/>
          <w:color w:val="auto"/>
        </w:rPr>
      </w:pPr>
      <w:r>
        <w:rPr>
          <w:rFonts w:ascii="Arial" w:cs="Arial" w:eastAsia="Arial" w:hAnsi="Arial"/>
          <w:sz w:val="22"/>
          <w:szCs w:val="22"/>
          <w:color w:val="auto"/>
        </w:rPr>
        <w:t>The validity, interpretation, construction and performance of this Agreement shall be governed by the laws of the State of Maryland without regard to the choice of law principles thereof.</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130" w:name="page131"/>
    <w:bookmarkEnd w:id="130"/>
    <w:p>
      <w:pPr>
        <w:jc w:val="both"/>
        <w:ind w:left="200" w:right="219" w:firstLine="648"/>
        <w:spacing w:after="0" w:line="250" w:lineRule="auto"/>
        <w:rPr>
          <w:sz w:val="20"/>
          <w:szCs w:val="20"/>
          <w:color w:val="auto"/>
        </w:rPr>
      </w:pPr>
      <w:r>
        <w:rPr>
          <w:rFonts w:ascii="Arial" w:cs="Arial" w:eastAsia="Arial" w:hAnsi="Arial"/>
          <w:sz w:val="22"/>
          <w:szCs w:val="22"/>
          <w:color w:val="auto"/>
        </w:rPr>
        <w:t>If the foregoing is acceptable, please indicate your agreement by signing below and returning the original signed Agreement (keeping a copy for your own records) to me on or before []. If you have any further questions or require additional information, please feel free to contact me.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Sincerely,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NEXTCURE, INC.</w:t>
      </w:r>
    </w:p>
    <w:p>
      <w:pPr>
        <w:spacing w:after="0" w:line="200" w:lineRule="exact"/>
        <w:rPr>
          <w:sz w:val="20"/>
          <w:szCs w:val="20"/>
          <w:color w:val="auto"/>
        </w:rPr>
      </w:pPr>
    </w:p>
    <w:p>
      <w:pPr>
        <w:spacing w:after="0" w:line="363"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-17780</wp:posOffset>
            </wp:positionV>
            <wp:extent cx="813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813435" cy="8255"/>
                    </a:xfrm>
                    <a:prstGeom prst="rect">
                      <a:avLst/>
                    </a:prstGeom>
                    <a:noFill/>
                  </pic:spPr>
                </pic:pic>
              </a:graphicData>
            </a:graphic>
          </wp:anchor>
        </w:drawing>
      </w:r>
    </w:p>
    <w:p>
      <w:pPr>
        <w:spacing w:after="0" w:line="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Michael Richman</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/s/ Kevin G.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-17780</wp:posOffset>
            </wp:positionV>
            <wp:extent cx="18757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1875790" cy="8890"/>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Kevin G. Shaw</w:t>
      </w:r>
    </w:p>
    <w:p>
      <w:pPr>
        <w:spacing w:after="0" w:line="25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-17780</wp:posOffset>
            </wp:positionV>
            <wp:extent cx="1117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-17780</wp:posOffset>
            </wp:positionV>
            <wp:extent cx="14554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1455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200" w:type="dxa"/>
        <w:tblCellMar>
          <w:top w:w="0" w:type="dxa"/>
          <w:left w:w="0" w:type="dxa"/>
          <w:bottom w:w="0" w:type="dxa"/>
          <w:right w:w="0" w:type="dxa"/>
        </w:tblCellMar>
      </w:tblPr>
      <w:tr>
        <w:trPr>
          <w:trHeight w:val="257"/>
        </w:trPr>
        <w:tc>
          <w:tcPr>
            <w:tcW w:w="1360" w:type="dxa"/>
            <w:vAlign w:val="bottom"/>
            <w:gridSpan w:val="2"/>
          </w:tcPr>
          <w:p>
            <w:pPr>
              <w:spacing w:after="0"/>
              <w:rPr>
                <w:sz w:val="20"/>
                <w:szCs w:val="20"/>
                <w:color w:val="auto"/>
              </w:rPr>
            </w:pPr>
            <w:r>
              <w:rPr>
                <w:rFonts w:ascii="Arial" w:cs="Arial" w:eastAsia="Arial" w:hAnsi="Arial"/>
                <w:sz w:val="22"/>
                <w:szCs w:val="22"/>
                <w:color w:val="auto"/>
              </w:rPr>
              <w:t>Appendices:</w:t>
            </w:r>
          </w:p>
        </w:tc>
        <w:tc>
          <w:tcPr>
            <w:tcW w:w="7240" w:type="dxa"/>
            <w:vAlign w:val="bottom"/>
          </w:tcPr>
          <w:p>
            <w:pPr>
              <w:ind w:left="260"/>
              <w:spacing w:after="0"/>
              <w:rPr>
                <w:sz w:val="20"/>
                <w:szCs w:val="20"/>
                <w:color w:val="auto"/>
              </w:rPr>
            </w:pPr>
            <w:r>
              <w:rPr>
                <w:rFonts w:ascii="Arial" w:cs="Arial" w:eastAsia="Arial" w:hAnsi="Arial"/>
                <w:sz w:val="22"/>
                <w:szCs w:val="22"/>
                <w:color w:val="auto"/>
              </w:rPr>
              <w:t>Appendix A — Approved Activities</w:t>
            </w:r>
          </w:p>
        </w:tc>
      </w:tr>
      <w:tr>
        <w:trPr>
          <w:trHeight w:val="257"/>
        </w:trPr>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240" w:type="dxa"/>
            <w:vAlign w:val="bottom"/>
          </w:tcPr>
          <w:p>
            <w:pPr>
              <w:ind w:left="260"/>
              <w:spacing w:after="0"/>
              <w:rPr>
                <w:sz w:val="20"/>
                <w:szCs w:val="20"/>
                <w:color w:val="auto"/>
              </w:rPr>
            </w:pPr>
            <w:r>
              <w:rPr>
                <w:rFonts w:ascii="Arial" w:cs="Arial" w:eastAsia="Arial" w:hAnsi="Arial"/>
                <w:sz w:val="22"/>
                <w:szCs w:val="22"/>
                <w:color w:val="auto"/>
              </w:rPr>
              <w:t>Appendix B — Separation Agreement and General Release</w:t>
            </w:r>
          </w:p>
        </w:tc>
      </w:tr>
      <w:tr>
        <w:trPr>
          <w:trHeight w:val="274"/>
        </w:trPr>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7240" w:type="dxa"/>
            <w:vAlign w:val="bottom"/>
          </w:tcPr>
          <w:p>
            <w:pPr>
              <w:ind w:left="260"/>
              <w:spacing w:after="0"/>
              <w:rPr>
                <w:sz w:val="20"/>
                <w:szCs w:val="20"/>
                <w:color w:val="auto"/>
              </w:rPr>
            </w:pPr>
            <w:r>
              <w:rPr>
                <w:rFonts w:ascii="Arial" w:cs="Arial" w:eastAsia="Arial" w:hAnsi="Arial"/>
                <w:sz w:val="22"/>
                <w:szCs w:val="22"/>
                <w:color w:val="auto"/>
              </w:rPr>
              <w:t>Appendix C — Confidentiality and Proprietary Rights Agreement</w:t>
            </w:r>
          </w:p>
        </w:tc>
      </w:tr>
      <w:tr>
        <w:trPr>
          <w:trHeight w:val="550"/>
        </w:trPr>
        <w:tc>
          <w:tcPr>
            <w:tcW w:w="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2" w:right="1440" w:bottom="1440" w:gutter="0" w:footer="0" w:header="0"/>
        </w:sectPr>
      </w:pPr>
    </w:p>
    <w:bookmarkStart w:id="131" w:name="page132"/>
    <w:bookmarkEnd w:id="131"/>
    <w:p>
      <w:pPr>
        <w:jc w:val="right"/>
        <w:ind w:right="219"/>
        <w:spacing w:after="0"/>
        <w:rPr>
          <w:sz w:val="20"/>
          <w:szCs w:val="20"/>
          <w:color w:val="auto"/>
        </w:rPr>
      </w:pPr>
      <w:r>
        <w:rPr>
          <w:rFonts w:ascii="Arial" w:cs="Arial" w:eastAsia="Arial" w:hAnsi="Arial"/>
          <w:sz w:val="20"/>
          <w:szCs w:val="20"/>
          <w:b w:val="1"/>
          <w:bCs w:val="1"/>
          <w:color w:val="auto"/>
        </w:rPr>
        <w:t>Exhibit 23.1</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337" w:lineRule="exact"/>
        <w:rPr>
          <w:sz w:val="20"/>
          <w:szCs w:val="20"/>
          <w:color w:val="auto"/>
        </w:rPr>
      </w:pPr>
    </w:p>
    <w:p>
      <w:pPr>
        <w:ind w:left="860" w:right="1059" w:hanging="327"/>
        <w:spacing w:after="0" w:line="317" w:lineRule="auto"/>
        <w:tabs>
          <w:tab w:leader="none" w:pos="8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Registration Statement (Form S-8 No. 333-231438) pertaining to the NextCure, Inc. 2019 Employee Stock Purchase Plan,</w:t>
      </w:r>
    </w:p>
    <w:p>
      <w:pPr>
        <w:spacing w:after="0" w:line="242" w:lineRule="exact"/>
        <w:rPr>
          <w:rFonts w:ascii="Arial" w:cs="Arial" w:eastAsia="Arial" w:hAnsi="Arial"/>
          <w:sz w:val="20"/>
          <w:szCs w:val="20"/>
          <w:color w:val="auto"/>
        </w:rPr>
      </w:pPr>
    </w:p>
    <w:p>
      <w:pPr>
        <w:ind w:left="860" w:right="279" w:hanging="327"/>
        <w:spacing w:after="0" w:line="317" w:lineRule="auto"/>
        <w:tabs>
          <w:tab w:leader="none" w:pos="8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Registration Statement (Form S-8 No. 333-231436) pertaining to the NextCure, Inc. 2015 Omnibus Incentive Plan and the NextCure, Inc. 2019 Omnibus Incentive Plan,</w:t>
      </w:r>
    </w:p>
    <w:p>
      <w:pPr>
        <w:spacing w:after="0" w:line="188" w:lineRule="exact"/>
        <w:rPr>
          <w:rFonts w:ascii="Arial" w:cs="Arial" w:eastAsia="Arial" w:hAnsi="Arial"/>
          <w:sz w:val="20"/>
          <w:szCs w:val="20"/>
          <w:color w:val="auto"/>
        </w:rPr>
      </w:pPr>
    </w:p>
    <w:p>
      <w:pPr>
        <w:ind w:left="860" w:right="1059" w:hanging="327"/>
        <w:spacing w:after="0" w:line="317" w:lineRule="auto"/>
        <w:tabs>
          <w:tab w:leader="none" w:pos="8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Registration Statement (Form S-8 No. 333-260776) pertaining to the NextCure, Inc. 2019 Employee Stock Purchase Plan,</w:t>
      </w:r>
    </w:p>
    <w:p>
      <w:pPr>
        <w:spacing w:after="0" w:line="188" w:lineRule="exact"/>
        <w:rPr>
          <w:rFonts w:ascii="Arial" w:cs="Arial" w:eastAsia="Arial" w:hAnsi="Arial"/>
          <w:sz w:val="20"/>
          <w:szCs w:val="20"/>
          <w:color w:val="auto"/>
        </w:rPr>
      </w:pPr>
    </w:p>
    <w:p>
      <w:pPr>
        <w:ind w:left="860" w:right="279" w:hanging="327"/>
        <w:spacing w:after="0" w:line="317" w:lineRule="auto"/>
        <w:tabs>
          <w:tab w:leader="none" w:pos="8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Registration Statement (Form S-8 No. 333-260779) pertaining to the NextCure, Inc. 2019 Omnibus Incentive Plan, and</w:t>
      </w:r>
    </w:p>
    <w:p>
      <w:pPr>
        <w:spacing w:after="0" w:line="188" w:lineRule="exact"/>
        <w:rPr>
          <w:rFonts w:ascii="Arial" w:cs="Arial" w:eastAsia="Arial" w:hAnsi="Arial"/>
          <w:sz w:val="20"/>
          <w:szCs w:val="20"/>
          <w:color w:val="auto"/>
        </w:rPr>
      </w:pPr>
    </w:p>
    <w:p>
      <w:pPr>
        <w:ind w:left="860" w:hanging="327"/>
        <w:spacing w:after="0"/>
        <w:tabs>
          <w:tab w:leader="none" w:pos="8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Registration Statement (Form S-3 No. 333-241706) of NextCure, Inc.;</w:t>
      </w:r>
    </w:p>
    <w:p>
      <w:pPr>
        <w:spacing w:after="0" w:line="283" w:lineRule="exact"/>
        <w:rPr>
          <w:sz w:val="20"/>
          <w:szCs w:val="20"/>
          <w:color w:val="auto"/>
        </w:rPr>
      </w:pPr>
    </w:p>
    <w:p>
      <w:pPr>
        <w:ind w:left="200" w:right="239"/>
        <w:spacing w:after="0" w:line="331" w:lineRule="auto"/>
        <w:rPr>
          <w:sz w:val="20"/>
          <w:szCs w:val="20"/>
          <w:color w:val="auto"/>
        </w:rPr>
      </w:pPr>
      <w:r>
        <w:rPr>
          <w:rFonts w:ascii="Arial" w:cs="Arial" w:eastAsia="Arial" w:hAnsi="Arial"/>
          <w:sz w:val="19"/>
          <w:szCs w:val="19"/>
          <w:color w:val="auto"/>
        </w:rPr>
        <w:t>of our report dated March 2, 2023, with respect to the financial statements of NextCure, Inc. included in this Annual Report (Form 10-K) of NextCure, Inc. for the year ended December 31, 2022.</w:t>
      </w:r>
    </w:p>
    <w:p>
      <w:pPr>
        <w:spacing w:after="0" w:line="38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/s/ Ernst &amp; Young LLP</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20"/>
          <w:szCs w:val="20"/>
          <w:color w:val="auto"/>
        </w:rPr>
        <w:t>Baltimore, Maryland</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20"/>
          <w:szCs w:val="20"/>
          <w:color w:val="auto"/>
        </w:rPr>
        <w:t>March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480060</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Richman, certify that:</w:t>
      </w:r>
    </w:p>
    <w:p>
      <w:pPr>
        <w:spacing w:after="0" w:line="225" w:lineRule="exact"/>
        <w:rPr>
          <w:sz w:val="20"/>
          <w:szCs w:val="20"/>
          <w:color w:val="auto"/>
        </w:rPr>
      </w:pPr>
    </w:p>
    <w:p>
      <w:pPr>
        <w:ind w:left="640" w:hanging="308"/>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NextCure,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51"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8"/>
        <w:spacing w:after="0" w:line="263" w:lineRule="auto"/>
        <w:tabs>
          <w:tab w:leader="none" w:pos="651"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320"/>
        <w:spacing w:after="0" w:line="259"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320"/>
        <w:spacing w:after="0" w:line="311" w:lineRule="auto"/>
        <w:tabs>
          <w:tab w:leader="none" w:pos="13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320"/>
        <w:spacing w:after="0" w:line="263"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80" w:hanging="320"/>
        <w:spacing w:after="0" w:line="259" w:lineRule="auto"/>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580" w:hanging="328"/>
        <w:spacing w:after="0" w:line="263" w:lineRule="auto"/>
        <w:tabs>
          <w:tab w:leader="none" w:pos="6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spacing w:after="0" w:line="263" w:lineRule="auto"/>
        <w:tabs>
          <w:tab w:leader="none" w:pos="1305"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spacing w:after="0" w:line="277" w:lineRule="auto"/>
        <w:tabs>
          <w:tab w:leader="none" w:pos="1315"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375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P. Cobourn, certify that:</w:t>
      </w:r>
    </w:p>
    <w:p>
      <w:pPr>
        <w:spacing w:after="0" w:line="225" w:lineRule="exact"/>
        <w:rPr>
          <w:sz w:val="20"/>
          <w:szCs w:val="20"/>
          <w:color w:val="auto"/>
        </w:rPr>
      </w:pPr>
    </w:p>
    <w:p>
      <w:pPr>
        <w:ind w:left="640" w:hanging="308"/>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NextCure,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51"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8"/>
        <w:spacing w:after="0" w:line="263" w:lineRule="auto"/>
        <w:tabs>
          <w:tab w:leader="none" w:pos="651"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320"/>
        <w:spacing w:after="0" w:line="259" w:lineRule="auto"/>
        <w:tabs>
          <w:tab w:leader="none" w:pos="13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320"/>
        <w:spacing w:after="0" w:line="311" w:lineRule="auto"/>
        <w:tabs>
          <w:tab w:leader="none" w:pos="13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320"/>
        <w:spacing w:after="0" w:line="263" w:lineRule="auto"/>
        <w:tabs>
          <w:tab w:leader="none" w:pos="13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80" w:hanging="320"/>
        <w:spacing w:after="0" w:line="259" w:lineRule="auto"/>
        <w:tabs>
          <w:tab w:leader="none" w:pos="13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580" w:hanging="328"/>
        <w:spacing w:after="0" w:line="263" w:lineRule="auto"/>
        <w:tabs>
          <w:tab w:leader="none" w:pos="6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spacing w:after="0" w:line="263" w:lineRule="auto"/>
        <w:tabs>
          <w:tab w:leader="none" w:pos="1305"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spacing w:after="0" w:line="277" w:lineRule="auto"/>
        <w:tabs>
          <w:tab w:leader="none" w:pos="1315"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375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the Annual Report on Form 10-K of NextCure, Inc. (the “Company”) for the year ended December 31, 2022, as filed with the Securities and Exchange Commission on the date hereof (the “Report”), the undersigned each hereby certifies pursuant to 18 U.S.C. Section 1350, as adopted pursuant to Section 906 of the Sarbanes-Oxley Act of 2002, that to the best of his knowledge, on the date hereof:</w:t>
      </w:r>
    </w:p>
    <w:p>
      <w:pPr>
        <w:spacing w:after="0" w:line="187" w:lineRule="exact"/>
        <w:rPr>
          <w:sz w:val="20"/>
          <w:szCs w:val="20"/>
          <w:color w:val="auto"/>
        </w:rPr>
      </w:pPr>
    </w:p>
    <w:p>
      <w:pPr>
        <w:ind w:left="1000" w:hanging="344"/>
        <w:spacing w:after="0"/>
        <w:tabs>
          <w:tab w:leader="none" w:pos="10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right="560" w:hanging="324"/>
        <w:spacing w:after="0" w:line="277" w:lineRule="auto"/>
        <w:tabs>
          <w:tab w:leader="none" w:pos="100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Dated: March 2, 2023</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Dated: March 2, 2023</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1)"/>
      <w:numFmt w:val="lowerRoman"/>
      <w:start w:val="2"/>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1)"/>
      <w:numFmt w:val="lowerRoman"/>
      <w:start w:val="2"/>
    </w:lvl>
  </w:abstractNum>
  <w:abstractNum w:abstractNumId="59">
    <w:nsid w:val="51D9C564"/>
    <w:multiLevelType w:val="hybridMultilevel"/>
    <w:lvl w:ilvl="0">
      <w:lvlJc w:val="left"/>
      <w:lvlText w:val="%1."/>
      <w:numFmt w:val="decimal"/>
      <w:start w:val="842"/>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1:"/>
      <w:numFmt w:val="decimal"/>
      <w:start w:val="2"/>
    </w:lvl>
  </w:abstractNum>
  <w:abstractNum w:abstractNumId="62">
    <w:nsid w:val="11447B73"/>
    <w:multiLevelType w:val="hybridMultilevel"/>
    <w:lvl w:ilvl="0">
      <w:lvlJc w:val="left"/>
      <w:lvlText w:val="*"/>
      <w:numFmt w:val="bullet"/>
      <w:start w:val="1"/>
    </w:lvl>
    <w:lvl w:ilvl="1">
      <w:lvlJc w:val="left"/>
      <w:lvlText w:val="%2"/>
      <w:numFmt w:val="decimal"/>
      <w:start w:val="104"/>
    </w:lvl>
  </w:abstractNum>
  <w:abstractNum w:abstractNumId="63">
    <w:nsid w:val="42963E5A"/>
    <w:multiLevelType w:val="hybridMultilevel"/>
    <w:lvl w:ilvl="0">
      <w:lvlJc w:val="left"/>
      <w:lvlText w:val="%1."/>
      <w:numFmt w:val="upperLetter"/>
      <w:start w:val="1"/>
    </w:lvl>
  </w:abstractNum>
  <w:abstractNum w:abstractNumId="64">
    <w:nsid w:val="A0382C5"/>
    <w:multiLevelType w:val="hybridMultilevel"/>
    <w:lvl w:ilvl="0">
      <w:lvlJc w:val="left"/>
      <w:lvlText w:val="%1."/>
      <w:numFmt w:val="decimal"/>
      <w:start w:val="1"/>
    </w:lvl>
  </w:abstractNum>
  <w:abstractNum w:abstractNumId="65">
    <w:nsid w:val="8F2B15E"/>
    <w:multiLevelType w:val="hybridMultilevel"/>
    <w:lvl w:ilvl="0">
      <w:lvlJc w:val="left"/>
      <w:lvlText w:val="%1."/>
      <w:numFmt w:val="decimal"/>
      <w:start w:val="3"/>
    </w:lvl>
  </w:abstractNum>
  <w:abstractNum w:abstractNumId="66">
    <w:nsid w:val="1A32234B"/>
    <w:multiLevelType w:val="hybridMultilevel"/>
    <w:lvl w:ilvl="0">
      <w:lvlJc w:val="left"/>
      <w:lvlText w:val="%1"/>
      <w:numFmt w:val="decimal"/>
      <w:start w:val="1"/>
    </w:lvl>
    <w:lvl w:ilvl="1">
      <w:lvlJc w:val="left"/>
      <w:lvlText w:val="[***]"/>
      <w:numFmt w:val="bullet"/>
      <w:start w:val="1"/>
    </w:lvl>
    <w:lvl w:ilvl="2">
      <w:lvlJc w:val="left"/>
      <w:lvlText w:val="%3."/>
      <w:numFmt w:val="lowerLetter"/>
      <w:start w:val="5"/>
    </w:lvl>
  </w:abstractNum>
  <w:abstractNum w:abstractNumId="67">
    <w:nsid w:val="3B0FD379"/>
    <w:multiLevelType w:val="hybridMultilevel"/>
    <w:lvl w:ilvl="0">
      <w:lvlJc w:val="left"/>
      <w:lvlText w:val="%1."/>
      <w:numFmt w:val="decimal"/>
      <w:start w:val="4"/>
    </w:lvl>
    <w:lvl w:ilvl="1">
      <w:lvlJc w:val="left"/>
      <w:lvlText w:val="[***]"/>
      <w:numFmt w:val="bullet"/>
      <w:start w:val="1"/>
    </w:lvl>
    <w:lvl w:ilvl="2">
      <w:lvlJc w:val="left"/>
      <w:lvlText w:val="%3"/>
      <w:numFmt w:val="lowerLetter"/>
      <w:start w:val="1"/>
    </w:lvl>
  </w:abstractNum>
  <w:abstractNum w:abstractNumId="68">
    <w:nsid w:val="68EB2F63"/>
    <w:multiLevelType w:val="hybridMultilevel"/>
    <w:lvl w:ilvl="0">
      <w:lvlJc w:val="left"/>
      <w:lvlText w:val="%1."/>
      <w:numFmt w:val="lowerLetter"/>
      <w:start w:val="1"/>
    </w:lvl>
  </w:abstractNum>
  <w:abstractNum w:abstractNumId="69">
    <w:nsid w:val="4962813B"/>
    <w:multiLevelType w:val="hybridMultilevel"/>
    <w:lvl w:ilvl="0">
      <w:lvlJc w:val="left"/>
      <w:lvlText w:val="%1."/>
      <w:numFmt w:val="lowerLetter"/>
      <w:start w:val="5"/>
    </w:lvl>
  </w:abstractNum>
  <w:abstractNum w:abstractNumId="70">
    <w:nsid w:val="60B6DF70"/>
    <w:multiLevelType w:val="hybridMultilevel"/>
    <w:lvl w:ilvl="0">
      <w:lvlJc w:val="left"/>
      <w:lvlText w:val="%1."/>
      <w:numFmt w:val="decimal"/>
      <w:start w:val="1"/>
    </w:lvl>
  </w:abstractNum>
  <w:abstractNum w:abstractNumId="71">
    <w:nsid w:val="6A5EE64"/>
    <w:multiLevelType w:val="hybridMultilevel"/>
    <w:lvl w:ilvl="0">
      <w:lvlJc w:val="left"/>
      <w:lvlText w:val="%1."/>
      <w:numFmt w:val="decimal"/>
      <w:start w:val="2"/>
    </w:lvl>
  </w:abstractNum>
  <w:abstractNum w:abstractNumId="72">
    <w:nsid w:val="14330624"/>
    <w:multiLevelType w:val="hybridMultilevel"/>
    <w:lvl w:ilvl="0">
      <w:lvlJc w:val="left"/>
      <w:lvlText w:val="%1."/>
      <w:numFmt w:val="decimal"/>
      <w:start w:val="4"/>
    </w:lvl>
  </w:abstractNum>
  <w:abstractNum w:abstractNumId="73">
    <w:nsid w:val="7FFFCA11"/>
    <w:multiLevelType w:val="hybridMultilevel"/>
    <w:lvl w:ilvl="0">
      <w:lvlJc w:val="left"/>
      <w:lvlText w:val="%1."/>
      <w:numFmt w:val="upperLetter"/>
      <w:start w:val="1"/>
    </w:lvl>
  </w:abstractNum>
  <w:abstractNum w:abstractNumId="74">
    <w:nsid w:val="1A27709E"/>
    <w:multiLevelType w:val="hybridMultilevel"/>
    <w:lvl w:ilvl="0">
      <w:lvlJc w:val="left"/>
      <w:lvlText w:val="%1."/>
      <w:numFmt w:val="decimal"/>
      <w:start w:val="1"/>
    </w:lvl>
    <w:lvl w:ilvl="1">
      <w:lvlJc w:val="left"/>
      <w:lvlText w:val="%2."/>
      <w:numFmt w:val="lowerLetter"/>
      <w:start w:val="1"/>
    </w:lvl>
  </w:abstractNum>
  <w:abstractNum w:abstractNumId="75">
    <w:nsid w:val="71EA1109"/>
    <w:multiLevelType w:val="hybridMultilevel"/>
    <w:lvl w:ilvl="0">
      <w:lvlJc w:val="left"/>
      <w:lvlText w:val="%1."/>
      <w:numFmt w:val="lowerLetter"/>
      <w:start w:val="4"/>
    </w:lvl>
  </w:abstractNum>
  <w:abstractNum w:abstractNumId="76">
    <w:nsid w:val="100F59DC"/>
    <w:multiLevelType w:val="hybridMultilevel"/>
    <w:lvl w:ilvl="0">
      <w:lvlJc w:val="left"/>
      <w:lvlText w:val="%1."/>
      <w:numFmt w:val="decimal"/>
      <w:start w:val="1"/>
    </w:lvl>
    <w:lvl w:ilvl="1">
      <w:lvlJc w:val="left"/>
      <w:lvlText w:val="%2."/>
      <w:numFmt w:val="lowerLetter"/>
      <w:start w:val="1"/>
    </w:lvl>
  </w:abstractNum>
  <w:abstractNum w:abstractNumId="77">
    <w:nsid w:val="7FB7E0AA"/>
    <w:multiLevelType w:val="hybridMultilevel"/>
    <w:lvl w:ilvl="0">
      <w:lvlJc w:val="left"/>
      <w:lvlText w:val="%1"/>
      <w:numFmt w:val="decimal"/>
      <w:start w:val="1"/>
    </w:lvl>
    <w:lvl w:ilvl="1">
      <w:lvlJc w:val="left"/>
      <w:lvlText w:val="%2."/>
      <w:numFmt w:val="lowerLetter"/>
      <w:start w:val="3"/>
    </w:lvl>
  </w:abstractNum>
  <w:abstractNum w:abstractNumId="78">
    <w:nsid w:val="6EB5BD4"/>
    <w:multiLevelType w:val="hybridMultilevel"/>
    <w:lvl w:ilvl="0">
      <w:lvlJc w:val="left"/>
      <w:lvlText w:val="%1."/>
      <w:numFmt w:val="decimal"/>
      <w:start w:val="3"/>
    </w:lvl>
    <w:lvl w:ilvl="1">
      <w:lvlJc w:val="left"/>
      <w:lvlText w:val="%2."/>
      <w:numFmt w:val="lowerLetter"/>
      <w:start w:val="1"/>
    </w:lvl>
  </w:abstractNum>
  <w:abstractNum w:abstractNumId="79">
    <w:nsid w:val="6F6DD9AC"/>
    <w:multiLevelType w:val="hybridMultilevel"/>
    <w:lvl w:ilvl="0">
      <w:lvlJc w:val="left"/>
      <w:lvlText w:val="%1."/>
      <w:numFmt w:val="decimal"/>
      <w:start w:val="4"/>
    </w:lvl>
    <w:lvl w:ilvl="1">
      <w:lvlJc w:val="left"/>
      <w:lvlText w:val="%2"/>
      <w:numFmt w:val="lowerLetter"/>
      <w:start w:val="1"/>
    </w:lvl>
  </w:abstractNum>
  <w:abstractNum w:abstractNumId="80">
    <w:nsid w:val="94211F2"/>
    <w:multiLevelType w:val="hybridMultilevel"/>
    <w:lvl w:ilvl="0">
      <w:lvlJc w:val="left"/>
      <w:lvlText w:val="(%1)"/>
      <w:numFmt w:val="lowerRoman"/>
      <w:start w:val="2"/>
    </w:lvl>
    <w:lvl w:ilvl="1">
      <w:lvlJc w:val="left"/>
      <w:lvlText w:val="%2"/>
      <w:numFmt w:val="lowerLetter"/>
      <w:start w:val="1"/>
    </w:lvl>
  </w:abstractNum>
  <w:abstractNum w:abstractNumId="81">
    <w:nsid w:val="885E1B"/>
    <w:multiLevelType w:val="hybridMultilevel"/>
    <w:lvl w:ilvl="0">
      <w:lvlJc w:val="left"/>
      <w:lvlText w:val="%1"/>
      <w:numFmt w:val="decimal"/>
      <w:start w:val="1"/>
    </w:lvl>
    <w:lvl w:ilvl="1">
      <w:lvlJc w:val="left"/>
      <w:lvlText w:val="%2."/>
      <w:numFmt w:val="lowerLetter"/>
      <w:start w:val="3"/>
    </w:lvl>
  </w:abstractNum>
  <w:abstractNum w:abstractNumId="82">
    <w:nsid w:val="76272110"/>
    <w:multiLevelType w:val="hybridMultilevel"/>
    <w:lvl w:ilvl="0">
      <w:lvlJc w:val="left"/>
      <w:lvlText w:val="%1."/>
      <w:numFmt w:val="decimal"/>
      <w:start w:val="5"/>
    </w:lvl>
    <w:lvl w:ilvl="1">
      <w:lvlJc w:val="left"/>
      <w:lvlText w:val="%2"/>
      <w:numFmt w:val="lowerLetter"/>
      <w:start w:val="1"/>
    </w:lvl>
  </w:abstractNum>
  <w:abstractNum w:abstractNumId="83">
    <w:nsid w:val="4C04A8AF"/>
    <w:multiLevelType w:val="hybridMultilevel"/>
    <w:lvl w:ilvl="0">
      <w:lvlJc w:val="left"/>
      <w:lvlText w:val="%1."/>
      <w:numFmt w:val="lowerLetter"/>
      <w:start w:val="3"/>
    </w:lvl>
  </w:abstractNum>
  <w:abstractNum w:abstractNumId="84">
    <w:nsid w:val="1716703B"/>
    <w:multiLevelType w:val="hybridMultilevel"/>
    <w:lvl w:ilvl="0">
      <w:lvlJc w:val="left"/>
      <w:lvlText w:val="%1"/>
      <w:numFmt w:val="decimal"/>
      <w:start w:val="1"/>
    </w:lvl>
    <w:lvl w:ilvl="1">
      <w:lvlJc w:val="left"/>
      <w:lvlText w:val="%2."/>
      <w:numFmt w:val="lowerLetter"/>
      <w:start w:val="5"/>
    </w:lvl>
  </w:abstractNum>
  <w:abstractNum w:abstractNumId="85">
    <w:nsid w:val="14E17E33"/>
    <w:multiLevelType w:val="hybridMultilevel"/>
    <w:lvl w:ilvl="0">
      <w:lvlJc w:val="left"/>
      <w:lvlText w:val="%1."/>
      <w:numFmt w:val="decimal"/>
      <w:start w:val="9"/>
    </w:lvl>
    <w:lvl w:ilvl="1">
      <w:lvlJc w:val="left"/>
      <w:lvlText w:val="%2"/>
      <w:numFmt w:val="lowerLetter"/>
      <w:start w:val="1"/>
    </w:lvl>
  </w:abstractNum>
  <w:abstractNum w:abstractNumId="86">
    <w:nsid w:val="3222E7CD"/>
    <w:multiLevelType w:val="hybridMultilevel"/>
    <w:lvl w:ilvl="0">
      <w:lvlJc w:val="left"/>
      <w:lvlText w:val="%1."/>
      <w:numFmt w:val="decimal"/>
      <w:start w:val="10"/>
    </w:lvl>
    <w:lvl w:ilvl="1">
      <w:lvlJc w:val="left"/>
      <w:lvlText w:val="%2."/>
      <w:numFmt w:val="lowerLetter"/>
      <w:start w:val="1"/>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lvl w:ilvl="1">
      <w:lvlJc w:val="left"/>
      <w:lvlText w:val="(%2)"/>
      <w:numFmt w:val="lowerLetter"/>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30" Type="http://schemas.openxmlformats.org/officeDocument/2006/relationships/image" Target="media/image120.png"/><Relationship Id="rId146"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jpe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27" Type="http://schemas.openxmlformats.org/officeDocument/2006/relationships/hyperlink" Target="http://www.sec.gov/Archives/edgar/data/1661059/000104746919003060/a2238817zex-3_1.htm" TargetMode="External"/><Relationship Id="rId128" Type="http://schemas.openxmlformats.org/officeDocument/2006/relationships/hyperlink" Target="http://www.sec.gov/Archives/edgar/data/1661059/000104746919003060/a2238817zex-3_2.htm" TargetMode="External"/><Relationship Id="rId129" Type="http://schemas.openxmlformats.org/officeDocument/2006/relationships/hyperlink" Target="http://www.sec.gov/Archives/edgar/data/1661059/000104746919002203/a2238441zex-4_1.htm" TargetMode="External"/><Relationship Id="rId131" Type="http://schemas.openxmlformats.org/officeDocument/2006/relationships/hyperlink" Target="https://www.sec.gov/Archives/edgar/data/1661059/000155837020002566/nxtc-20191231ex42d841f91.htm" TargetMode="External"/><Relationship Id="rId132" Type="http://schemas.openxmlformats.org/officeDocument/2006/relationships/hyperlink" Target="http://www.sec.gov/Archives/edgar/data/1661059/000104746919002203/a2238441zex-10_1.htm" TargetMode="External"/><Relationship Id="rId133" Type="http://schemas.openxmlformats.org/officeDocument/2006/relationships/hyperlink" Target="http://www.sec.gov/Archives/edgar/data/1661059/000104746919002203/a2238441zex-10_2.htm" TargetMode="External"/><Relationship Id="rId134" Type="http://schemas.openxmlformats.org/officeDocument/2006/relationships/hyperlink" Target="https://www.sec.gov/Archives/edgar/data/0001661059/000155837021002384/nxtc-20201231ex10322e166.htm" TargetMode="External"/><Relationship Id="rId135" Type="http://schemas.openxmlformats.org/officeDocument/2006/relationships/hyperlink" Target="https://www.sec.gov/Archives/edgar/data/1661059/000104746919002203/a2238441zex-10_6.htm" TargetMode="External"/><Relationship Id="rId136" Type="http://schemas.openxmlformats.org/officeDocument/2006/relationships/hyperlink" Target="http://www.sec.gov/Archives/edgar/data/1661059/000104746919002203/a2238441zex-10_7.htm" TargetMode="External"/><Relationship Id="rId137" Type="http://schemas.openxmlformats.org/officeDocument/2006/relationships/hyperlink" Target="http://www.sec.gov/Archives/edgar/data/1661059/000104746919002652/a2238596zex-10_8.htm" TargetMode="External"/><Relationship Id="rId138" Type="http://schemas.openxmlformats.org/officeDocument/2006/relationships/hyperlink" Target="http://www.sec.gov/Archives/edgar/data/1661059/000104746919002652/a2238596zex-10_9.htm" TargetMode="External"/><Relationship Id="rId139" Type="http://schemas.openxmlformats.org/officeDocument/2006/relationships/hyperlink" Target="http://www.sec.gov/Archives/edgar/data/1661059/000104746919002652/a2238596zex-10_10.htm" TargetMode="External"/><Relationship Id="rId140" Type="http://schemas.openxmlformats.org/officeDocument/2006/relationships/hyperlink" Target="http://www.sec.gov/Archives/edgar/data/1661059/000104746919002652/a2238596zex-10_11.htm" TargetMode="External"/><Relationship Id="rId141" Type="http://schemas.openxmlformats.org/officeDocument/2006/relationships/hyperlink" Target="http://www.sec.gov/Archives/edgar/data/1661059/000104746919002652/a2238596zex-10_12.htm" TargetMode="External"/><Relationship Id="rId142" Type="http://schemas.openxmlformats.org/officeDocument/2006/relationships/hyperlink" Target="https://www.sec.gov/Archives/edgar/data/1661059/000110465920104856/tm2030788d1_ex10-1.htm" TargetMode="External"/><Relationship Id="rId143" Type="http://schemas.openxmlformats.org/officeDocument/2006/relationships/hyperlink" Target="http://www.sec.gov/Archives/edgar/data/1661059/000104746919002203/a2238441zex-10_5.htm" TargetMode="External"/><Relationship Id="rId144" Type="http://schemas.openxmlformats.org/officeDocument/2006/relationships/hyperlink" Target="https://www.sec.gov/Archives/edgar/data/1661059/000110465920089093/tm2026202d1_ex10-1.htm" TargetMode="External"/><Relationship Id="rId145" Type="http://schemas.openxmlformats.org/officeDocument/2006/relationships/hyperlink" Target="https://www.sec.gov/Archives/edgar/data/1661059/000110465920089093/tm2026202d1_ex10-2.htm" TargetMode="External"/><Relationship Id="rId147" Type="http://schemas.openxmlformats.org/officeDocument/2006/relationships/hyperlink" Target="https://www.sec.gov/Archives/edgar/data/1661059/000110465920089093/tm2026202d1_ex10-3.htm" TargetMode="External"/><Relationship Id="rId148" Type="http://schemas.openxmlformats.org/officeDocument/2006/relationships/hyperlink" Target="http://www.sec.gov/Archives/edgar/data/1661059/000104746919002203/a2238441zex-10_14.htm" TargetMode="External"/><Relationship Id="rId149" Type="http://schemas.openxmlformats.org/officeDocument/2006/relationships/hyperlink" Target="http://www.sec.gov/Archives/edgar/data/1661059/000155837019010701/nxtc-20190930ex101b27cfe.htm" TargetMode="External"/><Relationship Id="rId150" Type="http://schemas.openxmlformats.org/officeDocument/2006/relationships/hyperlink" Target="https://www.sec.gov/Archives/edgar/data/1661059/000155837021014632/nxtc-20210930xex10d1.htm" TargetMode="External"/><Relationship Id="rId151" Type="http://schemas.openxmlformats.org/officeDocument/2006/relationships/hyperlink" Target="http://www.sec.gov/Archives/edgar/data/1661059/000104746919002203/a2238441zex-10_4.htm" TargetMode="External"/><Relationship Id="rId152" Type="http://schemas.openxmlformats.org/officeDocument/2006/relationships/hyperlink" Target="https://www.sec.gov/ix?doc=/Archives/edgar/data/1661059/000155837022002824/nxtc-2021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2023-03-02T16:32:09Z</dcterms:created>
  <dcterms:modified xsi:type="dcterms:W3CDTF">2023-03-02T16:32:09Z</dcterms:modified>
</cp:coreProperties>
</file>