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520" w:h="160" w:wrap="auto" w:vAnchor="page" w:hAnchor="page" w:x="7860" w:y="602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20705</w:t>
      </w:r>
    </w:p>
    <w:p>
      <w:pPr>
        <w:spacing w:after="0" w:line="185" w:lineRule="auto"/>
        <w:framePr w:w="880" w:h="160" w:wrap="auto" w:vAnchor="page" w:hAnchor="page" w:x="7680" w:y="624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(Zip Code)</w:t>
      </w:r>
    </w:p>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1048385</wp:posOffset>
            </wp:positionH>
            <wp:positionV relativeFrom="page">
              <wp:posOffset>448945</wp:posOffset>
            </wp:positionV>
            <wp:extent cx="5452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890"/>
                    </a:xfrm>
                    <a:prstGeom prst="rect">
                      <a:avLst/>
                    </a:prstGeom>
                    <a:noFill/>
                  </pic:spPr>
                </pic:pic>
              </a:graphicData>
            </a:graphic>
          </wp:anchor>
        </w:drawing>
        <w:t>UNITED STATES</w:t>
      </w:r>
    </w:p>
    <w:p>
      <w:pPr>
        <w:spacing w:after="0" w:line="52"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18, 2026</w:t>
      </w:r>
    </w:p>
    <w:p>
      <w:pPr>
        <w:spacing w:after="0" w:line="210"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NextCure, Inc.</w:t>
      </w:r>
    </w:p>
    <w:p>
      <w:pPr>
        <w:spacing w:after="0" w:line="4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902" w:right="1440" w:bottom="1440" w:gutter="0" w:footer="0" w:header="0"/>
        </w:sectPr>
      </w:pPr>
    </w:p>
    <w:p>
      <w:pPr>
        <w:spacing w:after="0" w:line="215" w:lineRule="exact"/>
        <w:rPr>
          <w:rFonts w:ascii="Times New Roman" w:cs="Times New Roman" w:eastAsia="Times New Roman" w:hAnsi="Times New Roman"/>
          <w:sz w:val="18"/>
          <w:szCs w:val="18"/>
          <w:b w:val="1"/>
          <w:bCs w:val="1"/>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rFonts w:ascii="Times New Roman" w:cs="Times New Roman" w:eastAsia="Times New Roman" w:hAnsi="Times New Roman"/>
          <w:sz w:val="18"/>
          <w:szCs w:val="18"/>
          <w:b w:val="1"/>
          <w:bCs w:val="1"/>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br w:type="column"/>
      </w:r>
    </w:p>
    <w:p>
      <w:pPr>
        <w:spacing w:after="0" w:line="19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001-38905</w:t>
      </w:r>
    </w:p>
    <w:p>
      <w:pPr>
        <w:spacing w:after="0" w:line="31"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br w:type="column"/>
      </w:r>
    </w:p>
    <w:p>
      <w:pPr>
        <w:spacing w:after="0" w:line="195" w:lineRule="exact"/>
        <w:rPr>
          <w:rFonts w:ascii="Times New Roman" w:cs="Times New Roman" w:eastAsia="Times New Roman" w:hAnsi="Times New Roman"/>
          <w:sz w:val="18"/>
          <w:szCs w:val="18"/>
          <w:b w:val="1"/>
          <w:bCs w:val="1"/>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47-5231247</w:t>
      </w:r>
    </w:p>
    <w:p>
      <w:pPr>
        <w:spacing w:after="0" w:line="31" w:lineRule="exact"/>
        <w:rPr>
          <w:rFonts w:ascii="Times New Roman" w:cs="Times New Roman" w:eastAsia="Times New Roman" w:hAnsi="Times New Roman"/>
          <w:sz w:val="18"/>
          <w:szCs w:val="18"/>
          <w:b w:val="1"/>
          <w:bCs w:val="1"/>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rFonts w:ascii="Times New Roman" w:cs="Times New Roman" w:eastAsia="Times New Roman" w:hAnsi="Times New Roman"/>
          <w:sz w:val="18"/>
          <w:szCs w:val="18"/>
          <w:b w:val="1"/>
          <w:bCs w:val="1"/>
          <w:color w:val="auto"/>
        </w:rPr>
      </w:pPr>
    </w:p>
    <w:p>
      <w:pPr>
        <w:sectPr>
          <w:pgSz w:w="11900" w:h="16838" w:orient="portrait"/>
          <w:cols w:equalWidth="0" w:num="3">
            <w:col w:w="2780" w:space="720"/>
            <w:col w:w="2000" w:space="680"/>
            <w:col w:w="2839"/>
          </w:cols>
          <w:pgMar w:left="1440" w:top="902" w:right="1440"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9019"/>
          </w:cols>
          <w:pgMar w:left="1440" w:top="902" w:right="1440" w:bottom="1440" w:gutter="0" w:footer="0" w:header="0"/>
          <w:type w:val="continuous"/>
        </w:sectPr>
      </w:pPr>
    </w:p>
    <w:p>
      <w:pPr>
        <w:spacing w:after="0" w:line="200" w:lineRule="exact"/>
        <w:rPr>
          <w:rFonts w:ascii="Times New Roman" w:cs="Times New Roman" w:eastAsia="Times New Roman" w:hAnsi="Times New Roman"/>
          <w:sz w:val="18"/>
          <w:szCs w:val="18"/>
          <w:b w:val="1"/>
          <w:bCs w:val="1"/>
          <w:color w:val="auto"/>
        </w:rPr>
      </w:pPr>
    </w:p>
    <w:p>
      <w:pPr>
        <w:spacing w:after="0" w:line="244" w:lineRule="exact"/>
        <w:rPr>
          <w:rFonts w:ascii="Times New Roman" w:cs="Times New Roman" w:eastAsia="Times New Roman" w:hAnsi="Times New Roman"/>
          <w:sz w:val="18"/>
          <w:szCs w:val="18"/>
          <w:b w:val="1"/>
          <w:bCs w:val="1"/>
          <w:color w:val="auto"/>
        </w:rPr>
      </w:pPr>
    </w:p>
    <w:p>
      <w:pPr>
        <w:jc w:val="center"/>
        <w:ind w:right="4419"/>
        <w:spacing w:after="0"/>
        <w:rPr>
          <w:sz w:val="20"/>
          <w:szCs w:val="20"/>
          <w:color w:val="auto"/>
        </w:rPr>
      </w:pPr>
      <w:r>
        <w:rPr>
          <w:rFonts w:ascii="Times New Roman" w:cs="Times New Roman" w:eastAsia="Times New Roman" w:hAnsi="Times New Roman"/>
          <w:sz w:val="18"/>
          <w:szCs w:val="18"/>
          <w:b w:val="1"/>
          <w:bCs w:val="1"/>
          <w:color w:val="auto"/>
        </w:rPr>
        <w:t>9000 Virginia Manor Road, Suite 200</w:t>
      </w:r>
    </w:p>
    <w:p>
      <w:pPr>
        <w:spacing w:after="0" w:line="20" w:lineRule="exact"/>
        <w:rPr>
          <w:rFonts w:ascii="Times New Roman" w:cs="Times New Roman" w:eastAsia="Times New Roman" w:hAnsi="Times New Roman"/>
          <w:sz w:val="18"/>
          <w:szCs w:val="18"/>
          <w:b w:val="1"/>
          <w:bCs w:val="1"/>
          <w:color w:val="auto"/>
        </w:rPr>
      </w:pPr>
    </w:p>
    <w:p>
      <w:pPr>
        <w:jc w:val="center"/>
        <w:ind w:left="200" w:right="4619"/>
        <w:spacing w:after="0" w:line="285" w:lineRule="auto"/>
        <w:rPr>
          <w:sz w:val="20"/>
          <w:szCs w:val="20"/>
          <w:color w:val="auto"/>
        </w:rPr>
      </w:pPr>
      <w:r>
        <w:rPr>
          <w:rFonts w:ascii="Times New Roman" w:cs="Times New Roman" w:eastAsia="Times New Roman" w:hAnsi="Times New Roman"/>
          <w:sz w:val="17"/>
          <w:szCs w:val="17"/>
          <w:b w:val="1"/>
          <w:bCs w:val="1"/>
          <w:color w:val="auto"/>
        </w:rPr>
        <w:t xml:space="preserve">Beltsville, Maryland </w:t>
      </w:r>
      <w:r>
        <w:rPr>
          <w:rFonts w:ascii="Times New Roman" w:cs="Times New Roman" w:eastAsia="Times New Roman" w:hAnsi="Times New Roman"/>
          <w:sz w:val="17"/>
          <w:szCs w:val="17"/>
          <w:color w:val="auto"/>
        </w:rPr>
        <w:t>(Address of principal executive offices)</w:t>
      </w:r>
    </w:p>
    <w:p>
      <w:pPr>
        <w:spacing w:after="0" w:line="144"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(240) 399-4900</w:t>
      </w:r>
    </w:p>
    <w:p>
      <w:pPr>
        <w:spacing w:after="0" w:line="229"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rFonts w:ascii="Times New Roman" w:cs="Times New Roman" w:eastAsia="Times New Roman" w:hAnsi="Times New Roman"/>
          <w:sz w:val="18"/>
          <w:szCs w:val="18"/>
          <w:b w:val="1"/>
          <w:bCs w:val="1"/>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rFonts w:ascii="Times New Roman" w:cs="Times New Roman" w:eastAsia="Times New Roman" w:hAnsi="Times New Roman"/>
          <w:sz w:val="18"/>
          <w:szCs w:val="18"/>
          <w:b w:val="1"/>
          <w:bCs w:val="1"/>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0" w:right="419" w:firstLine="9"/>
        <w:spacing w:after="0" w:line="480" w:lineRule="auto"/>
        <w:tabs>
          <w:tab w:leader="none" w:pos="5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30" w:type="dxa"/>
        <w:tblCellMar>
          <w:top w:w="0" w:type="dxa"/>
          <w:left w:w="0" w:type="dxa"/>
          <w:bottom w:w="0" w:type="dxa"/>
          <w:right w:w="0" w:type="dxa"/>
        </w:tblCellMar>
      </w:tblPr>
      <w:tr>
        <w:trPr>
          <w:trHeight w:val="181"/>
        </w:trPr>
        <w:tc>
          <w:tcPr>
            <w:tcW w:w="4200" w:type="dxa"/>
            <w:vAlign w:val="bottom"/>
            <w:tcBorders>
              <w:top w:val="single" w:sz="8" w:color="auto"/>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4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326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5"/>
        </w:trPr>
        <w:tc>
          <w:tcPr>
            <w:tcW w:w="4200" w:type="dxa"/>
            <w:vAlign w:val="bottom"/>
            <w:tcBorders>
              <w:left w:val="single" w:sz="8" w:color="auto"/>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260" w:type="dxa"/>
            <w:vAlign w:val="bottom"/>
            <w:tcBorders>
              <w:bottom w:val="single" w:sz="8" w:color="auto"/>
              <w:right w:val="single" w:sz="8" w:color="auto"/>
            </w:tcBorders>
          </w:tcPr>
          <w:p>
            <w:pPr>
              <w:spacing w:after="0"/>
              <w:rPr>
                <w:sz w:val="18"/>
                <w:szCs w:val="18"/>
                <w:color w:val="auto"/>
              </w:rPr>
            </w:pPr>
          </w:p>
        </w:tc>
      </w:tr>
      <w:tr>
        <w:trPr>
          <w:trHeight w:val="199"/>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NXTC</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8" w:lineRule="exact"/>
        <w:rPr>
          <w:rFonts w:ascii="Times New Roman" w:cs="Times New Roman" w:eastAsia="Times New Roman" w:hAnsi="Times New Roman"/>
          <w:sz w:val="18"/>
          <w:szCs w:val="18"/>
          <w:b w:val="1"/>
          <w:bCs w:val="1"/>
          <w:color w:val="auto"/>
        </w:rPr>
      </w:pPr>
    </w:p>
    <w:p>
      <w:pPr>
        <w:ind w:left="200" w:right="27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jc w:val="both"/>
        <w:ind w:left="200" w:right="279"/>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133985</wp:posOffset>
            </wp:positionH>
            <wp:positionV relativeFrom="paragraph">
              <wp:posOffset>993775</wp:posOffset>
            </wp:positionV>
            <wp:extent cx="5452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153670</wp:posOffset>
            </wp:positionV>
            <wp:extent cx="5452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type w:val="continuous"/>
        </w:sectPr>
      </w:pPr>
    </w:p>
    <w:bookmarkStart w:id="1" w:name="page2"/>
    <w:bookmarkEnd w:id="1"/>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On June 18, 2026, the stockholders of NextCure, Inc. (the “Company”) approved the amendment and restatement of the NextCure, Inc. 2019 Omnibus Incentive Plan (the “2019 Plan” and, as amended and restated, the “A&amp;R 2019 Plan”) at the Company’s 2026 Annual Meeting of Stockholders (the “Annual Meeting”). The A&amp;R 2019 Plan was previously approved by the board of directors of the Company (the “Board”) on March 12, 2026, subject to shareholder approval. The A&amp;R 2019 Plan increases the maximum number of shares of common stock authorized to be issued under the 2019 Plan by 80,000 shares. In addition, the A&amp;R 2019 Plan also reflects an amendment to the evergreen provision to provide that the annual increase will be determined based on the Company’s outstanding shares, calculated on a fully diluted basis (including outstanding prefunded warrants).</w:t>
      </w:r>
    </w:p>
    <w:p>
      <w:pPr>
        <w:spacing w:after="0" w:line="232" w:lineRule="exact"/>
        <w:rPr>
          <w:sz w:val="20"/>
          <w:szCs w:val="20"/>
          <w:color w:val="auto"/>
        </w:rPr>
      </w:pPr>
    </w:p>
    <w:p>
      <w:pPr>
        <w:ind w:left="200" w:right="239" w:firstLine="648"/>
        <w:spacing w:after="0" w:line="253" w:lineRule="auto"/>
        <w:rPr>
          <w:sz w:val="20"/>
          <w:szCs w:val="20"/>
          <w:color w:val="auto"/>
        </w:rPr>
      </w:pPr>
      <w:r>
        <w:rPr>
          <w:rFonts w:ascii="Times New Roman" w:cs="Times New Roman" w:eastAsia="Times New Roman" w:hAnsi="Times New Roman"/>
          <w:sz w:val="18"/>
          <w:szCs w:val="18"/>
          <w:color w:val="auto"/>
        </w:rPr>
        <w:t>A more detailed summary of the A&amp;R 2019 Plan appears in the section entitled “Proposal No. 4: Approval of an Amendment and Restatement of the Company’s 2019 Omnibus Incentive Plan to, among Other Items, Increase the Number of Shares Authorized for Issuance Thereunder” of the Company’s definitive proxy statement on Schedule 14A which was filed with the Securities and Exchange Commission on April 24, 2026. The above summary of the A&amp;R 2019 Plan does not purport to be complete and is qualified in its entirety by reference to the full text of the A&amp;R 2019 Plan, a copy of which is filed as Exhibit 10.1 hereto and is incorporated by reference herein.</w:t>
      </w:r>
    </w:p>
    <w:p>
      <w:pPr>
        <w:spacing w:after="0" w:line="200" w:lineRule="exact"/>
        <w:rPr>
          <w:sz w:val="20"/>
          <w:szCs w:val="20"/>
          <w:color w:val="auto"/>
        </w:rPr>
      </w:pPr>
    </w:p>
    <w:p>
      <w:pPr>
        <w:spacing w:after="0" w:line="29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On June 18, 2026, the Company held its Annual Meeting. At the Annual Meeting, the Company’s stockholders: (i) elected two Class I members of the Board, each to serve for a three-year term expiring at the Company’s 2029 Annual Meeting of Stockholders and until such director’s earlier death, resignation, or removal from the Board; (ii) ratified the appointment of Ernst &amp; Young LLP as the Company’s independent registered public accounting firm for the fiscal year ending December 31, 2026; (iii) approved, on an advisory basis, the compensation paid to the Company’s named executive officers; and (iv) approved the A&amp;R 2019 Plan to, among other items, increase the number of shares of common stock authorized for issuance thereunder. The results of the voting at the Annual Meeting are shown below.</w:t>
      </w: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Proposal No. 1: Election of Class I Directors</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DAE3F3"/>
          </w:tcPr>
          <w:p>
            <w:pPr>
              <w:ind w:left="80"/>
              <w:spacing w:after="0"/>
              <w:rPr>
                <w:sz w:val="20"/>
                <w:szCs w:val="20"/>
                <w:color w:val="auto"/>
              </w:rPr>
            </w:pPr>
            <w:r>
              <w:rPr>
                <w:rFonts w:ascii="Times New Roman" w:cs="Times New Roman" w:eastAsia="Times New Roman" w:hAnsi="Times New Roman"/>
                <w:sz w:val="18"/>
                <w:szCs w:val="18"/>
                <w:color w:val="auto"/>
              </w:rPr>
              <w:t>Anne Borgman, M.D.</w:t>
            </w:r>
          </w:p>
        </w:tc>
        <w:tc>
          <w:tcPr>
            <w:tcW w:w="240" w:type="dxa"/>
            <w:vAlign w:val="bottom"/>
            <w:tcBorders>
              <w:top w:val="single" w:sz="8" w:color="DAE3F3"/>
            </w:tcBorders>
            <w:shd w:val="clear" w:color="auto" w:fill="DAE3F3"/>
          </w:tcPr>
          <w:p>
            <w:pPr>
              <w:spacing w:after="0"/>
              <w:rPr>
                <w:sz w:val="18"/>
                <w:szCs w:val="18"/>
                <w:color w:val="auto"/>
              </w:rPr>
            </w:pPr>
          </w:p>
        </w:tc>
        <w:tc>
          <w:tcPr>
            <w:tcW w:w="1320" w:type="dxa"/>
            <w:vAlign w:val="bottom"/>
            <w:tcBorders>
              <w:top w:val="single" w:sz="8" w:color="auto"/>
            </w:tcBorders>
            <w:shd w:val="clear" w:color="auto" w:fill="DAE3F3"/>
          </w:tcPr>
          <w:p>
            <w:pPr>
              <w:jc w:val="center"/>
              <w:spacing w:after="0"/>
              <w:rPr>
                <w:sz w:val="20"/>
                <w:szCs w:val="20"/>
                <w:color w:val="auto"/>
              </w:rPr>
            </w:pPr>
            <w:r>
              <w:rPr>
                <w:rFonts w:ascii="Times New Roman" w:cs="Times New Roman" w:eastAsia="Times New Roman" w:hAnsi="Times New Roman"/>
                <w:sz w:val="18"/>
                <w:szCs w:val="18"/>
                <w:color w:val="auto"/>
                <w:w w:val="99"/>
              </w:rPr>
              <w:t>1,595,507</w:t>
            </w:r>
          </w:p>
        </w:tc>
        <w:tc>
          <w:tcPr>
            <w:tcW w:w="260" w:type="dxa"/>
            <w:vAlign w:val="bottom"/>
            <w:tcBorders>
              <w:top w:val="single" w:sz="8" w:color="DAE3F3"/>
            </w:tcBorders>
            <w:shd w:val="clear" w:color="auto" w:fill="DAE3F3"/>
          </w:tcPr>
          <w:p>
            <w:pPr>
              <w:spacing w:after="0"/>
              <w:rPr>
                <w:sz w:val="18"/>
                <w:szCs w:val="18"/>
                <w:color w:val="auto"/>
              </w:rPr>
            </w:pPr>
          </w:p>
        </w:tc>
        <w:tc>
          <w:tcPr>
            <w:tcW w:w="1400" w:type="dxa"/>
            <w:vAlign w:val="bottom"/>
            <w:tcBorders>
              <w:top w:val="single" w:sz="8" w:color="auto"/>
            </w:tcBorders>
            <w:shd w:val="clear" w:color="auto" w:fill="DAE3F3"/>
          </w:tcPr>
          <w:p>
            <w:pPr>
              <w:ind w:left="400"/>
              <w:spacing w:after="0"/>
              <w:rPr>
                <w:sz w:val="20"/>
                <w:szCs w:val="20"/>
                <w:color w:val="auto"/>
              </w:rPr>
            </w:pPr>
            <w:r>
              <w:rPr>
                <w:rFonts w:ascii="Times New Roman" w:cs="Times New Roman" w:eastAsia="Times New Roman" w:hAnsi="Times New Roman"/>
                <w:sz w:val="18"/>
                <w:szCs w:val="18"/>
                <w:color w:val="auto"/>
              </w:rPr>
              <w:t>522,009</w:t>
            </w:r>
          </w:p>
        </w:tc>
        <w:tc>
          <w:tcPr>
            <w:tcW w:w="240" w:type="dxa"/>
            <w:vAlign w:val="bottom"/>
            <w:tcBorders>
              <w:top w:val="single" w:sz="8" w:color="DAE3F3"/>
            </w:tcBorders>
            <w:shd w:val="clear" w:color="auto" w:fill="DAE3F3"/>
          </w:tcPr>
          <w:p>
            <w:pPr>
              <w:spacing w:after="0"/>
              <w:rPr>
                <w:sz w:val="18"/>
                <w:szCs w:val="18"/>
                <w:color w:val="auto"/>
              </w:rPr>
            </w:pPr>
          </w:p>
        </w:tc>
        <w:tc>
          <w:tcPr>
            <w:tcW w:w="1080" w:type="dxa"/>
            <w:vAlign w:val="bottom"/>
            <w:tcBorders>
              <w:top w:val="single" w:sz="8" w:color="auto"/>
            </w:tcBorders>
            <w:shd w:val="clear" w:color="auto" w:fill="DAE3F3"/>
          </w:tcPr>
          <w:p>
            <w:pPr>
              <w:jc w:val="right"/>
              <w:ind w:right="31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top w:val="single" w:sz="8" w:color="DAE3F3"/>
            </w:tcBorders>
            <w:shd w:val="clear" w:color="auto" w:fill="DAE3F3"/>
          </w:tcPr>
          <w:p>
            <w:pPr>
              <w:spacing w:after="0"/>
              <w:rPr>
                <w:sz w:val="18"/>
                <w:szCs w:val="18"/>
                <w:color w:val="auto"/>
              </w:rPr>
            </w:pPr>
          </w:p>
        </w:tc>
        <w:tc>
          <w:tcPr>
            <w:tcW w:w="1760" w:type="dxa"/>
            <w:vAlign w:val="bottom"/>
            <w:tcBorders>
              <w:top w:val="single" w:sz="8" w:color="auto"/>
            </w:tcBorders>
            <w:shd w:val="clear" w:color="auto" w:fill="DAE3F3"/>
          </w:tcPr>
          <w:p>
            <w:pPr>
              <w:jc w:val="center"/>
              <w:spacing w:after="0"/>
              <w:rPr>
                <w:sz w:val="20"/>
                <w:szCs w:val="20"/>
                <w:color w:val="auto"/>
              </w:rPr>
            </w:pPr>
            <w:r>
              <w:rPr>
                <w:rFonts w:ascii="Times New Roman" w:cs="Times New Roman" w:eastAsia="Times New Roman" w:hAnsi="Times New Roman"/>
                <w:sz w:val="18"/>
                <w:szCs w:val="18"/>
                <w:color w:val="auto"/>
                <w:w w:val="99"/>
              </w:rPr>
              <w:t>698,319</w:t>
            </w:r>
          </w:p>
        </w:tc>
      </w:tr>
      <w:tr>
        <w:trPr>
          <w:trHeight w:val="216"/>
        </w:trPr>
        <w:tc>
          <w:tcPr>
            <w:tcW w:w="20" w:type="dxa"/>
            <w:vAlign w:val="bottom"/>
          </w:tcPr>
          <w:p>
            <w:pPr>
              <w:spacing w:after="0"/>
              <w:rPr>
                <w:sz w:val="18"/>
                <w:szCs w:val="18"/>
                <w:color w:val="auto"/>
              </w:rPr>
            </w:pPr>
          </w:p>
        </w:tc>
        <w:tc>
          <w:tcPr>
            <w:tcW w:w="2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G. Houston, PH.D.</w:t>
            </w:r>
          </w:p>
        </w:tc>
        <w:tc>
          <w:tcPr>
            <w:tcW w:w="2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1,961,916</w:t>
            </w:r>
          </w:p>
        </w:tc>
        <w:tc>
          <w:tcPr>
            <w:tcW w:w="260" w:type="dxa"/>
            <w:vAlign w:val="bottom"/>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155,737</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698,319</w:t>
            </w:r>
          </w:p>
        </w:tc>
      </w:tr>
    </w:tbl>
    <w:p>
      <w:pPr>
        <w:spacing w:after="0" w:line="209" w:lineRule="exact"/>
        <w:rPr>
          <w:sz w:val="20"/>
          <w:szCs w:val="20"/>
          <w:color w:val="auto"/>
        </w:rPr>
      </w:pPr>
    </w:p>
    <w:p>
      <w:pPr>
        <w:jc w:val="both"/>
        <w:ind w:left="200" w:right="219"/>
        <w:spacing w:after="0" w:line="284" w:lineRule="auto"/>
        <w:rPr>
          <w:sz w:val="20"/>
          <w:szCs w:val="20"/>
          <w:color w:val="auto"/>
        </w:rPr>
      </w:pPr>
      <w:r>
        <w:rPr>
          <w:rFonts w:ascii="Times New Roman" w:cs="Times New Roman" w:eastAsia="Times New Roman" w:hAnsi="Times New Roman"/>
          <w:sz w:val="18"/>
          <w:szCs w:val="18"/>
          <w:i w:val="1"/>
          <w:iCs w:val="1"/>
          <w:color w:val="auto"/>
        </w:rPr>
        <w:t>Proposal No. 2: Ratification of Appointment of Independent Registered Public Accounting Firm for the Fiscal Year Ending December 31, 2026</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shd w:val="clear" w:color="auto" w:fill="DAE3F3"/>
          </w:tcPr>
          <w:p>
            <w:pPr>
              <w:jc w:val="right"/>
              <w:ind w:right="470"/>
              <w:spacing w:after="0"/>
              <w:rPr>
                <w:sz w:val="20"/>
                <w:szCs w:val="20"/>
                <w:color w:val="auto"/>
              </w:rPr>
            </w:pPr>
            <w:r>
              <w:rPr>
                <w:rFonts w:ascii="Times New Roman" w:cs="Times New Roman" w:eastAsia="Times New Roman" w:hAnsi="Times New Roman"/>
                <w:sz w:val="18"/>
                <w:szCs w:val="18"/>
                <w:color w:val="auto"/>
              </w:rPr>
              <w:t>2,774,832</w:t>
            </w:r>
          </w:p>
        </w:tc>
        <w:tc>
          <w:tcPr>
            <w:tcW w:w="200" w:type="dxa"/>
            <w:vAlign w:val="bottom"/>
            <w:tcBorders>
              <w:top w:val="single" w:sz="8" w:color="DAE3F3"/>
            </w:tcBorders>
            <w:shd w:val="clear" w:color="auto" w:fill="DAE3F3"/>
          </w:tcPr>
          <w:p>
            <w:pPr>
              <w:spacing w:after="0"/>
              <w:rPr>
                <w:sz w:val="19"/>
                <w:szCs w:val="19"/>
                <w:color w:val="auto"/>
              </w:rPr>
            </w:pPr>
          </w:p>
        </w:tc>
        <w:tc>
          <w:tcPr>
            <w:tcW w:w="1880" w:type="dxa"/>
            <w:vAlign w:val="bottom"/>
            <w:tcBorders>
              <w:top w:val="single" w:sz="8" w:color="auto"/>
              <w:bottom w:val="single" w:sz="8" w:color="auto"/>
            </w:tcBorders>
            <w:shd w:val="clear" w:color="auto" w:fill="DAE3F3"/>
          </w:tcPr>
          <w:p>
            <w:pPr>
              <w:jc w:val="right"/>
              <w:ind w:right="570"/>
              <w:spacing w:after="0"/>
              <w:rPr>
                <w:sz w:val="20"/>
                <w:szCs w:val="20"/>
                <w:color w:val="auto"/>
              </w:rPr>
            </w:pPr>
            <w:r>
              <w:rPr>
                <w:rFonts w:ascii="Times New Roman" w:cs="Times New Roman" w:eastAsia="Times New Roman" w:hAnsi="Times New Roman"/>
                <w:sz w:val="18"/>
                <w:szCs w:val="18"/>
                <w:color w:val="auto"/>
              </w:rPr>
              <w:t>32,329</w:t>
            </w:r>
          </w:p>
        </w:tc>
        <w:tc>
          <w:tcPr>
            <w:tcW w:w="180" w:type="dxa"/>
            <w:vAlign w:val="bottom"/>
            <w:tcBorders>
              <w:top w:val="single" w:sz="8" w:color="DAE3F3"/>
            </w:tcBorders>
            <w:shd w:val="clear" w:color="auto" w:fill="DAE3F3"/>
          </w:tcPr>
          <w:p>
            <w:pPr>
              <w:spacing w:after="0"/>
              <w:rPr>
                <w:sz w:val="19"/>
                <w:szCs w:val="19"/>
                <w:color w:val="auto"/>
              </w:rPr>
            </w:pPr>
          </w:p>
        </w:tc>
        <w:tc>
          <w:tcPr>
            <w:tcW w:w="1980" w:type="dxa"/>
            <w:vAlign w:val="bottom"/>
            <w:tcBorders>
              <w:top w:val="single" w:sz="8" w:color="auto"/>
              <w:bottom w:val="single" w:sz="8" w:color="auto"/>
            </w:tcBorders>
            <w:shd w:val="clear" w:color="auto" w:fill="DAE3F3"/>
          </w:tcPr>
          <w:p>
            <w:pPr>
              <w:jc w:val="right"/>
              <w:ind w:right="610"/>
              <w:spacing w:after="0"/>
              <w:rPr>
                <w:sz w:val="20"/>
                <w:szCs w:val="20"/>
                <w:color w:val="auto"/>
              </w:rPr>
            </w:pPr>
            <w:r>
              <w:rPr>
                <w:rFonts w:ascii="Times New Roman" w:cs="Times New Roman" w:eastAsia="Times New Roman" w:hAnsi="Times New Roman"/>
                <w:sz w:val="18"/>
                <w:szCs w:val="18"/>
                <w:color w:val="auto"/>
              </w:rPr>
              <w:t>8,813</w:t>
            </w:r>
          </w:p>
        </w:tc>
        <w:tc>
          <w:tcPr>
            <w:tcW w:w="180" w:type="dxa"/>
            <w:vAlign w:val="bottom"/>
            <w:tcBorders>
              <w:top w:val="single" w:sz="8" w:color="DAE3F3"/>
            </w:tcBorders>
            <w:shd w:val="clear" w:color="auto" w:fill="DAE3F3"/>
          </w:tcPr>
          <w:p>
            <w:pPr>
              <w:spacing w:after="0"/>
              <w:rPr>
                <w:sz w:val="19"/>
                <w:szCs w:val="19"/>
                <w:color w:val="auto"/>
              </w:rPr>
            </w:pPr>
          </w:p>
        </w:tc>
        <w:tc>
          <w:tcPr>
            <w:tcW w:w="2100" w:type="dxa"/>
            <w:vAlign w:val="bottom"/>
            <w:tcBorders>
              <w:top w:val="single" w:sz="8" w:color="auto"/>
              <w:bottom w:val="single" w:sz="8" w:color="auto"/>
            </w:tcBorders>
            <w:shd w:val="clear" w:color="auto" w:fill="DAE3F3"/>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Proposal No. 3: Advisory Vote to Approve Executive Compensation</w:t>
      </w: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shd w:val="clear" w:color="auto" w:fill="DAE3F3"/>
          </w:tcPr>
          <w:p>
            <w:pPr>
              <w:jc w:val="right"/>
              <w:ind w:right="470"/>
              <w:spacing w:after="0"/>
              <w:rPr>
                <w:sz w:val="20"/>
                <w:szCs w:val="20"/>
                <w:color w:val="auto"/>
              </w:rPr>
            </w:pPr>
            <w:r>
              <w:rPr>
                <w:rFonts w:ascii="Times New Roman" w:cs="Times New Roman" w:eastAsia="Times New Roman" w:hAnsi="Times New Roman"/>
                <w:sz w:val="18"/>
                <w:szCs w:val="18"/>
                <w:color w:val="auto"/>
              </w:rPr>
              <w:t>2,109,269</w:t>
            </w:r>
          </w:p>
        </w:tc>
        <w:tc>
          <w:tcPr>
            <w:tcW w:w="200" w:type="dxa"/>
            <w:vAlign w:val="bottom"/>
            <w:tcBorders>
              <w:top w:val="single" w:sz="8" w:color="DAE3F3"/>
            </w:tcBorders>
            <w:shd w:val="clear" w:color="auto" w:fill="DAE3F3"/>
          </w:tcPr>
          <w:p>
            <w:pPr>
              <w:spacing w:after="0"/>
              <w:rPr>
                <w:sz w:val="19"/>
                <w:szCs w:val="19"/>
                <w:color w:val="auto"/>
              </w:rPr>
            </w:pPr>
          </w:p>
        </w:tc>
        <w:tc>
          <w:tcPr>
            <w:tcW w:w="1880" w:type="dxa"/>
            <w:vAlign w:val="bottom"/>
            <w:tcBorders>
              <w:top w:val="single" w:sz="8" w:color="auto"/>
              <w:bottom w:val="single" w:sz="8" w:color="auto"/>
            </w:tcBorders>
            <w:shd w:val="clear" w:color="auto" w:fill="DAE3F3"/>
          </w:tcPr>
          <w:p>
            <w:pPr>
              <w:jc w:val="right"/>
              <w:ind w:right="610"/>
              <w:spacing w:after="0"/>
              <w:rPr>
                <w:sz w:val="20"/>
                <w:szCs w:val="20"/>
                <w:color w:val="auto"/>
              </w:rPr>
            </w:pPr>
            <w:r>
              <w:rPr>
                <w:rFonts w:ascii="Times New Roman" w:cs="Times New Roman" w:eastAsia="Times New Roman" w:hAnsi="Times New Roman"/>
                <w:sz w:val="18"/>
                <w:szCs w:val="18"/>
                <w:color w:val="auto"/>
              </w:rPr>
              <w:t>8,127</w:t>
            </w:r>
          </w:p>
        </w:tc>
        <w:tc>
          <w:tcPr>
            <w:tcW w:w="180" w:type="dxa"/>
            <w:vAlign w:val="bottom"/>
            <w:tcBorders>
              <w:top w:val="single" w:sz="8" w:color="DAE3F3"/>
            </w:tcBorders>
            <w:shd w:val="clear" w:color="auto" w:fill="DAE3F3"/>
          </w:tcPr>
          <w:p>
            <w:pPr>
              <w:spacing w:after="0"/>
              <w:rPr>
                <w:sz w:val="19"/>
                <w:szCs w:val="19"/>
                <w:color w:val="auto"/>
              </w:rPr>
            </w:pPr>
          </w:p>
        </w:tc>
        <w:tc>
          <w:tcPr>
            <w:tcW w:w="1980" w:type="dxa"/>
            <w:vAlign w:val="bottom"/>
            <w:tcBorders>
              <w:top w:val="single" w:sz="8" w:color="auto"/>
              <w:bottom w:val="single" w:sz="8" w:color="auto"/>
            </w:tcBorders>
            <w:shd w:val="clear" w:color="auto" w:fill="DAE3F3"/>
          </w:tcPr>
          <w:p>
            <w:pPr>
              <w:jc w:val="right"/>
              <w:ind w:right="67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Borders>
              <w:top w:val="single" w:sz="8" w:color="DAE3F3"/>
            </w:tcBorders>
            <w:shd w:val="clear" w:color="auto" w:fill="DAE3F3"/>
          </w:tcPr>
          <w:p>
            <w:pPr>
              <w:spacing w:after="0"/>
              <w:rPr>
                <w:sz w:val="19"/>
                <w:szCs w:val="19"/>
                <w:color w:val="auto"/>
              </w:rPr>
            </w:pPr>
          </w:p>
        </w:tc>
        <w:tc>
          <w:tcPr>
            <w:tcW w:w="2100" w:type="dxa"/>
            <w:vAlign w:val="bottom"/>
            <w:tcBorders>
              <w:top w:val="single" w:sz="8" w:color="auto"/>
              <w:bottom w:val="single" w:sz="8" w:color="auto"/>
            </w:tcBorders>
            <w:shd w:val="clear" w:color="auto" w:fill="DAE3F3"/>
          </w:tcPr>
          <w:p>
            <w:pPr>
              <w:jc w:val="right"/>
              <w:ind w:right="490"/>
              <w:spacing w:after="0"/>
              <w:rPr>
                <w:sz w:val="20"/>
                <w:szCs w:val="20"/>
                <w:color w:val="auto"/>
              </w:rPr>
            </w:pPr>
            <w:r>
              <w:rPr>
                <w:rFonts w:ascii="Times New Roman" w:cs="Times New Roman" w:eastAsia="Times New Roman" w:hAnsi="Times New Roman"/>
                <w:sz w:val="18"/>
                <w:szCs w:val="18"/>
                <w:color w:val="auto"/>
              </w:rPr>
              <w:t>698,319</w:t>
            </w:r>
          </w:p>
        </w:tc>
        <w:tc>
          <w:tcPr>
            <w:tcW w:w="120" w:type="dxa"/>
            <w:vAlign w:val="bottom"/>
          </w:tcPr>
          <w:p>
            <w:pPr>
              <w:spacing w:after="0"/>
              <w:rPr>
                <w:sz w:val="19"/>
                <w:szCs w:val="19"/>
                <w:color w:val="auto"/>
              </w:rPr>
            </w:pPr>
          </w:p>
        </w:tc>
      </w:tr>
      <w:tr>
        <w:trPr>
          <w:trHeight w:val="1485"/>
        </w:trPr>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3" w:right="1440" w:bottom="1440" w:gutter="0" w:footer="0" w:header="0"/>
        </w:sectPr>
      </w:pPr>
    </w:p>
    <w:bookmarkStart w:id="2" w:name="page3"/>
    <w:bookmarkEnd w:id="2"/>
    <w:p>
      <w:pPr>
        <w:ind w:left="200" w:right="219"/>
        <w:spacing w:after="0" w:line="284" w:lineRule="auto"/>
        <w:rPr>
          <w:sz w:val="20"/>
          <w:szCs w:val="20"/>
          <w:color w:val="auto"/>
        </w:rPr>
      </w:pPr>
      <w:r>
        <w:rPr>
          <w:rFonts w:ascii="Times New Roman" w:cs="Times New Roman" w:eastAsia="Times New Roman" w:hAnsi="Times New Roman"/>
          <w:sz w:val="18"/>
          <w:szCs w:val="18"/>
          <w:i w:val="1"/>
          <w:iCs w:val="1"/>
          <w:color w:val="auto"/>
        </w:rPr>
        <w:t>Proposal No. 4: Approval of an Amendment and Restatement of the Company’s 2019 Omnibus Incentive Plan to, among other items, Increase the Number of Shares of Common Stock Authorized for Issuance Thereunder</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shd w:val="clear" w:color="auto" w:fill="DAE3F3"/>
          </w:tcPr>
          <w:p>
            <w:pPr>
              <w:jc w:val="right"/>
              <w:ind w:right="470"/>
              <w:spacing w:after="0"/>
              <w:rPr>
                <w:sz w:val="20"/>
                <w:szCs w:val="20"/>
                <w:color w:val="auto"/>
              </w:rPr>
            </w:pPr>
            <w:r>
              <w:rPr>
                <w:rFonts w:ascii="Times New Roman" w:cs="Times New Roman" w:eastAsia="Times New Roman" w:hAnsi="Times New Roman"/>
                <w:sz w:val="18"/>
                <w:szCs w:val="18"/>
                <w:color w:val="auto"/>
              </w:rPr>
              <w:t>1,372,691</w:t>
            </w:r>
          </w:p>
        </w:tc>
        <w:tc>
          <w:tcPr>
            <w:tcW w:w="200" w:type="dxa"/>
            <w:vAlign w:val="bottom"/>
            <w:tcBorders>
              <w:top w:val="single" w:sz="8" w:color="DAE3F3"/>
            </w:tcBorders>
            <w:shd w:val="clear" w:color="auto" w:fill="DAE3F3"/>
          </w:tcPr>
          <w:p>
            <w:pPr>
              <w:spacing w:after="0"/>
              <w:rPr>
                <w:sz w:val="19"/>
                <w:szCs w:val="19"/>
                <w:color w:val="auto"/>
              </w:rPr>
            </w:pPr>
          </w:p>
        </w:tc>
        <w:tc>
          <w:tcPr>
            <w:tcW w:w="1880" w:type="dxa"/>
            <w:vAlign w:val="bottom"/>
            <w:tcBorders>
              <w:top w:val="single" w:sz="8" w:color="auto"/>
              <w:bottom w:val="single" w:sz="8" w:color="auto"/>
            </w:tcBorders>
            <w:shd w:val="clear" w:color="auto" w:fill="DAE3F3"/>
          </w:tcPr>
          <w:p>
            <w:pPr>
              <w:jc w:val="right"/>
              <w:ind w:right="510"/>
              <w:spacing w:after="0"/>
              <w:rPr>
                <w:sz w:val="20"/>
                <w:szCs w:val="20"/>
                <w:color w:val="auto"/>
              </w:rPr>
            </w:pPr>
            <w:r>
              <w:rPr>
                <w:rFonts w:ascii="Times New Roman" w:cs="Times New Roman" w:eastAsia="Times New Roman" w:hAnsi="Times New Roman"/>
                <w:sz w:val="18"/>
                <w:szCs w:val="18"/>
                <w:color w:val="auto"/>
              </w:rPr>
              <w:t>744,709</w:t>
            </w:r>
          </w:p>
        </w:tc>
        <w:tc>
          <w:tcPr>
            <w:tcW w:w="180" w:type="dxa"/>
            <w:vAlign w:val="bottom"/>
            <w:tcBorders>
              <w:top w:val="single" w:sz="8" w:color="DAE3F3"/>
            </w:tcBorders>
            <w:shd w:val="clear" w:color="auto" w:fill="DAE3F3"/>
          </w:tcPr>
          <w:p>
            <w:pPr>
              <w:spacing w:after="0"/>
              <w:rPr>
                <w:sz w:val="19"/>
                <w:szCs w:val="19"/>
                <w:color w:val="auto"/>
              </w:rPr>
            </w:pPr>
          </w:p>
        </w:tc>
        <w:tc>
          <w:tcPr>
            <w:tcW w:w="1980" w:type="dxa"/>
            <w:vAlign w:val="bottom"/>
            <w:tcBorders>
              <w:top w:val="single" w:sz="8" w:color="auto"/>
              <w:bottom w:val="single" w:sz="8" w:color="auto"/>
            </w:tcBorders>
            <w:shd w:val="clear" w:color="auto" w:fill="DAE3F3"/>
          </w:tcPr>
          <w:p>
            <w:pPr>
              <w:jc w:val="right"/>
              <w:ind w:right="67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Borders>
              <w:top w:val="single" w:sz="8" w:color="DAE3F3"/>
            </w:tcBorders>
            <w:shd w:val="clear" w:color="auto" w:fill="DAE3F3"/>
          </w:tcPr>
          <w:p>
            <w:pPr>
              <w:spacing w:after="0"/>
              <w:rPr>
                <w:sz w:val="19"/>
                <w:szCs w:val="19"/>
                <w:color w:val="auto"/>
              </w:rPr>
            </w:pPr>
          </w:p>
        </w:tc>
        <w:tc>
          <w:tcPr>
            <w:tcW w:w="2100" w:type="dxa"/>
            <w:vAlign w:val="bottom"/>
            <w:tcBorders>
              <w:top w:val="single" w:sz="8" w:color="auto"/>
              <w:bottom w:val="single" w:sz="8" w:color="auto"/>
            </w:tcBorders>
            <w:shd w:val="clear" w:color="auto" w:fill="DAE3F3"/>
          </w:tcPr>
          <w:p>
            <w:pPr>
              <w:jc w:val="right"/>
              <w:ind w:right="490"/>
              <w:spacing w:after="0"/>
              <w:rPr>
                <w:sz w:val="20"/>
                <w:szCs w:val="20"/>
                <w:color w:val="auto"/>
              </w:rPr>
            </w:pPr>
            <w:r>
              <w:rPr>
                <w:rFonts w:ascii="Times New Roman" w:cs="Times New Roman" w:eastAsia="Times New Roman" w:hAnsi="Times New Roman"/>
                <w:sz w:val="18"/>
                <w:szCs w:val="18"/>
                <w:color w:val="auto"/>
              </w:rPr>
              <w:t>698,319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1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66"/>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0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left w:val="single" w:sz="8" w:color="auto"/>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0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020" w:type="dxa"/>
            <w:vAlign w:val="bottom"/>
            <w:tcBorders>
              <w:right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color w:val="0000EE"/>
              </w:rPr>
              <w:t>NextCure, Inc. Amended and Restated 2019 Omnibus Incentive Plan</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980" w:type="dxa"/>
            <w:vAlign w:val="bottom"/>
            <w:tcBorders>
              <w:top w:val="single" w:sz="8" w:color="0000EE"/>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70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783"/>
        </w:trPr>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June 25, 2026</w:t>
            </w:r>
          </w:p>
        </w:tc>
        <w:tc>
          <w:tcPr>
            <w:tcW w:w="568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NEXTCURE, INC.</w:t>
            </w:r>
          </w:p>
        </w:tc>
      </w:tr>
      <w:tr>
        <w:trPr>
          <w:trHeight w:val="66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242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8"/>
              </w:rPr>
              <w:t>/s/ Steven P. Cobourn</w:t>
            </w:r>
          </w:p>
        </w:tc>
        <w:tc>
          <w:tcPr>
            <w:tcW w:w="13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Name: Steven P. Cobourn</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938"/>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6"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1093470</wp:posOffset>
            </wp:positionV>
            <wp:extent cx="5452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NEXTCURE,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 2019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646430</wp:posOffset>
            </wp:positionV>
            <wp:extent cx="5452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23"/>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1.</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PURPOSE</w:t>
            </w:r>
          </w:p>
        </w:tc>
        <w:tc>
          <w:tcPr>
            <w:tcW w:w="5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2.</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DEFINITIONS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0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3.</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ADMINISTRATION OF THE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7"/>
        </w:trPr>
        <w:tc>
          <w:tcPr>
            <w:tcW w:w="400" w:type="dxa"/>
            <w:vAlign w:val="bottom"/>
          </w:tcPr>
          <w:p>
            <w:pPr>
              <w:spacing w:after="0"/>
              <w:rPr>
                <w:sz w:val="21"/>
                <w:szCs w:val="21"/>
                <w:color w:val="auto"/>
              </w:rPr>
            </w:pPr>
          </w:p>
        </w:tc>
        <w:tc>
          <w:tcPr>
            <w:tcW w:w="760" w:type="dxa"/>
            <w:vAlign w:val="bottom"/>
          </w:tcPr>
          <w:p>
            <w:pPr>
              <w:ind w:left="240"/>
              <w:spacing w:after="0" w:line="247" w:lineRule="exact"/>
              <w:rPr>
                <w:sz w:val="20"/>
                <w:szCs w:val="20"/>
                <w:color w:val="auto"/>
              </w:rPr>
            </w:pPr>
            <w:r>
              <w:rPr>
                <w:rFonts w:ascii="Times New Roman" w:cs="Times New Roman" w:eastAsia="Times New Roman" w:hAnsi="Times New Roman"/>
                <w:sz w:val="22"/>
                <w:szCs w:val="22"/>
                <w:b w:val="1"/>
                <w:bCs w:val="1"/>
                <w:color w:val="auto"/>
                <w:highlight w:val="white"/>
              </w:rPr>
              <w:t>3.1</w:t>
            </w:r>
          </w:p>
        </w:tc>
        <w:tc>
          <w:tcPr>
            <w:tcW w:w="624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22"/>
                <w:szCs w:val="22"/>
                <w:b w:val="1"/>
                <w:bCs w:val="1"/>
                <w:color w:val="auto"/>
                <w:highlight w:val="white"/>
              </w:rPr>
              <w:t>Committee</w:t>
            </w:r>
            <w:r>
              <w:rPr>
                <w:rFonts w:ascii="Times New Roman" w:cs="Times New Roman" w:eastAsia="Times New Roman" w:hAnsi="Times New Roman"/>
                <w:sz w:val="22"/>
                <w:szCs w:val="22"/>
                <w:color w:val="auto"/>
                <w:highlight w:val="white"/>
              </w:rPr>
              <w:t>.</w:t>
            </w:r>
          </w:p>
        </w:tc>
        <w:tc>
          <w:tcPr>
            <w:tcW w:w="118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highlight w:val="white"/>
              </w:rPr>
              <w:t>3.1.1</w:t>
            </w:r>
          </w:p>
        </w:tc>
        <w:tc>
          <w:tcPr>
            <w:tcW w:w="5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highlight w:val="white"/>
              </w:rPr>
              <w:t>Powers and Authorities.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highlight w:val="white"/>
              </w:rPr>
              <w:t>3.1.2  Composition of the Committee.</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highlight w:val="white"/>
              </w:rPr>
              <w:t>3.1.3</w:t>
            </w:r>
          </w:p>
        </w:tc>
        <w:tc>
          <w:tcPr>
            <w:tcW w:w="5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highlight w:val="white"/>
              </w:rPr>
              <w:t>Other Committees.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39"/>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40" w:type="dxa"/>
            <w:vAlign w:val="bottom"/>
            <w:gridSpan w:val="2"/>
          </w:tcPr>
          <w:p>
            <w:pPr>
              <w:ind w:left="120"/>
              <w:spacing w:after="0" w:line="239" w:lineRule="exact"/>
              <w:rPr>
                <w:sz w:val="20"/>
                <w:szCs w:val="20"/>
                <w:color w:val="auto"/>
              </w:rPr>
            </w:pPr>
            <w:r>
              <w:rPr>
                <w:rFonts w:ascii="Times New Roman" w:cs="Times New Roman" w:eastAsia="Times New Roman" w:hAnsi="Times New Roman"/>
                <w:sz w:val="22"/>
                <w:szCs w:val="22"/>
                <w:color w:val="auto"/>
                <w:highlight w:val="white"/>
              </w:rPr>
              <w:t>3.1.4  Delegation by the Committee.</w:t>
            </w:r>
          </w:p>
        </w:tc>
        <w:tc>
          <w:tcPr>
            <w:tcW w:w="118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3.2</w:t>
            </w:r>
          </w:p>
        </w:tc>
        <w:tc>
          <w:tcPr>
            <w:tcW w:w="7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w w:val="96"/>
              </w:rPr>
              <w:t>Board.</w:t>
            </w:r>
          </w:p>
        </w:tc>
        <w:tc>
          <w:tcPr>
            <w:tcW w:w="546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7"/>
        </w:trPr>
        <w:tc>
          <w:tcPr>
            <w:tcW w:w="400" w:type="dxa"/>
            <w:vAlign w:val="bottom"/>
          </w:tcPr>
          <w:p>
            <w:pPr>
              <w:spacing w:after="0"/>
              <w:rPr>
                <w:sz w:val="21"/>
                <w:szCs w:val="21"/>
                <w:color w:val="auto"/>
              </w:rPr>
            </w:pPr>
          </w:p>
        </w:tc>
        <w:tc>
          <w:tcPr>
            <w:tcW w:w="760" w:type="dxa"/>
            <w:vAlign w:val="bottom"/>
          </w:tcPr>
          <w:p>
            <w:pPr>
              <w:ind w:left="240"/>
              <w:spacing w:after="0" w:line="247" w:lineRule="exact"/>
              <w:rPr>
                <w:sz w:val="20"/>
                <w:szCs w:val="20"/>
                <w:color w:val="auto"/>
              </w:rPr>
            </w:pPr>
            <w:r>
              <w:rPr>
                <w:rFonts w:ascii="Times New Roman" w:cs="Times New Roman" w:eastAsia="Times New Roman" w:hAnsi="Times New Roman"/>
                <w:sz w:val="22"/>
                <w:szCs w:val="22"/>
                <w:b w:val="1"/>
                <w:bCs w:val="1"/>
                <w:color w:val="auto"/>
                <w:highlight w:val="white"/>
              </w:rPr>
              <w:t>3.3</w:t>
            </w:r>
          </w:p>
        </w:tc>
        <w:tc>
          <w:tcPr>
            <w:tcW w:w="6240" w:type="dxa"/>
            <w:vAlign w:val="bottom"/>
            <w:gridSpan w:val="2"/>
          </w:tcPr>
          <w:p>
            <w:pPr>
              <w:ind w:left="140"/>
              <w:spacing w:after="0" w:line="247" w:lineRule="exact"/>
              <w:rPr>
                <w:sz w:val="20"/>
                <w:szCs w:val="20"/>
                <w:color w:val="auto"/>
              </w:rPr>
            </w:pPr>
            <w:r>
              <w:rPr>
                <w:rFonts w:ascii="Times New Roman" w:cs="Times New Roman" w:eastAsia="Times New Roman" w:hAnsi="Times New Roman"/>
                <w:sz w:val="22"/>
                <w:szCs w:val="22"/>
                <w:b w:val="1"/>
                <w:bCs w:val="1"/>
                <w:color w:val="auto"/>
                <w:highlight w:val="white"/>
              </w:rPr>
              <w:t>Terms of Awards.</w:t>
            </w:r>
          </w:p>
        </w:tc>
        <w:tc>
          <w:tcPr>
            <w:tcW w:w="118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3"/>
        </w:trPr>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highlight w:val="white"/>
              </w:rPr>
              <w:t>3.3.1</w:t>
            </w:r>
          </w:p>
        </w:tc>
        <w:tc>
          <w:tcPr>
            <w:tcW w:w="5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highlight w:val="white"/>
              </w:rPr>
              <w:t>Committee Authority.</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39"/>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ind w:left="120"/>
              <w:spacing w:after="0" w:line="239" w:lineRule="exact"/>
              <w:rPr>
                <w:sz w:val="20"/>
                <w:szCs w:val="20"/>
                <w:color w:val="auto"/>
              </w:rPr>
            </w:pPr>
            <w:r>
              <w:rPr>
                <w:rFonts w:ascii="Times New Roman" w:cs="Times New Roman" w:eastAsia="Times New Roman" w:hAnsi="Times New Roman"/>
                <w:sz w:val="22"/>
                <w:szCs w:val="22"/>
                <w:color w:val="auto"/>
                <w:highlight w:val="white"/>
              </w:rPr>
              <w:t>3.3.2</w:t>
            </w:r>
          </w:p>
        </w:tc>
        <w:tc>
          <w:tcPr>
            <w:tcW w:w="5460" w:type="dxa"/>
            <w:vAlign w:val="bottom"/>
          </w:tcPr>
          <w:p>
            <w:pPr>
              <w:spacing w:after="0" w:line="239" w:lineRule="exact"/>
              <w:rPr>
                <w:sz w:val="20"/>
                <w:szCs w:val="20"/>
                <w:color w:val="auto"/>
              </w:rPr>
            </w:pPr>
            <w:r>
              <w:rPr>
                <w:rFonts w:ascii="Times New Roman" w:cs="Times New Roman" w:eastAsia="Times New Roman" w:hAnsi="Times New Roman"/>
                <w:sz w:val="22"/>
                <w:szCs w:val="22"/>
                <w:color w:val="auto"/>
                <w:highlight w:val="white"/>
              </w:rPr>
              <w:t>Forfeiture; Recoupment.</w:t>
            </w:r>
          </w:p>
        </w:tc>
        <w:tc>
          <w:tcPr>
            <w:tcW w:w="118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3.4</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No Repricing Without Stockholder Approval.</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3.5</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Deferral Arrangement</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3.6</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No Liability.</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3.7</w:t>
            </w: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Registration; Share Certificates.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30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4.</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STOCK SUBJECT TO THE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4.1</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Number of Shares of Stock Available for Awards.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4.2</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Adjustments in Authorized Shares of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4.3</w:t>
            </w: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Share Usage.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r>
      <w:tr>
        <w:trPr>
          <w:trHeight w:val="30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5.</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TERM; AMENDMENT AND TERMINATION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5.1</w:t>
            </w:r>
          </w:p>
        </w:tc>
        <w:tc>
          <w:tcPr>
            <w:tcW w:w="7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Term.</w:t>
            </w:r>
          </w:p>
        </w:tc>
        <w:tc>
          <w:tcPr>
            <w:tcW w:w="546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14</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5.2</w:t>
            </w: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Amendment, Suspension, and Termination.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30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6.</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AWARD ELIGIBILITY AND LIMITATIONS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15</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6.1</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Eligible Grantees.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15</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6.2</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Limitation on Compensation of Non-Employee Directors.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15</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6.3</w:t>
            </w: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Stand-Alone, Additional, Tandem, and Substitute Awards.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15</w:t>
            </w:r>
          </w:p>
        </w:tc>
      </w:tr>
      <w:tr>
        <w:trPr>
          <w:trHeight w:val="351"/>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7.</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AWARD AGREEMENT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16</w:t>
            </w:r>
          </w:p>
        </w:tc>
      </w:tr>
      <w:tr>
        <w:trPr>
          <w:trHeight w:val="30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8.</w:t>
            </w:r>
          </w:p>
        </w:tc>
        <w:tc>
          <w:tcPr>
            <w:tcW w:w="7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TERMS AND CONDITIONS OF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16</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8.1</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Option Price.</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16</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8.2</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Vesting and Exercisability.</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16</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8.3</w:t>
            </w:r>
          </w:p>
        </w:tc>
        <w:tc>
          <w:tcPr>
            <w:tcW w:w="7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Term.</w:t>
            </w:r>
          </w:p>
        </w:tc>
        <w:tc>
          <w:tcPr>
            <w:tcW w:w="546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16</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8.4</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Termination of Service.</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17</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8.5</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Limitations on Exercise of Option.</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17</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8.6</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Method of Exercise.</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17</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8.7</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Rights of Holders of Options.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17</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8.8</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Delivery of Stock.</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17</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8.9</w:t>
            </w:r>
          </w:p>
        </w:tc>
        <w:tc>
          <w:tcPr>
            <w:tcW w:w="62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Transferability of Options.</w:t>
            </w:r>
          </w:p>
        </w:tc>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18</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8.10</w:t>
            </w: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Family Transfers.</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-6504940</wp:posOffset>
            </wp:positionV>
            <wp:extent cx="5452110" cy="6463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6463665"/>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6" w:name="page7"/>
    <w:bookmarkEnd w:id="6"/>
    <w:tbl>
      <w:tblPr>
        <w:tblLayout w:type="fixed"/>
        <w:tblInd w:w="220" w:type="dxa"/>
        <w:tblCellMar>
          <w:top w:w="0" w:type="dxa"/>
          <w:left w:w="0" w:type="dxa"/>
          <w:bottom w:w="0" w:type="dxa"/>
          <w:right w:w="0" w:type="dxa"/>
        </w:tblCellMar>
      </w:tblPr>
      <w:tr>
        <w:trPr>
          <w:trHeight w:val="253"/>
        </w:trPr>
        <w:tc>
          <w:tcPr>
            <w:tcW w:w="400" w:type="dxa"/>
            <w:vAlign w:val="bottom"/>
          </w:tcPr>
          <w:p>
            <w:pPr>
              <w:spacing w:after="0"/>
              <w:rPr>
                <w:sz w:val="22"/>
                <w:szCs w:val="22"/>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8.11</w:t>
            </w: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Limitations on Incentive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18</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8.12</w:t>
            </w: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Notice of Disqualifying Disposition.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18</w:t>
            </w:r>
          </w:p>
        </w:tc>
      </w:tr>
      <w:tr>
        <w:trPr>
          <w:trHeight w:val="307"/>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9.</w:t>
            </w:r>
          </w:p>
        </w:tc>
        <w:tc>
          <w:tcPr>
            <w:tcW w:w="7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TERMS AND CONDITIONS OF STOCK APPRECIATION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18</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9.1</w:t>
            </w:r>
          </w:p>
        </w:tc>
        <w:tc>
          <w:tcPr>
            <w:tcW w:w="6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Right to Payment and SAR Price.</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18</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9.2</w:t>
            </w:r>
          </w:p>
        </w:tc>
        <w:tc>
          <w:tcPr>
            <w:tcW w:w="6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Other Terms.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19</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9.3</w:t>
            </w:r>
          </w:p>
        </w:tc>
        <w:tc>
          <w:tcPr>
            <w:tcW w:w="6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Term.</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19</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9.4</w:t>
            </w:r>
          </w:p>
        </w:tc>
        <w:tc>
          <w:tcPr>
            <w:tcW w:w="6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Rights of Holders of SARs.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19</w:t>
            </w:r>
          </w:p>
        </w:tc>
      </w:tr>
      <w:tr>
        <w:trPr>
          <w:trHeight w:val="243"/>
        </w:trPr>
        <w:tc>
          <w:tcPr>
            <w:tcW w:w="400" w:type="dxa"/>
            <w:vAlign w:val="bottom"/>
          </w:tcPr>
          <w:p>
            <w:pPr>
              <w:spacing w:after="0"/>
              <w:rPr>
                <w:sz w:val="21"/>
                <w:szCs w:val="21"/>
                <w:color w:val="auto"/>
              </w:rPr>
            </w:pPr>
          </w:p>
        </w:tc>
        <w:tc>
          <w:tcPr>
            <w:tcW w:w="7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9.5</w:t>
            </w:r>
          </w:p>
        </w:tc>
        <w:tc>
          <w:tcPr>
            <w:tcW w:w="6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Transferability of SARs.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19</w:t>
            </w:r>
          </w:p>
        </w:tc>
      </w:tr>
      <w:tr>
        <w:trPr>
          <w:trHeight w:val="287"/>
        </w:trPr>
        <w:tc>
          <w:tcPr>
            <w:tcW w:w="4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highlight w:val="white"/>
              </w:rPr>
              <w:t>9.6</w:t>
            </w: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Family Transfers.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-1352550</wp:posOffset>
            </wp:positionV>
            <wp:extent cx="4629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-1198245</wp:posOffset>
            </wp:positionV>
            <wp:extent cx="4629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-1087120</wp:posOffset>
            </wp:positionV>
            <wp:extent cx="5452110" cy="1045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045845"/>
                    </a:xfrm>
                    <a:prstGeom prst="rect">
                      <a:avLst/>
                    </a:prstGeom>
                    <a:noFill/>
                  </pic:spPr>
                </pic:pic>
              </a:graphicData>
            </a:graphic>
          </wp:anchor>
        </w:drawing>
      </w:r>
    </w:p>
    <w:p>
      <w:pPr>
        <w:spacing w:after="0" w:line="48" w:lineRule="exact"/>
        <w:rPr>
          <w:sz w:val="20"/>
          <w:szCs w:val="20"/>
          <w:color w:val="auto"/>
        </w:rPr>
      </w:pPr>
    </w:p>
    <w:p>
      <w:pPr>
        <w:ind w:left="880" w:hanging="669"/>
        <w:spacing w:after="0"/>
        <w:tabs>
          <w:tab w:leader="none" w:pos="8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CONDITIONS OF RESTRICTED STOCK, RESTRICTED STOCK</w:t>
      </w:r>
    </w:p>
    <w:tbl>
      <w:tblPr>
        <w:tblLayout w:type="fixed"/>
        <w:tblInd w:w="860" w:type="dxa"/>
        <w:tblCellMar>
          <w:top w:w="0" w:type="dxa"/>
          <w:left w:w="0" w:type="dxa"/>
          <w:bottom w:w="0" w:type="dxa"/>
          <w:right w:w="0" w:type="dxa"/>
        </w:tblCellMar>
      </w:tblPr>
      <w:tr>
        <w:trPr>
          <w:trHeight w:val="229"/>
        </w:trPr>
        <w:tc>
          <w:tcPr>
            <w:tcW w:w="77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highlight w:val="white"/>
              </w:rPr>
              <w:t>UNITS, AND DEFERRED STOCK UNITS</w:t>
            </w:r>
          </w:p>
        </w:tc>
        <w:tc>
          <w:tcPr>
            <w:tcW w:w="2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highlight w:val="white"/>
                <w:w w:val="90"/>
              </w:rPr>
              <w:t>20</w:t>
            </w:r>
          </w:p>
        </w:tc>
        <w:tc>
          <w:tcPr>
            <w:tcW w:w="0" w:type="dxa"/>
            <w:vAlign w:val="bottom"/>
          </w:tcPr>
          <w:p>
            <w:pPr>
              <w:spacing w:after="0"/>
              <w:rPr>
                <w:sz w:val="1"/>
                <w:szCs w:val="1"/>
                <w:color w:val="auto"/>
              </w:rPr>
            </w:pPr>
          </w:p>
        </w:tc>
      </w:tr>
      <w:tr>
        <w:trPr>
          <w:trHeight w:val="287"/>
        </w:trPr>
        <w:tc>
          <w:tcPr>
            <w:tcW w:w="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10.1</w:t>
            </w:r>
          </w:p>
        </w:tc>
        <w:tc>
          <w:tcPr>
            <w:tcW w:w="72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w w:val="98"/>
              </w:rPr>
              <w:t>Grant of Restricted Stock, Restricted Stock Units, and Deferred Stock Units.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highlight w:val="white"/>
                <w:w w:val="90"/>
              </w:rPr>
              <w:t>20</w:t>
            </w:r>
          </w:p>
        </w:tc>
        <w:tc>
          <w:tcPr>
            <w:tcW w:w="0" w:type="dxa"/>
            <w:vAlign w:val="bottom"/>
          </w:tcPr>
          <w:p>
            <w:pPr>
              <w:spacing w:after="0"/>
              <w:rPr>
                <w:sz w:val="1"/>
                <w:szCs w:val="1"/>
                <w:color w:val="auto"/>
              </w:rPr>
            </w:pPr>
          </w:p>
        </w:tc>
      </w:tr>
      <w:tr>
        <w:trPr>
          <w:trHeight w:val="203"/>
        </w:trPr>
        <w:tc>
          <w:tcPr>
            <w:tcW w:w="5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highlight w:val="white"/>
              </w:rPr>
              <w:t>10.2</w:t>
            </w:r>
          </w:p>
        </w:tc>
        <w:tc>
          <w:tcPr>
            <w:tcW w:w="7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Restrictions.</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0" w:type="dxa"/>
            <w:vAlign w:val="bottom"/>
            <w:vMerge w:val="continue"/>
          </w:tcPr>
          <w:p>
            <w:pPr>
              <w:spacing w:after="0"/>
              <w:rPr>
                <w:sz w:val="20"/>
                <w:szCs w:val="20"/>
                <w:color w:val="auto"/>
              </w:rPr>
            </w:pPr>
          </w:p>
        </w:tc>
        <w:tc>
          <w:tcPr>
            <w:tcW w:w="7200" w:type="dxa"/>
            <w:vAlign w:val="bottom"/>
            <w:vMerge w:val="continue"/>
          </w:tcPr>
          <w:p>
            <w:pPr>
              <w:spacing w:after="0"/>
              <w:rPr>
                <w:sz w:val="20"/>
                <w:szCs w:val="20"/>
                <w:color w:val="auto"/>
              </w:rPr>
            </w:pPr>
          </w:p>
        </w:tc>
        <w:tc>
          <w:tcPr>
            <w:tcW w:w="22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highlight w:val="white"/>
                <w:w w:val="90"/>
              </w:rPr>
              <w:t>20</w:t>
            </w:r>
          </w:p>
        </w:tc>
        <w:tc>
          <w:tcPr>
            <w:tcW w:w="0" w:type="dxa"/>
            <w:vAlign w:val="bottom"/>
          </w:tcPr>
          <w:p>
            <w:pPr>
              <w:spacing w:after="0"/>
              <w:rPr>
                <w:sz w:val="1"/>
                <w:szCs w:val="1"/>
                <w:color w:val="auto"/>
              </w:rPr>
            </w:pP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10.3</w:t>
            </w:r>
          </w:p>
        </w:tc>
        <w:tc>
          <w:tcPr>
            <w:tcW w:w="7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Registration; Restricted Stock Certificates.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0"/>
              </w:rPr>
              <w:t>20</w:t>
            </w:r>
          </w:p>
        </w:tc>
        <w:tc>
          <w:tcPr>
            <w:tcW w:w="0" w:type="dxa"/>
            <w:vAlign w:val="bottom"/>
          </w:tcPr>
          <w:p>
            <w:pPr>
              <w:spacing w:after="0"/>
              <w:rPr>
                <w:sz w:val="1"/>
                <w:szCs w:val="1"/>
                <w:color w:val="auto"/>
              </w:rPr>
            </w:pP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10.4</w:t>
            </w:r>
          </w:p>
        </w:tc>
        <w:tc>
          <w:tcPr>
            <w:tcW w:w="7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Rights of Holders of Restricted Stock.</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0"/>
              </w:rPr>
              <w:t>21</w:t>
            </w:r>
          </w:p>
        </w:tc>
        <w:tc>
          <w:tcPr>
            <w:tcW w:w="0" w:type="dxa"/>
            <w:vAlign w:val="bottom"/>
          </w:tcPr>
          <w:p>
            <w:pPr>
              <w:spacing w:after="0"/>
              <w:rPr>
                <w:sz w:val="1"/>
                <w:szCs w:val="1"/>
                <w:color w:val="auto"/>
              </w:rPr>
            </w:pPr>
          </w:p>
        </w:tc>
      </w:tr>
      <w:tr>
        <w:trPr>
          <w:trHeight w:val="247"/>
        </w:trPr>
        <w:tc>
          <w:tcPr>
            <w:tcW w:w="52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highlight w:val="white"/>
              </w:rPr>
              <w:t>10.5</w:t>
            </w:r>
          </w:p>
        </w:tc>
        <w:tc>
          <w:tcPr>
            <w:tcW w:w="7200" w:type="dxa"/>
            <w:vAlign w:val="bottom"/>
          </w:tcPr>
          <w:p>
            <w:pPr>
              <w:ind w:left="140"/>
              <w:spacing w:after="0" w:line="247" w:lineRule="exact"/>
              <w:rPr>
                <w:sz w:val="20"/>
                <w:szCs w:val="20"/>
                <w:color w:val="auto"/>
              </w:rPr>
            </w:pPr>
            <w:r>
              <w:rPr>
                <w:rFonts w:ascii="Times New Roman" w:cs="Times New Roman" w:eastAsia="Times New Roman" w:hAnsi="Times New Roman"/>
                <w:sz w:val="22"/>
                <w:szCs w:val="22"/>
                <w:b w:val="1"/>
                <w:bCs w:val="1"/>
                <w:color w:val="auto"/>
                <w:highlight w:val="white"/>
              </w:rPr>
              <w:t>Rights of Holders of Restricted Stock Units and Deferred Stock Units.</w:t>
            </w:r>
          </w:p>
        </w:tc>
        <w:tc>
          <w:tcPr>
            <w:tcW w:w="2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highlight w:val="white"/>
                <w:w w:val="90"/>
              </w:rPr>
              <w:t>21</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7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highlight w:val="white"/>
              </w:rPr>
              <w:t>10.5.1 Voting and Dividend Rights.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0"/>
              </w:rPr>
              <w:t>21</w:t>
            </w: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7200" w:type="dxa"/>
            <w:vAlign w:val="bottom"/>
          </w:tcPr>
          <w:p>
            <w:pPr>
              <w:ind w:left="120"/>
              <w:spacing w:after="0" w:line="239" w:lineRule="exact"/>
              <w:rPr>
                <w:sz w:val="20"/>
                <w:szCs w:val="20"/>
                <w:color w:val="auto"/>
              </w:rPr>
            </w:pPr>
            <w:r>
              <w:rPr>
                <w:rFonts w:ascii="Times New Roman" w:cs="Times New Roman" w:eastAsia="Times New Roman" w:hAnsi="Times New Roman"/>
                <w:sz w:val="22"/>
                <w:szCs w:val="22"/>
                <w:color w:val="auto"/>
                <w:highlight w:val="white"/>
              </w:rPr>
              <w:t>10.5.2 Creditor’s Rights.</w:t>
            </w:r>
          </w:p>
        </w:tc>
        <w:tc>
          <w:tcPr>
            <w:tcW w:w="22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highlight w:val="white"/>
                <w:w w:val="90"/>
              </w:rPr>
              <w:t>21</w:t>
            </w:r>
          </w:p>
        </w:tc>
        <w:tc>
          <w:tcPr>
            <w:tcW w:w="0" w:type="dxa"/>
            <w:vAlign w:val="bottom"/>
          </w:tcPr>
          <w:p>
            <w:pPr>
              <w:spacing w:after="0"/>
              <w:rPr>
                <w:sz w:val="1"/>
                <w:szCs w:val="1"/>
                <w:color w:val="auto"/>
              </w:rPr>
            </w:pP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10.6</w:t>
            </w:r>
          </w:p>
        </w:tc>
        <w:tc>
          <w:tcPr>
            <w:tcW w:w="7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Termination of Service.</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0"/>
              </w:rPr>
              <w:t>21</w:t>
            </w:r>
          </w:p>
        </w:tc>
        <w:tc>
          <w:tcPr>
            <w:tcW w:w="0" w:type="dxa"/>
            <w:vAlign w:val="bottom"/>
          </w:tcPr>
          <w:p>
            <w:pPr>
              <w:spacing w:after="0"/>
              <w:rPr>
                <w:sz w:val="1"/>
                <w:szCs w:val="1"/>
                <w:color w:val="auto"/>
              </w:rPr>
            </w:pP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10.7</w:t>
            </w:r>
          </w:p>
        </w:tc>
        <w:tc>
          <w:tcPr>
            <w:tcW w:w="7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Purchase of Restricted Stock.</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w w:val="90"/>
              </w:rPr>
              <w:t>22</w:t>
            </w:r>
          </w:p>
        </w:tc>
        <w:tc>
          <w:tcPr>
            <w:tcW w:w="0" w:type="dxa"/>
            <w:vAlign w:val="bottom"/>
          </w:tcPr>
          <w:p>
            <w:pPr>
              <w:spacing w:after="0"/>
              <w:rPr>
                <w:sz w:val="1"/>
                <w:szCs w:val="1"/>
                <w:color w:val="auto"/>
              </w:rPr>
            </w:pPr>
          </w:p>
        </w:tc>
      </w:tr>
      <w:tr>
        <w:trPr>
          <w:trHeight w:val="287"/>
        </w:trPr>
        <w:tc>
          <w:tcPr>
            <w:tcW w:w="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highlight w:val="white"/>
              </w:rPr>
              <w:t>10.8</w:t>
            </w:r>
          </w:p>
        </w:tc>
        <w:tc>
          <w:tcPr>
            <w:tcW w:w="72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Delivery of Shares of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w w:val="90"/>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-1747520</wp:posOffset>
            </wp:positionV>
            <wp:extent cx="5040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-1438910</wp:posOffset>
            </wp:positionV>
            <wp:extent cx="4629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-1283970</wp:posOffset>
            </wp:positionV>
            <wp:extent cx="4629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-1130300</wp:posOffset>
            </wp:positionV>
            <wp:extent cx="4629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-975995</wp:posOffset>
            </wp:positionV>
            <wp:extent cx="4629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-821690</wp:posOffset>
            </wp:positionV>
            <wp:extent cx="4629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-667385</wp:posOffset>
            </wp:positionV>
            <wp:extent cx="4217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-512445</wp:posOffset>
            </wp:positionV>
            <wp:extent cx="4217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-358775</wp:posOffset>
            </wp:positionV>
            <wp:extent cx="4629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-204470</wp:posOffset>
            </wp:positionV>
            <wp:extent cx="4629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-50165</wp:posOffset>
            </wp:positionV>
            <wp:extent cx="4629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48" w:lineRule="exact"/>
        <w:rPr>
          <w:sz w:val="20"/>
          <w:szCs w:val="20"/>
          <w:color w:val="auto"/>
        </w:rPr>
      </w:pPr>
    </w:p>
    <w:p>
      <w:pPr>
        <w:ind w:left="880" w:hanging="669"/>
        <w:spacing w:after="0"/>
        <w:tabs>
          <w:tab w:leader="none" w:pos="8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CONDITIONS OF UNRESTRICTED STOCK AWARDS AND OTHER</w:t>
      </w:r>
    </w:p>
    <w:tbl>
      <w:tblPr>
        <w:tblLayout w:type="fixed"/>
        <w:tblInd w:w="22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7220" w:type="dxa"/>
            <w:vAlign w:val="bottom"/>
            <w:gridSpan w:val="2"/>
          </w:tcPr>
          <w:p>
            <w:pPr>
              <w:ind w:left="200"/>
              <w:spacing w:after="0" w:line="229" w:lineRule="exact"/>
              <w:rPr>
                <w:sz w:val="20"/>
                <w:szCs w:val="20"/>
                <w:color w:val="auto"/>
              </w:rPr>
            </w:pPr>
            <w:r>
              <w:rPr>
                <w:rFonts w:ascii="Times New Roman" w:cs="Times New Roman" w:eastAsia="Times New Roman" w:hAnsi="Times New Roman"/>
                <w:sz w:val="22"/>
                <w:szCs w:val="22"/>
                <w:color w:val="auto"/>
                <w:highlight w:val="white"/>
              </w:rPr>
              <w:t>EQUITY-BASED AWARDS</w:t>
            </w:r>
          </w:p>
        </w:tc>
        <w:tc>
          <w:tcPr>
            <w:tcW w:w="92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highlight w:val="white"/>
              </w:rPr>
              <w:t>22</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11.1</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Unrestricted Stock Awards.</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22</w:t>
            </w:r>
          </w:p>
        </w:tc>
      </w:tr>
      <w:tr>
        <w:trPr>
          <w:trHeight w:val="287"/>
        </w:trPr>
        <w:tc>
          <w:tcPr>
            <w:tcW w:w="44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11.2</w:t>
            </w:r>
          </w:p>
        </w:tc>
        <w:tc>
          <w:tcPr>
            <w:tcW w:w="65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Other Equity-Based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23</w:t>
            </w:r>
          </w:p>
        </w:tc>
      </w:tr>
      <w:tr>
        <w:trPr>
          <w:trHeight w:val="307"/>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12.</w:t>
            </w: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TERMS AND CONDITIONS OF DIVIDEND EQUIVALENT RIGHTS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23</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12.1</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Dividend Equivalent Rights.</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23</w:t>
            </w:r>
          </w:p>
        </w:tc>
      </w:tr>
      <w:tr>
        <w:trPr>
          <w:trHeight w:val="287"/>
        </w:trPr>
        <w:tc>
          <w:tcPr>
            <w:tcW w:w="44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12.2</w:t>
            </w:r>
          </w:p>
        </w:tc>
        <w:tc>
          <w:tcPr>
            <w:tcW w:w="65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Termination of Service.</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23</w:t>
            </w:r>
          </w:p>
        </w:tc>
      </w:tr>
      <w:tr>
        <w:trPr>
          <w:trHeight w:val="307"/>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13.</w:t>
            </w: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TERMS AND CONDITIONS OF PERFORMANCE-BASED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24</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13.1</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Grant of Performance-Based Awards.</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24</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13.2</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Value of Performance-Based Awards.</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24</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13.3</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Earning of Performance-Based Awards.</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24</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13.4</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Form and Timing of Payment of Performance-Based Awards.</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24</w:t>
            </w:r>
          </w:p>
        </w:tc>
      </w:tr>
      <w:tr>
        <w:trPr>
          <w:trHeight w:val="287"/>
        </w:trPr>
        <w:tc>
          <w:tcPr>
            <w:tcW w:w="44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13.5</w:t>
            </w:r>
          </w:p>
        </w:tc>
        <w:tc>
          <w:tcPr>
            <w:tcW w:w="65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Performance Conditions</w:t>
            </w:r>
            <w:r>
              <w:rPr>
                <w:rFonts w:ascii="Times New Roman" w:cs="Times New Roman" w:eastAsia="Times New Roman" w:hAnsi="Times New Roman"/>
                <w:sz w:val="22"/>
                <w:szCs w:val="22"/>
                <w:color w:val="auto"/>
                <w:highlight w:val="whit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24</w:t>
            </w:r>
          </w:p>
        </w:tc>
      </w:tr>
      <w:tr>
        <w:trPr>
          <w:trHeight w:val="307"/>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14.</w:t>
            </w: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FORMS OF PAYMENT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25</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14.1</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General Rule.</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25</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14.2</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Surrender of Shares of Stock.</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25</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14.3</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Cashless Exercise.</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25</w:t>
            </w:r>
          </w:p>
        </w:tc>
      </w:tr>
      <w:tr>
        <w:trPr>
          <w:trHeight w:val="287"/>
        </w:trPr>
        <w:tc>
          <w:tcPr>
            <w:tcW w:w="44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14.4</w:t>
            </w:r>
          </w:p>
        </w:tc>
        <w:tc>
          <w:tcPr>
            <w:tcW w:w="65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Other Forms of Payment.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25</w:t>
            </w:r>
          </w:p>
        </w:tc>
      </w:tr>
      <w:tr>
        <w:trPr>
          <w:trHeight w:val="307"/>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15.</w:t>
            </w: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REQUIREMENTS OF LAW</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25</w:t>
            </w:r>
          </w:p>
        </w:tc>
      </w:tr>
      <w:tr>
        <w:trPr>
          <w:trHeight w:val="243"/>
        </w:trPr>
        <w:tc>
          <w:tcPr>
            <w:tcW w:w="440" w:type="dxa"/>
            <w:vAlign w:val="bottom"/>
          </w:tcPr>
          <w:p>
            <w:pPr>
              <w:spacing w:after="0"/>
              <w:rPr>
                <w:sz w:val="21"/>
                <w:szCs w:val="21"/>
                <w:color w:val="auto"/>
              </w:rPr>
            </w:pPr>
          </w:p>
        </w:tc>
        <w:tc>
          <w:tcPr>
            <w:tcW w:w="7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15.1</w:t>
            </w:r>
          </w:p>
        </w:tc>
        <w:tc>
          <w:tcPr>
            <w:tcW w:w="6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General.</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25</w:t>
            </w:r>
          </w:p>
        </w:tc>
      </w:tr>
      <w:tr>
        <w:trPr>
          <w:trHeight w:val="287"/>
        </w:trPr>
        <w:tc>
          <w:tcPr>
            <w:tcW w:w="44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15.2</w:t>
            </w:r>
          </w:p>
        </w:tc>
        <w:tc>
          <w:tcPr>
            <w:tcW w:w="650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highlight w:val="white"/>
              </w:rPr>
              <w:t>Rule 16b-3.</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26</w:t>
            </w:r>
          </w:p>
        </w:tc>
      </w:tr>
      <w:tr>
        <w:trPr>
          <w:trHeight w:val="351"/>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16.</w:t>
            </w: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EFFECT OF CHANGES IN CAPITALIZATION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-3478530</wp:posOffset>
            </wp:positionV>
            <wp:extent cx="50406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-3324225</wp:posOffset>
            </wp:positionV>
            <wp:extent cx="4629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-3169920</wp:posOffset>
            </wp:positionV>
            <wp:extent cx="4629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-2947035</wp:posOffset>
            </wp:positionV>
            <wp:extent cx="5040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-2792730</wp:posOffset>
            </wp:positionV>
            <wp:extent cx="4629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-2638425</wp:posOffset>
            </wp:positionV>
            <wp:extent cx="4629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-2415540</wp:posOffset>
            </wp:positionV>
            <wp:extent cx="5040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-2261235</wp:posOffset>
            </wp:positionV>
            <wp:extent cx="4629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-2106930</wp:posOffset>
            </wp:positionV>
            <wp:extent cx="4629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-1952625</wp:posOffset>
            </wp:positionV>
            <wp:extent cx="4629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-1798320</wp:posOffset>
            </wp:positionV>
            <wp:extent cx="4629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-1644015</wp:posOffset>
            </wp:positionV>
            <wp:extent cx="4629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-1421130</wp:posOffset>
            </wp:positionV>
            <wp:extent cx="50406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-1266825</wp:posOffset>
            </wp:positionV>
            <wp:extent cx="4629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-1112520</wp:posOffset>
            </wp:positionV>
            <wp:extent cx="4629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-958215</wp:posOffset>
            </wp:positionV>
            <wp:extent cx="4629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-804545</wp:posOffset>
            </wp:positionV>
            <wp:extent cx="4629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-581025</wp:posOffset>
            </wp:positionV>
            <wp:extent cx="50406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-426720</wp:posOffset>
            </wp:positionV>
            <wp:extent cx="4629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-272415</wp:posOffset>
            </wp:positionV>
            <wp:extent cx="4629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-50165</wp:posOffset>
            </wp:positionV>
            <wp:extent cx="50406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tbl>
      <w:tblPr>
        <w:tblLayout w:type="fixed"/>
        <w:tblInd w:w="220" w:type="dxa"/>
        <w:tblCellMar>
          <w:top w:w="0" w:type="dxa"/>
          <w:left w:w="0" w:type="dxa"/>
          <w:bottom w:w="0" w:type="dxa"/>
          <w:right w:w="0" w:type="dxa"/>
        </w:tblCellMar>
      </w:tblPr>
      <w:tr>
        <w:trPr>
          <w:trHeight w:val="253"/>
        </w:trPr>
        <w:tc>
          <w:tcPr>
            <w:tcW w:w="44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16.1</w:t>
            </w:r>
          </w:p>
        </w:tc>
        <w:tc>
          <w:tcPr>
            <w:tcW w:w="6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highlight w:val="white"/>
              </w:rPr>
              <w:t>Changes in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26</w:t>
            </w:r>
          </w:p>
        </w:tc>
      </w:tr>
      <w:tr>
        <w:trPr>
          <w:trHeight w:val="244"/>
        </w:trPr>
        <w:tc>
          <w:tcPr>
            <w:tcW w:w="440" w:type="dxa"/>
            <w:vAlign w:val="bottom"/>
          </w:tcPr>
          <w:p>
            <w:pPr>
              <w:spacing w:after="0"/>
              <w:rPr>
                <w:sz w:val="21"/>
                <w:szCs w:val="21"/>
                <w:color w:val="auto"/>
              </w:rPr>
            </w:pPr>
          </w:p>
        </w:tc>
        <w:tc>
          <w:tcPr>
            <w:tcW w:w="760" w:type="dxa"/>
            <w:vAlign w:val="bottom"/>
          </w:tcPr>
          <w:p>
            <w:pPr>
              <w:ind w:left="200"/>
              <w:spacing w:after="0" w:line="244" w:lineRule="exact"/>
              <w:rPr>
                <w:sz w:val="20"/>
                <w:szCs w:val="20"/>
                <w:color w:val="auto"/>
              </w:rPr>
            </w:pPr>
            <w:r>
              <w:rPr>
                <w:rFonts w:ascii="Times New Roman" w:cs="Times New Roman" w:eastAsia="Times New Roman" w:hAnsi="Times New Roman"/>
                <w:sz w:val="22"/>
                <w:szCs w:val="22"/>
                <w:b w:val="1"/>
                <w:bCs w:val="1"/>
                <w:color w:val="auto"/>
              </w:rPr>
              <w:t>16.2</w:t>
            </w:r>
          </w:p>
        </w:tc>
        <w:tc>
          <w:tcPr>
            <w:tcW w:w="7380" w:type="dxa"/>
            <w:vAlign w:val="bottom"/>
            <w:gridSpan w:val="2"/>
          </w:tcPr>
          <w:p>
            <w:pPr>
              <w:ind w:left="100"/>
              <w:spacing w:after="0" w:line="244" w:lineRule="exact"/>
              <w:rPr>
                <w:sz w:val="20"/>
                <w:szCs w:val="20"/>
                <w:color w:val="auto"/>
              </w:rPr>
            </w:pPr>
            <w:r>
              <w:rPr>
                <w:rFonts w:ascii="Times New Roman" w:cs="Times New Roman" w:eastAsia="Times New Roman" w:hAnsi="Times New Roman"/>
                <w:sz w:val="22"/>
                <w:szCs w:val="22"/>
                <w:b w:val="1"/>
                <w:bCs w:val="1"/>
                <w:color w:val="auto"/>
                <w:w w:val="97"/>
              </w:rPr>
              <w:t>Reorganization in Which the Company Is the Surviving Entity Which Does not</w:t>
            </w:r>
          </w:p>
        </w:tc>
      </w:tr>
      <w:tr>
        <w:trPr>
          <w:trHeight w:val="242"/>
        </w:trPr>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Constitute a Change in Control.</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27</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16.3</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Change in Control in which Awards are not Assumed.</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28</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16.4</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Change in Control in which Awards are Assumed.</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29</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16.5</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Adjustments.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29</w:t>
            </w:r>
          </w:p>
        </w:tc>
      </w:tr>
      <w:tr>
        <w:trPr>
          <w:trHeight w:val="287"/>
        </w:trPr>
        <w:tc>
          <w:tcPr>
            <w:tcW w:w="4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16.6</w:t>
            </w:r>
          </w:p>
        </w:tc>
        <w:tc>
          <w:tcPr>
            <w:tcW w:w="6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highlight w:val="white"/>
              </w:rPr>
              <w:t>No Limitations on Company.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30</w:t>
            </w:r>
          </w:p>
        </w:tc>
      </w:tr>
      <w:tr>
        <w:trPr>
          <w:trHeight w:val="351"/>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17.</w:t>
            </w:r>
          </w:p>
        </w:tc>
        <w:tc>
          <w:tcPr>
            <w:tcW w:w="68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PARACHUTE LIMITATIONS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30</w:t>
            </w:r>
          </w:p>
        </w:tc>
      </w:tr>
      <w:tr>
        <w:trPr>
          <w:trHeight w:val="307"/>
        </w:trPr>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highlight w:val="white"/>
                <w:w w:val="87"/>
              </w:rPr>
              <w:t>18.</w:t>
            </w:r>
          </w:p>
        </w:tc>
        <w:tc>
          <w:tcPr>
            <w:tcW w:w="68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highlight w:val="white"/>
              </w:rPr>
              <w:t>GENERAL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31</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18.1</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Disclaimer of Rights.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18.2</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Nonexclusivity of the Plan.</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18.3</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Withholding Taxes.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31</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18.4</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Protected Rights.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32</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18.5</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Captions.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32</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18.6</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Construction.</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18.7</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Other Provisions.</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18.8</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Number and Gender.</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33</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18.9</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Severability.</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33</w:t>
            </w:r>
          </w:p>
        </w:tc>
      </w:tr>
      <w:tr>
        <w:trPr>
          <w:trHeight w:val="243"/>
        </w:trPr>
        <w:tc>
          <w:tcPr>
            <w:tcW w:w="440" w:type="dxa"/>
            <w:vAlign w:val="bottom"/>
          </w:tcPr>
          <w:p>
            <w:pPr>
              <w:spacing w:after="0"/>
              <w:rPr>
                <w:sz w:val="21"/>
                <w:szCs w:val="21"/>
                <w:color w:val="auto"/>
              </w:rPr>
            </w:pPr>
          </w:p>
        </w:tc>
        <w:tc>
          <w:tcPr>
            <w:tcW w:w="7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18.10</w:t>
            </w:r>
          </w:p>
        </w:tc>
        <w:tc>
          <w:tcPr>
            <w:tcW w:w="61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highlight w:val="white"/>
              </w:rPr>
              <w:t>Governing Law.</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33</w:t>
            </w:r>
          </w:p>
        </w:tc>
      </w:tr>
      <w:tr>
        <w:trPr>
          <w:trHeight w:val="287"/>
        </w:trPr>
        <w:tc>
          <w:tcPr>
            <w:tcW w:w="4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highlight w:val="white"/>
              </w:rPr>
              <w:t>18.11</w:t>
            </w:r>
          </w:p>
        </w:tc>
        <w:tc>
          <w:tcPr>
            <w:tcW w:w="6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highlight w:val="white"/>
              </w:rPr>
              <w:t>Section 409A of the Code.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-3118485</wp:posOffset>
            </wp:positionV>
            <wp:extent cx="4629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-2809875</wp:posOffset>
            </wp:positionV>
            <wp:extent cx="4629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-2655570</wp:posOffset>
            </wp:positionV>
            <wp:extent cx="4629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-2501265</wp:posOffset>
            </wp:positionV>
            <wp:extent cx="4629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-2346960</wp:posOffset>
            </wp:positionV>
            <wp:extent cx="4629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-2192655</wp:posOffset>
            </wp:positionV>
            <wp:extent cx="4629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-1969770</wp:posOffset>
            </wp:positionV>
            <wp:extent cx="50406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-1746885</wp:posOffset>
            </wp:positionV>
            <wp:extent cx="50406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-1592580</wp:posOffset>
            </wp:positionV>
            <wp:extent cx="4629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-1550035</wp:posOffset>
            </wp:positionV>
            <wp:extent cx="4629150" cy="1508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29150" cy="150876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NEXTCURE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2019 OMNIBUS INCENTIVE PLAN</w:t>
      </w:r>
    </w:p>
    <w:p>
      <w:pPr>
        <w:spacing w:after="0" w:line="206" w:lineRule="exact"/>
        <w:rPr>
          <w:sz w:val="20"/>
          <w:szCs w:val="20"/>
          <w:color w:val="auto"/>
        </w:rPr>
      </w:pPr>
    </w:p>
    <w:p>
      <w:pPr>
        <w:ind w:left="860" w:hanging="651"/>
        <w:spacing w:after="0"/>
        <w:tabs>
          <w:tab w:leader="none" w:pos="8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Plan is intended to (a) provide eligible individuals with an incentive to contribute to the success of the Company and to operate and manage the Company’s business in a manner that will provide for the Company’s long-term growth and profitability and that will benefit its stockholders and other important stakeholders, including its employees and customers, and (b) provide a means of recruiting, rewarding, and retaining key personnel. To this end, the Plan provides for the grant of Awards of Options, Stock Appreciation Rights, Restricted Stock, Restricted Stock Units, Deferred Stock Units, Unrestricted Stock, Dividend Equivalent Rights, Other Equity-Based Awards, and cash bonus awards. Any of these Awards may, but need not, be made as performance incentives to reward the holders of such Awards for the achievement of performance conditions in accordance with the terms of the Plan. Options granted under the Plan may be Nonqualified Stock Options or Incentive Stock Options, as provided herein.</w:t>
      </w:r>
    </w:p>
    <w:p>
      <w:pPr>
        <w:spacing w:after="0" w:line="183" w:lineRule="exact"/>
        <w:rPr>
          <w:sz w:val="20"/>
          <w:szCs w:val="20"/>
          <w:color w:val="auto"/>
        </w:rPr>
      </w:pPr>
    </w:p>
    <w:p>
      <w:pPr>
        <w:ind w:left="860" w:hanging="651"/>
        <w:spacing w:after="0"/>
        <w:tabs>
          <w:tab w:leader="none" w:pos="8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For purposes of interpreting the Plan documents, including the Plan and Award Agreements, the following capitalized terms shall have the meanings specified below, unless the context clearly indicates otherwise:</w:t>
      </w:r>
    </w:p>
    <w:p>
      <w:pPr>
        <w:spacing w:after="0" w:line="169"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any Person that controls, is controlled by, or is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control with the Company within the meaning of Rule 405 of Regulation C under the Securities Act, including any Subsidiary. For purposes of grants of Options or Stock Appreciation Rights, an entity may not be considered an Affiliate unless the Company holds a Controlling Interest in such entity. “Controlling Interest” shall have the meaning set forth in Treasury Regulation Section 1.414(c)-2(b)(2)(i); provided that (a) except as specified in clause (b) below, an interest of “at least 50 percent” shall be used instead of an interest of “at least 80 percent” in each case where “at least 80 percent” appears in Treasury Regulation Section 1.414(c)-2(b)(2)(i), and</w:t>
      </w:r>
    </w:p>
    <w:p>
      <w:pPr>
        <w:spacing w:after="0" w:line="7" w:lineRule="exact"/>
        <w:rPr>
          <w:sz w:val="20"/>
          <w:szCs w:val="20"/>
          <w:color w:val="auto"/>
        </w:rPr>
      </w:pPr>
    </w:p>
    <w:p>
      <w:pPr>
        <w:jc w:val="both"/>
        <w:ind w:left="200" w:right="219" w:firstLine="9"/>
        <w:spacing w:after="0" w:line="234" w:lineRule="auto"/>
        <w:tabs>
          <w:tab w:leader="none" w:pos="53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grant of Options or Stock Appreciation Rights is based upon a legitimate business criterion, an interest of “at least 20 percent” shall be used instead of an interest of “at least 80 percent” in each case where “at least 80 percent” appears in Treasury Regulation Section 1.414(c)-2(b)(2)(i).</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shall mean the legal requirements relating to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under (a) applicable provisions of the Code, the Securities Act, the Exchange Act, any rules or regulations thereunder, and any other laws, rules, regulations, and government orders of any jurisdiction applicable to the Company or its Affiliates, (b) applicable provisions of the corporate, securities, tax, and other laws, rules, regulations, and government orders of any jurisdiction applicable to Awards granted to residents thereof, and (c) the rules of any Stock Exchange or Securities Market on which the Stock is listed or publicly traded.</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shall mean a grant under the Plan of an Option, a Stock Appreciation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Restricted Stock, a Restricted Stock Unit, a Deferred Stock Unit, Unrestricted Stock, a Dividend Equivalent Right, an Other Equity-Based Award, 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 w:name="page10"/>
    <w:bookmarkEnd w:id="9"/>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shall mean the agreement, in such written, electronic,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as determined by the Committee, that evidences and sets forth the terms and conditions of an Award.</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Benefit Arrangement</w:t>
      </w:r>
      <w:r>
        <w:rPr>
          <w:rFonts w:ascii="Times New Roman" w:cs="Times New Roman" w:eastAsia="Times New Roman" w:hAnsi="Times New Roman"/>
          <w:sz w:val="22"/>
          <w:szCs w:val="22"/>
          <w:color w:val="auto"/>
        </w:rPr>
        <w:t>” shall mean any formal or informal plan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for the direct or indirect provision of compensation to a Grantee (including groups or classes of Grantees or beneficiaries of which the Grantee is a member), whether or not such compensation is deferred, is in cash, or is in the form of a benefit to or for the Grantee.</w:t>
      </w:r>
    </w:p>
    <w:p>
      <w:pPr>
        <w:spacing w:after="0" w:line="17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shall mean the Board of Directors of the Company.</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2.7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have the meaning set forth in an applicable agreement between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Grantee and the Company or an Affiliate in effect as of the Grant Date, and in the absence of any such agreement, shall mean, with respect to any Grantee and as determined by the Committee, (a) gross negligence or willful misconduct in connection with the performance of duties; (b) conviction of a criminal offense (other than minor traffic offenses); (c) material breach of any term of any employment, independent contractor, consulting or other services, confidentiality, intellectual property or non-competition agreements, if any, between the Grantee and the Company or an Affiliate thereof that the Grantee has failed to cure, if curable, as determined by the Committee, within twenty (20) days following the Grantee’s receipt of written notice from the Company setting forth such breach; (d) breach of any material policy of the Company or any of its Affiliates that the Grantee has failed to cure, if curable, as determined by the Committee, within twenty (20) days following the Grantee’s receipt of written notice from the Company setting forth such breach; or (e) commission of an act of embezzlement or fraud. For purposes of the Plan, no act or failure to act on a Grantee’s part shall be considered “willful” unless done or omitted to be done by the Grantee not in good faith and without reasonable belief that the Grantee’s action or omission was in the best interests of the Company. Any determination by the Committee regarding whether an event constituting Cause shall have occurred shall be final, binding, and conclusive.</w:t>
      </w:r>
    </w:p>
    <w:p>
      <w:pPr>
        <w:spacing w:after="0" w:line="17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shall mean, with respect to any Person, any and all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participations, or other equivalents (however designated, whether voting or non-voting) in equity of such Person, whether outstanding on the Effective Date or issued thereafter, including, without limitation, all shares of Stock.</w:t>
      </w:r>
    </w:p>
    <w:p>
      <w:pPr>
        <w:spacing w:after="0" w:line="172"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subject to</w:t>
      </w:r>
      <w:r>
        <w:rPr>
          <w:rFonts w:ascii="Times New Roman" w:cs="Times New Roman" w:eastAsia="Times New Roman" w:hAnsi="Times New Roman"/>
          <w:sz w:val="22"/>
          <w:szCs w:val="22"/>
          <w:b w:val="1"/>
          <w:bCs w:val="1"/>
          <w:color w:val="auto"/>
        </w:rPr>
        <w:t xml:space="preserve"> Section 18.10, </w:t>
      </w:r>
      <w:r>
        <w:rPr>
          <w:rFonts w:ascii="Times New Roman" w:cs="Times New Roman" w:eastAsia="Times New Roman" w:hAnsi="Times New Roman"/>
          <w:sz w:val="22"/>
          <w:szCs w:val="22"/>
          <w:color w:val="auto"/>
        </w:rPr>
        <w:t>the occurrence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w:t>
      </w:r>
    </w:p>
    <w:p>
      <w:pPr>
        <w:spacing w:after="0" w:line="154" w:lineRule="exact"/>
        <w:rPr>
          <w:sz w:val="20"/>
          <w:szCs w:val="20"/>
          <w:color w:val="auto"/>
        </w:rPr>
      </w:pPr>
    </w:p>
    <w:p>
      <w:pPr>
        <w:jc w:val="both"/>
        <w:ind w:left="200" w:right="219" w:firstLine="657"/>
        <w:spacing w:after="0" w:line="246" w:lineRule="auto"/>
        <w:tabs>
          <w:tab w:leader="none" w:pos="149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transaction or series of transactions (other than an offering of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fifty percent (50%) of the total combined voting power of the Company’s securities outstanding immediately after such acquisition (the “</w:t>
      </w:r>
      <w:r>
        <w:rPr>
          <w:rFonts w:ascii="Times New Roman" w:cs="Times New Roman" w:eastAsia="Times New Roman" w:hAnsi="Times New Roman"/>
          <w:sz w:val="21"/>
          <w:szCs w:val="21"/>
          <w:b w:val="1"/>
          <w:bCs w:val="1"/>
          <w:color w:val="auto"/>
        </w:rPr>
        <w:t>Company Voting Securities</w:t>
      </w:r>
      <w:r>
        <w:rPr>
          <w:rFonts w:ascii="Times New Roman" w:cs="Times New Roman" w:eastAsia="Times New Roman" w:hAnsi="Times New Roman"/>
          <w:sz w:val="21"/>
          <w:szCs w:val="21"/>
          <w:color w:val="auto"/>
        </w:rPr>
        <w:t>”); provided, however, that the following acquisitions shall not constitute a Change in Control: (i) any acquisition by the Company or any Affiliate; (ii) any acquisition by an employee benefit plan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1"/>
          <w:szCs w:val="21"/>
          <w:color w:val="auto"/>
        </w:rPr>
        <w:t>maintained by the Company or any Affiliate (or the related trust of such employe benefit plan); or</w:t>
      </w:r>
    </w:p>
    <w:p>
      <w:pPr>
        <w:spacing w:after="0" w:line="26" w:lineRule="exact"/>
        <w:rPr>
          <w:sz w:val="20"/>
          <w:szCs w:val="20"/>
          <w:color w:val="auto"/>
        </w:rPr>
      </w:pPr>
    </w:p>
    <w:p>
      <w:pPr>
        <w:ind w:left="580" w:hanging="371"/>
        <w:spacing w:after="0"/>
        <w:tabs>
          <w:tab w:leader="none" w:pos="5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which complies with Sections 2.9(c) (i), 2.9(c)(ii) and 2.9(c)(iii);</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34" w:lineRule="auto"/>
        <w:tabs>
          <w:tab w:leader="none" w:pos="149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w:t>
      </w:r>
      <w:r>
        <w:rPr>
          <w:rFonts w:ascii="Times New Roman" w:cs="Times New Roman" w:eastAsia="Times New Roman" w:hAnsi="Times New Roman"/>
          <w:sz w:val="22"/>
          <w:szCs w:val="22"/>
          <w:b w:val="1"/>
          <w:bCs w:val="1"/>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cease for any reason to constitute at least a majority of the members of the Board over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twelve (12) months; provided, however, that if the appointment or election (or nomination for election) of any new Board member was approved or recommended by a vote of at least two-thirds (2/3) of the members of the Incumbent Board then still in office, such new member shall, for purposes of the Plan, be considered a member of the Incumbent Board ; provided, further,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a merger, consolidation, reorganization, or business combination, in each case other than a transaction:</w:t>
      </w:r>
    </w:p>
    <w:p>
      <w:pPr>
        <w:spacing w:after="0" w:line="173" w:lineRule="exact"/>
        <w:rPr>
          <w:rFonts w:ascii="Times New Roman" w:cs="Times New Roman" w:eastAsia="Times New Roman" w:hAnsi="Times New Roman"/>
          <w:sz w:val="22"/>
          <w:szCs w:val="22"/>
          <w:color w:val="auto"/>
        </w:rPr>
      </w:pPr>
    </w:p>
    <w:p>
      <w:pPr>
        <w:jc w:val="both"/>
        <w:ind w:left="860" w:right="219" w:firstLine="645"/>
        <w:spacing w:after="0" w:line="235" w:lineRule="auto"/>
        <w:tabs>
          <w:tab w:leader="none" w:pos="2156"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w:t>
      </w:r>
    </w:p>
    <w:p>
      <w:pPr>
        <w:spacing w:after="0" w:line="178" w:lineRule="exact"/>
        <w:rPr>
          <w:rFonts w:ascii="Times New Roman" w:cs="Times New Roman" w:eastAsia="Times New Roman" w:hAnsi="Times New Roman"/>
          <w:sz w:val="22"/>
          <w:szCs w:val="22"/>
          <w:color w:val="auto"/>
        </w:rPr>
      </w:pPr>
    </w:p>
    <w:p>
      <w:pPr>
        <w:jc w:val="both"/>
        <w:ind w:left="860" w:right="219" w:firstLine="645"/>
        <w:spacing w:after="0" w:line="236" w:lineRule="auto"/>
        <w:tabs>
          <w:tab w:leader="none" w:pos="2156"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which no person or group beneficially owns voting securities representing fifty percent (50%) or more of the combined voting power of the Successor Entity; provided, however, that no person or group shall be treated for purposes of this Section 2.9(c)(ii) as beneficially owning fifty percent (50%) or more of the combined voting power of the Successor Entity solely as a result of the voting power held in the Company prior to the consummation of the transaction; and</w:t>
      </w:r>
    </w:p>
    <w:p>
      <w:pPr>
        <w:spacing w:after="0" w:line="181" w:lineRule="exact"/>
        <w:rPr>
          <w:rFonts w:ascii="Times New Roman" w:cs="Times New Roman" w:eastAsia="Times New Roman" w:hAnsi="Times New Roman"/>
          <w:sz w:val="22"/>
          <w:szCs w:val="22"/>
          <w:color w:val="auto"/>
        </w:rPr>
      </w:pPr>
    </w:p>
    <w:p>
      <w:pPr>
        <w:jc w:val="both"/>
        <w:ind w:left="860" w:right="219" w:firstLine="645"/>
        <w:spacing w:after="0" w:line="239" w:lineRule="auto"/>
        <w:tabs>
          <w:tab w:leader="none" w:pos="2156" w:val="left"/>
        </w:tabs>
        <w:numPr>
          <w:ilvl w:val="2"/>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which at least a majority of the members of the board of directors (or the analogous governing body) of the Successor Entity were Board members at the time of the Board’s approval of the execution of the initial agreement providing for such transaction;</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direct or indirect sale, lease, transfer, conveyance, or other disposition (other than by way of reorganization, merger, consolidation or business combination), in one transaction or a series of related transactions, of all or substantially all of the assets of the Company and its Subsidiaries, taken as a whole, to any person or group (other than the Company or any Affiliate); or</w:t>
      </w:r>
    </w:p>
    <w:p>
      <w:pPr>
        <w:spacing w:after="0" w:line="17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winding up,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 w:name="page12"/>
    <w:bookmarkEnd w:id="11"/>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spacing w:after="0" w:line="17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be deemed to occur solely because any person acquires beneficial ownership of 50% or more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179"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2.10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mean the Internal Revenue Code of 1986, as now in effect or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hereafter amended, and any successor thereto. References in the Plan to any Code Section shall be deemed to include, as applicable, regulations and guidance promulgated under such Code Section.</w:t>
      </w:r>
    </w:p>
    <w:p>
      <w:pPr>
        <w:spacing w:after="0" w:line="15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shall mean a committee of, and designated from time to time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resolution of, the Board, which shall be constituted as provided in </w:t>
      </w:r>
      <w:r>
        <w:rPr>
          <w:rFonts w:ascii="Times New Roman" w:cs="Times New Roman" w:eastAsia="Times New Roman" w:hAnsi="Times New Roman"/>
          <w:sz w:val="22"/>
          <w:szCs w:val="22"/>
          <w:b w:val="1"/>
          <w:bCs w:val="1"/>
          <w:color w:val="auto"/>
        </w:rPr>
        <w:t>Section 3.1.2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3.1.3</w:t>
      </w:r>
      <w:r>
        <w:rPr>
          <w:rFonts w:ascii="Times New Roman" w:cs="Times New Roman" w:eastAsia="Times New Roman" w:hAnsi="Times New Roman"/>
          <w:sz w:val="22"/>
          <w:szCs w:val="22"/>
          <w:color w:val="auto"/>
        </w:rPr>
        <w:t xml:space="preserve"> (or, if no Committee has been so designated, the Board).</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mean NextCure, Inc., a Delaware corporation, and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Deferred Stock Unit</w:t>
      </w:r>
      <w:r>
        <w:rPr>
          <w:rFonts w:ascii="Times New Roman" w:cs="Times New Roman" w:eastAsia="Times New Roman" w:hAnsi="Times New Roman"/>
          <w:sz w:val="22"/>
          <w:szCs w:val="22"/>
          <w:color w:val="auto"/>
        </w:rPr>
        <w:t>” shall mean a Restricted Stock Unit, the terms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for delivery of the underlying shares of Stock, cash, or a combination thereof subsequent to the date of vesting, at a time or times consistent with the requirements of Code Section 409A.</w:t>
      </w:r>
    </w:p>
    <w:p>
      <w:pPr>
        <w:spacing w:after="0" w:line="16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the inability of a Grantee to perform each of the essential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of such Grantee’s position by reason of a medically determinable physical or mental impairment which is potentially permanent in character or which can be expected to last for a continuous period of not less than twelve (12) months; provided that, with respect to rules regarding the expiration of an Incentive Stock Option following termination of a Grantee’s Service, Disability shall mean the inability of such Grantee to engage in any substantial gainful activity by reason of a medically determinable physical or mental impairment which can be expected to result in death or which has lasted or can be expected to last for a continuous period of not less than twelve (12) months.</w:t>
      </w:r>
    </w:p>
    <w:p>
      <w:pPr>
        <w:spacing w:after="0" w:line="174"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Disqualified Individual</w:t>
      </w:r>
      <w:r>
        <w:rPr>
          <w:rFonts w:ascii="Times New Roman" w:cs="Times New Roman" w:eastAsia="Times New Roman" w:hAnsi="Times New Roman"/>
          <w:sz w:val="22"/>
          <w:szCs w:val="22"/>
          <w:color w:val="auto"/>
        </w:rPr>
        <w:t>” shall have the meaning set forth in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280G(c).</w:t>
      </w:r>
    </w:p>
    <w:p>
      <w:pPr>
        <w:spacing w:after="0" w:line="15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Equivalent Right</w:t>
      </w:r>
      <w:r>
        <w:rPr>
          <w:rFonts w:ascii="Times New Roman" w:cs="Times New Roman" w:eastAsia="Times New Roman" w:hAnsi="Times New Roman"/>
          <w:sz w:val="22"/>
          <w:szCs w:val="22"/>
          <w:color w:val="auto"/>
        </w:rPr>
        <w:t>” shall mean a right, granted to a Grantee pursuant to</w:t>
      </w:r>
      <w:r>
        <w:rPr>
          <w:rFonts w:ascii="Times New Roman" w:cs="Times New Roman" w:eastAsia="Times New Roman" w:hAnsi="Times New Roman"/>
          <w:sz w:val="22"/>
          <w:szCs w:val="22"/>
          <w:b w:val="1"/>
          <w:bCs w:val="1"/>
          <w:color w:val="auto"/>
        </w:rPr>
        <w:t xml:space="preserve"> Section 12, </w:t>
      </w:r>
      <w:r>
        <w:rPr>
          <w:rFonts w:ascii="Times New Roman" w:cs="Times New Roman" w:eastAsia="Times New Roman" w:hAnsi="Times New Roman"/>
          <w:sz w:val="22"/>
          <w:szCs w:val="22"/>
          <w:color w:val="auto"/>
        </w:rPr>
        <w:t>entitling the Grantee thereof to receive, or to receive credits for the future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Stock, other Awards, or other property equal in value to dividend payments or distributions, or other periodic payments, declared or paid with respect to a number of shares of Stock specified in such Dividend Equivalent Right (or other Award to which such Dividend Equivalent Right relates) as if such shares of Stock had been issued to and held by the Grantee of such Dividend Equivalent Right as of the record date.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 w:name="page13"/>
    <w:bookmarkEnd w:id="12"/>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shall mean the date on which the Registration Statement covering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initial public offering of the Stock is declared effective by the Securities and Exchange Commission.</w:t>
      </w:r>
    </w:p>
    <w:p>
      <w:pPr>
        <w:spacing w:after="0" w:line="167"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shall mean, as of any date of determination, an employee (including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 or an Affiliate.</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shall mean the Securities Exchange Act of 1934, as now in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as hereafter amended, and any successor thereto.</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shall mean the fair market value of a share of Stock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the Plan, which shall be, as of any date of determination:</w:t>
      </w:r>
    </w:p>
    <w:p>
      <w:pPr>
        <w:spacing w:after="0" w:line="154" w:lineRule="exact"/>
        <w:rPr>
          <w:sz w:val="20"/>
          <w:szCs w:val="20"/>
          <w:color w:val="auto"/>
        </w:rPr>
      </w:pPr>
    </w:p>
    <w:p>
      <w:pPr>
        <w:jc w:val="both"/>
        <w:ind w:left="200" w:right="219" w:firstLine="657"/>
        <w:spacing w:after="0" w:line="234" w:lineRule="auto"/>
        <w:tabs>
          <w:tab w:leader="none" w:pos="14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such date the shares of Stock are listed on a Stock Exchange, or are publicly traded on another Securities Market, the Fair Market Value of a share of Stock shall be the closing price of the Stock on such date as reported on such Stock Exchange or such Securities Market (provided that, if there is more than one such Stock Exchange or Securities Market, the Committee shall designate the appropriate Stock Exchange or Securities Market for purposes of the Fair Market Value determination). If there is no such reported closing price on such date, the Fair Market Value of a share of Stock shall be the closing price of the Stock on the next preceding day on which any sale of Stock shall have been reported on such Stock Exchange or such Securities Market.</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such date the shares of Stock are not listed on a Stock Exchange or publicly traded on a Securities Market, the Fair Market Value of a share of Stock shall be the value of the Stock as determined by the Committee by the reasonable application of a reasonable valuation method, in a manner consistent with Code Section 409A.</w:t>
      </w:r>
    </w:p>
    <w:p>
      <w:pPr>
        <w:spacing w:after="0" w:line="17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Notwithstanding this </w:t>
      </w:r>
      <w:r>
        <w:rPr>
          <w:rFonts w:ascii="Times New Roman" w:cs="Times New Roman" w:eastAsia="Times New Roman" w:hAnsi="Times New Roman"/>
          <w:sz w:val="21"/>
          <w:szCs w:val="21"/>
          <w:b w:val="1"/>
          <w:bCs w:val="1"/>
          <w:color w:val="auto"/>
        </w:rPr>
        <w:t>Section 2.20 or Section 18.3,</w:t>
      </w:r>
      <w:r>
        <w:rPr>
          <w:rFonts w:ascii="Times New Roman" w:cs="Times New Roman" w:eastAsia="Times New Roman" w:hAnsi="Times New Roman"/>
          <w:sz w:val="21"/>
          <w:szCs w:val="21"/>
          <w:color w:val="auto"/>
        </w:rPr>
        <w:t xml:space="preserve"> for purposes of determining taxable income and the amount of the related tax withholding obligation pursuant to </w:t>
      </w:r>
      <w:r>
        <w:rPr>
          <w:rFonts w:ascii="Times New Roman" w:cs="Times New Roman" w:eastAsia="Times New Roman" w:hAnsi="Times New Roman"/>
          <w:sz w:val="21"/>
          <w:szCs w:val="21"/>
          <w:b w:val="1"/>
          <w:bCs w:val="1"/>
          <w:color w:val="auto"/>
        </w:rPr>
        <w:t>Section 18.3,</w:t>
      </w:r>
      <w:r>
        <w:rPr>
          <w:rFonts w:ascii="Times New Roman" w:cs="Times New Roman" w:eastAsia="Times New Roman" w:hAnsi="Times New Roman"/>
          <w:sz w:val="21"/>
          <w:szCs w:val="21"/>
          <w:color w:val="auto"/>
        </w:rPr>
        <w:t xml:space="preserve"> the Fair Market Value will be determined by the Committee in good faith using any reasonable method as it deems appropriate, to be applied consistently with respect to Grantees; provided, further, that the Committee shall determine the Fair Market Value of shares of Stock due in connection with sales, by or on behalf of a Grantee, of such shares of Stock subject to an Award to pay the Option Price, SAR Price, and/or any tax withholding obligation on the same date on which such shares may first be sold pursuant to the terms of the applicable Award Agreement (including broker-assisted cashless exercises of Options and Stock Appreciation Rights, as described in </w:t>
      </w:r>
      <w:r>
        <w:rPr>
          <w:rFonts w:ascii="Times New Roman" w:cs="Times New Roman" w:eastAsia="Times New Roman" w:hAnsi="Times New Roman"/>
          <w:sz w:val="21"/>
          <w:szCs w:val="21"/>
          <w:b w:val="1"/>
          <w:bCs w:val="1"/>
          <w:color w:val="auto"/>
        </w:rPr>
        <w:t>Section 14.3,</w:t>
      </w:r>
      <w:r>
        <w:rPr>
          <w:rFonts w:ascii="Times New Roman" w:cs="Times New Roman" w:eastAsia="Times New Roman" w:hAnsi="Times New Roman"/>
          <w:sz w:val="21"/>
          <w:szCs w:val="21"/>
          <w:color w:val="auto"/>
        </w:rPr>
        <w:t xml:space="preserve"> and sell-to-cover transactions) in any manner consistent with applicable provisions of the Code, including but not limited to using the sale price of such shares on such date (or if sales of such shares are effectuated at more than one sale price, the weighted average sale price of such shares on such date) as the Fair Market Value of such shares, so long as such Grantee has provided the Company, or its designee or agent, with advance written notice of such sale.</w:t>
      </w:r>
    </w:p>
    <w:p>
      <w:pPr>
        <w:spacing w:after="0" w:line="181"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Family Member</w:t>
      </w:r>
      <w:r>
        <w:rPr>
          <w:rFonts w:ascii="Times New Roman" w:cs="Times New Roman" w:eastAsia="Times New Roman" w:hAnsi="Times New Roman"/>
          <w:sz w:val="22"/>
          <w:szCs w:val="22"/>
          <w:color w:val="auto"/>
        </w:rPr>
        <w:t>” shall mean, with respect to any Grantee as of any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(a) a Person who is a spouse, former spouse, child, stepchild, grandchild, parent, stepparent, grandparent, sibling, niece, nephew, mother-in-law, father-in-law, son-in-law, daughter-in-law, brother-in-law, or sister-in-law, including adoptive relationships, of such</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 w:name="page14"/>
    <w:bookmarkEnd w:id="13"/>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Grantee, (b) any Person sharing such Grantee’s household (other than a tenant or employee), (c) a trust in which any one or more of the Persons specified in clauses (a) and (b) above own more than fifty percent (50%) of the beneficial interest, (d) a foundation in which any one or more of the Persons specified in clauses (a) and (b) above (or such Grantee) control the management of assets, and (e) any other entity in which one or more of the Persons specified in clauses (a) and (b) above (or such Grantee) own more than fifty percent (50%) of the voting interests.</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Fully Diluted Stock</w:t>
      </w:r>
      <w:r>
        <w:rPr>
          <w:rFonts w:ascii="Times New Roman" w:cs="Times New Roman" w:eastAsia="Times New Roman" w:hAnsi="Times New Roman"/>
          <w:sz w:val="22"/>
          <w:szCs w:val="22"/>
          <w:color w:val="auto"/>
        </w:rPr>
        <w:t>” shall mean the total number of shares of Stock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plus the number of shares of Stock that are issuable upon the exercise of any outstanding Prefunded Warrants.</w:t>
      </w:r>
    </w:p>
    <w:p>
      <w:pPr>
        <w:spacing w:after="0" w:line="16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shall mean, as determined by the Committee, the latest to occur of</w:t>
      </w:r>
    </w:p>
    <w:p>
      <w:pPr>
        <w:spacing w:after="0" w:line="18" w:lineRule="exact"/>
        <w:rPr>
          <w:sz w:val="20"/>
          <w:szCs w:val="20"/>
          <w:color w:val="auto"/>
        </w:rPr>
      </w:pPr>
    </w:p>
    <w:p>
      <w:pPr>
        <w:jc w:val="both"/>
        <w:ind w:left="200" w:right="239" w:firstLine="9"/>
        <w:spacing w:after="0" w:line="235" w:lineRule="auto"/>
        <w:tabs>
          <w:tab w:leader="none" w:pos="50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as of which the Committee approves the Award, (b) the date on which the recipient of an Award first becomes eligible to receive an Award under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xml:space="preserve"> hereof; or (c) such subsequent date specified by the Committee in the corporate action approving the Award.</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shall mean a Person who receives or holds an Award under the Plan.</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shall mean an Option that meets the requirements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Section 422, or any successor provision, which is intended by the Committee to constitute an Incentive Stock Option.</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Nonqualified Stock Option</w:t>
      </w:r>
      <w:r>
        <w:rPr>
          <w:rFonts w:ascii="Times New Roman" w:cs="Times New Roman" w:eastAsia="Times New Roman" w:hAnsi="Times New Roman"/>
          <w:sz w:val="22"/>
          <w:szCs w:val="22"/>
          <w:color w:val="auto"/>
        </w:rPr>
        <w:t>” shall mean an Option that is not an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Non-Employee Director</w:t>
      </w:r>
      <w:r>
        <w:rPr>
          <w:rFonts w:ascii="Times New Roman" w:cs="Times New Roman" w:eastAsia="Times New Roman" w:hAnsi="Times New Roman"/>
          <w:sz w:val="22"/>
          <w:szCs w:val="22"/>
          <w:color w:val="auto"/>
        </w:rPr>
        <w:t>” shall have the meaning set forth in Rule 16b-3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Exchange Act.</w:t>
      </w:r>
    </w:p>
    <w:p>
      <w:pPr>
        <w:spacing w:after="0" w:line="15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Officer</w:t>
      </w:r>
      <w:r>
        <w:rPr>
          <w:rFonts w:ascii="Times New Roman" w:cs="Times New Roman" w:eastAsia="Times New Roman" w:hAnsi="Times New Roman"/>
          <w:sz w:val="21"/>
          <w:szCs w:val="21"/>
          <w:color w:val="auto"/>
        </w:rPr>
        <w:t>” shall have the meaning set forth in Rule 16a-1(f) under the Exchange Act.</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shall mean an option to purchase one or more shares of Stock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specified Option Price awarded to a Grantee pursuant to </w:t>
      </w:r>
      <w:r>
        <w:rPr>
          <w:rFonts w:ascii="Times New Roman" w:cs="Times New Roman" w:eastAsia="Times New Roman" w:hAnsi="Times New Roman"/>
          <w:sz w:val="22"/>
          <w:szCs w:val="22"/>
          <w:b w:val="1"/>
          <w:bCs w:val="1"/>
          <w:color w:val="auto"/>
        </w:rPr>
        <w:t>Section 8.</w:t>
      </w:r>
    </w:p>
    <w:p>
      <w:pPr>
        <w:spacing w:after="0" w:line="15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 Price</w:t>
      </w:r>
      <w:r>
        <w:rPr>
          <w:rFonts w:ascii="Times New Roman" w:cs="Times New Roman" w:eastAsia="Times New Roman" w:hAnsi="Times New Roman"/>
          <w:sz w:val="22"/>
          <w:szCs w:val="22"/>
          <w:color w:val="auto"/>
        </w:rPr>
        <w:t>” shall mean the per share exercise price for shares of Stock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 Option.</w:t>
      </w:r>
    </w:p>
    <w:p>
      <w:pPr>
        <w:spacing w:after="0" w:line="15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Agreement</w:t>
      </w:r>
      <w:r>
        <w:rPr>
          <w:rFonts w:ascii="Times New Roman" w:cs="Times New Roman" w:eastAsia="Times New Roman" w:hAnsi="Times New Roman"/>
          <w:sz w:val="22"/>
          <w:szCs w:val="22"/>
          <w:color w:val="auto"/>
        </w:rPr>
        <w:t>” shall mean any agreement, contract, or understanding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heretofore or hereafter entered into by a Grantee with the Company or an Affiliate, except an agreement, contract, or understanding that expressly addresses Code Section 280G and/or Code Section 4999.</w:t>
      </w:r>
    </w:p>
    <w:p>
      <w:pPr>
        <w:spacing w:after="0" w:line="17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Equity-Based Award</w:t>
      </w:r>
      <w:r>
        <w:rPr>
          <w:rFonts w:ascii="Times New Roman" w:cs="Times New Roman" w:eastAsia="Times New Roman" w:hAnsi="Times New Roman"/>
          <w:sz w:val="22"/>
          <w:szCs w:val="22"/>
          <w:color w:val="auto"/>
        </w:rPr>
        <w:t>” shall mean an Award representing a right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that may be denominated or payable in, valued in whole or in part by reference to, or otherwise based on or related to Stock, other than an Option, a Stock Appreciation Right, Restricted Stock, a Restricted Stock Unit, a Deferred Stock Unit, Unrestricted Stock, or a Dividend Equivalent Right.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 w:name="page15"/>
    <w:bookmarkEnd w:id="14"/>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Parachute Payment</w:t>
      </w:r>
      <w:r>
        <w:rPr>
          <w:rFonts w:ascii="Times New Roman" w:cs="Times New Roman" w:eastAsia="Times New Roman" w:hAnsi="Times New Roman"/>
          <w:sz w:val="22"/>
          <w:szCs w:val="22"/>
          <w:color w:val="auto"/>
        </w:rPr>
        <w:t>” shall mean a “parachute payment”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Section 280G(b)(2).</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Performance-Based Award</w:t>
      </w:r>
      <w:r>
        <w:rPr>
          <w:rFonts w:ascii="Times New Roman" w:cs="Times New Roman" w:eastAsia="Times New Roman" w:hAnsi="Times New Roman"/>
          <w:sz w:val="22"/>
          <w:szCs w:val="22"/>
          <w:color w:val="auto"/>
        </w:rPr>
        <w:t>” shall mean an Award made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performance conditions over a Performance Period specified by the Committee.</w:t>
      </w:r>
    </w:p>
    <w:p>
      <w:pPr>
        <w:spacing w:after="0" w:line="15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shall mean the period of time, up to ten (10) years,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over which the performance goals under Performance-Based Awards must be met in order to determine the degree of payout and/or vesting with respect to any such Performance-Based Awards.</w:t>
      </w:r>
    </w:p>
    <w:p>
      <w:pPr>
        <w:spacing w:after="0" w:line="17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an individual, a corporation, a partnership, a limited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 association, a trust, or any other entity or organization, including a government or political subdivision or an agency or instrumentality thereof.</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Prefunded Warrant</w:t>
      </w:r>
      <w:r>
        <w:rPr>
          <w:rFonts w:ascii="Times New Roman" w:cs="Times New Roman" w:eastAsia="Times New Roman" w:hAnsi="Times New Roman"/>
          <w:sz w:val="22"/>
          <w:szCs w:val="22"/>
          <w:color w:val="auto"/>
        </w:rPr>
        <w:t>” means a warrant or other right to purchase Stock held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which warrant or other right (i) has a nominal exercise price, (ii) was, except for such nominal exercise price, pre-funded at the time of grant, (iii) is not subject to forfeiture, and (iv) may or may not be subject to beneficial ownership limitation provisions.</w:t>
      </w:r>
    </w:p>
    <w:p>
      <w:pPr>
        <w:spacing w:after="0" w:line="172"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shall mean this NextCure, Inc. Amended and Restated 2019 Omnibus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Plan, as amended from time to time.</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Plan</w:t>
      </w:r>
      <w:r>
        <w:rPr>
          <w:rFonts w:ascii="Times New Roman" w:cs="Times New Roman" w:eastAsia="Times New Roman" w:hAnsi="Times New Roman"/>
          <w:sz w:val="22"/>
          <w:szCs w:val="22"/>
          <w:color w:val="auto"/>
        </w:rPr>
        <w:t>” shall mean the NextCure, Inc. 2015 Omnibus Incentive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2.40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shall mean a period of time established by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which an Award of Restricted Stock, Restricted Stock Units, or Deferred Stock Units is subject to restrictions.</w:t>
      </w:r>
    </w:p>
    <w:p>
      <w:pPr>
        <w:spacing w:after="0" w:line="167"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shall mean shares of Stock awarded to a Grantee pursuant to</w:t>
      </w:r>
      <w:r>
        <w:rPr>
          <w:rFonts w:ascii="Times New Roman" w:cs="Times New Roman" w:eastAsia="Times New Roman" w:hAnsi="Times New Roman"/>
          <w:sz w:val="22"/>
          <w:szCs w:val="22"/>
          <w:b w:val="1"/>
          <w:bCs w:val="1"/>
          <w:color w:val="auto"/>
        </w:rPr>
        <w:t xml:space="preserve"> Section 10.</w:t>
      </w:r>
    </w:p>
    <w:p>
      <w:pPr>
        <w:spacing w:after="0" w:line="15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shall mean a bookkeeping entry representing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equivalent of one (1) share of Stock awarded to a Grantee pursuant to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that may be settled, subject to the terms and conditions of the applicable Award Agreement, in shares of Stock, cash, or a combination thereof.</w:t>
      </w:r>
    </w:p>
    <w:p>
      <w:pPr>
        <w:spacing w:after="0" w:line="17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SAR Price</w:t>
      </w:r>
      <w:r>
        <w:rPr>
          <w:rFonts w:ascii="Times New Roman" w:cs="Times New Roman" w:eastAsia="Times New Roman" w:hAnsi="Times New Roman"/>
          <w:sz w:val="21"/>
          <w:szCs w:val="21"/>
          <w:color w:val="auto"/>
        </w:rPr>
        <w:t>” shall mean the per share exercise price of a SAR.</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shall mean the Securities Act of 1933, as now in effect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hereafter amended, and any successor thereto.</w:t>
      </w:r>
    </w:p>
    <w:p>
      <w:pPr>
        <w:spacing w:after="0" w:line="15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Market</w:t>
      </w:r>
      <w:r>
        <w:rPr>
          <w:rFonts w:ascii="Times New Roman" w:cs="Times New Roman" w:eastAsia="Times New Roman" w:hAnsi="Times New Roman"/>
          <w:sz w:val="21"/>
          <w:szCs w:val="21"/>
          <w:color w:val="auto"/>
        </w:rPr>
        <w:t>” shall mean an established securities market.</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shall have the meaning set forth in Code Section 409A.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5" w:name="page16"/>
    <w:bookmarkEnd w:id="15"/>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shall mean service qualifying a Grantee as a Service Provider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an Affiliate. Unless otherwise provided in the applicable Award Agreement, a Grantee’s change in position or duties shall not result in interrupted or terminated Service, so long as such Grantee continues to be a Service Provider to the Company or an Affiliate. Subject to the preceding sentence, any determination by the Committee whether a termination of Service shall have occurred for purposes of the Plan shall be final, binding, and conclusive. If a Service Provider’s employment or other Service relationship is with an Affiliate and the applicable entity ceases to be an Affiliate, a termination of Service shall be deemed to have occurred when such entity ceases to be an Affiliate unless the Service Provider transfers his or her employment or other Service relationship to the Company or any other Affiliate.</w:t>
      </w:r>
    </w:p>
    <w:p>
      <w:pPr>
        <w:spacing w:after="0" w:line="17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2.48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shall mean (a) an Employee or director of the Company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or (b) a consultant or adviser to the Company or an Affiliate (i) who is a natural person,</w:t>
      </w:r>
    </w:p>
    <w:p>
      <w:pPr>
        <w:spacing w:after="0" w:line="2" w:lineRule="exact"/>
        <w:rPr>
          <w:sz w:val="20"/>
          <w:szCs w:val="20"/>
          <w:color w:val="auto"/>
        </w:rPr>
      </w:pPr>
    </w:p>
    <w:p>
      <w:pPr>
        <w:jc w:val="both"/>
        <w:ind w:left="200" w:right="219" w:firstLine="9"/>
        <w:spacing w:after="0" w:line="235" w:lineRule="auto"/>
        <w:tabs>
          <w:tab w:leader="none" w:pos="53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provides bona fide services to the Company or an Affiliate, and (iii) whose services are not in connection with the Company’s offer or sale of securities in a capital-raising transaction and do not directly or indirectly promote or maintain a market for the Company’s Capital Stock.</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 Recipient Stock</w:t>
      </w:r>
      <w:r>
        <w:rPr>
          <w:rFonts w:ascii="Times New Roman" w:cs="Times New Roman" w:eastAsia="Times New Roman" w:hAnsi="Times New Roman"/>
          <w:sz w:val="21"/>
          <w:szCs w:val="21"/>
          <w:color w:val="auto"/>
        </w:rPr>
        <w:t>” shall have the meaning set forth in Code Section 409A.</w:t>
      </w:r>
    </w:p>
    <w:p>
      <w:pPr>
        <w:spacing w:after="0" w:line="20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 Limit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b w:val="1"/>
          <w:bCs w:val="1"/>
          <w:color w:val="auto"/>
        </w:rPr>
        <w:t>Section 4.1.</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2.51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Short-Term Deferral Period</w:t>
      </w:r>
      <w:r>
        <w:rPr>
          <w:rFonts w:ascii="Times New Roman" w:cs="Times New Roman" w:eastAsia="Times New Roman" w:hAnsi="Times New Roman"/>
          <w:sz w:val="22"/>
          <w:szCs w:val="22"/>
          <w:color w:val="auto"/>
        </w:rPr>
        <w:t>” shall have the meaning set forth in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409A.</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shall mean common stock, par value $0.001 per share, of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security into which shares of Stock may be changed or for which shares of Stock may be exchanged as provided in </w:t>
      </w:r>
      <w:r>
        <w:rPr>
          <w:rFonts w:ascii="Times New Roman" w:cs="Times New Roman" w:eastAsia="Times New Roman" w:hAnsi="Times New Roman"/>
          <w:sz w:val="22"/>
          <w:szCs w:val="22"/>
          <w:b w:val="1"/>
          <w:bCs w:val="1"/>
          <w:color w:val="auto"/>
        </w:rPr>
        <w:t>Section 16.1.</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shall mean a right granted to a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b w:val="1"/>
          <w:bCs w:val="1"/>
          <w:color w:val="auto"/>
        </w:rPr>
        <w:t>Section 9.</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Exchange</w:t>
      </w:r>
      <w:r>
        <w:rPr>
          <w:rFonts w:ascii="Times New Roman" w:cs="Times New Roman" w:eastAsia="Times New Roman" w:hAnsi="Times New Roman"/>
          <w:sz w:val="22"/>
          <w:szCs w:val="22"/>
          <w:color w:val="auto"/>
        </w:rPr>
        <w:t>” shall mean the NASDAQ Stock Market, the New York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or another established national or regional stock exchange.</w:t>
      </w:r>
    </w:p>
    <w:p>
      <w:pPr>
        <w:spacing w:after="0" w:line="15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shall mean any corporation (other than the Company) or non-corporate entity with respect to which the Company owns, directly or indirectly, fifty percent (50%) or more of the total combined voting power of all classes of stock, membership interests or other ownership interests of any class or kind ordinarily having the power to vote for the directors, managers, or other voting members of the governing body of such corporation or non-corporate entity; provided however, for purposes of Incentive Stock Options, Subsidiary means any “subsidiary corporation” of the Company within the meaning of Code Section 424(f). In addition, any other entity may be designated by the Committee as a Subsidiary, provided that (a) such entity could be considered as a subsidiary according to generally accepted accounting principles in the United States of America and (b) in the case of an Award of Options or Stock Appreciation Rights, such Award would be considered to be granted in respect of Service Recipient Stock under Code Section 409A.</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 w:name="page17"/>
    <w:bookmarkEnd w:id="16"/>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Award</w:t>
      </w:r>
      <w:r>
        <w:rPr>
          <w:rFonts w:ascii="Times New Roman" w:cs="Times New Roman" w:eastAsia="Times New Roman" w:hAnsi="Times New Roman"/>
          <w:sz w:val="22"/>
          <w:szCs w:val="22"/>
          <w:color w:val="auto"/>
        </w:rPr>
        <w:t>” shall mean an Award granted under the Plan in substitution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awards previously granted under a compensatory plan of a business entity acquired or to be acquired by the Company or an Affiliate or with which the Company or an Affiliate has combined or will combine.</w:t>
      </w:r>
    </w:p>
    <w:p>
      <w:pPr>
        <w:spacing w:after="0" w:line="172"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 Percent Stockholder</w:t>
      </w:r>
      <w:r>
        <w:rPr>
          <w:rFonts w:ascii="Times New Roman" w:cs="Times New Roman" w:eastAsia="Times New Roman" w:hAnsi="Times New Roman"/>
          <w:sz w:val="22"/>
          <w:szCs w:val="22"/>
          <w:color w:val="auto"/>
        </w:rPr>
        <w:t>” shall mean a natural Person who owns more than 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 (10%) of the total combined voting power of all classes of voting Capital Stock of the Company, the Company’s parent (if any), or any of the Company’s Subsidiaries. In determining stock ownership, the attribution rules of Code Section 424(d) shall be applied.</w:t>
      </w:r>
    </w:p>
    <w:p>
      <w:pPr>
        <w:spacing w:after="0" w:line="17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Unrestricted Stock</w:t>
      </w:r>
      <w:r>
        <w:rPr>
          <w:rFonts w:ascii="Times New Roman" w:cs="Times New Roman" w:eastAsia="Times New Roman" w:hAnsi="Times New Roman"/>
          <w:sz w:val="21"/>
          <w:szCs w:val="21"/>
          <w:color w:val="auto"/>
        </w:rPr>
        <w:t>” shall mean Stock that is free of any restrictions.</w:t>
      </w:r>
    </w:p>
    <w:p>
      <w:pPr>
        <w:spacing w:after="0" w:line="206" w:lineRule="exact"/>
        <w:rPr>
          <w:sz w:val="20"/>
          <w:szCs w:val="20"/>
          <w:color w:val="auto"/>
        </w:rPr>
      </w:pPr>
    </w:p>
    <w:p>
      <w:pPr>
        <w:ind w:left="860" w:right="4699" w:hanging="651"/>
        <w:spacing w:after="0" w:line="435" w:lineRule="auto"/>
        <w:tabs>
          <w:tab w:leader="none" w:pos="8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 3.1 Committee</w:t>
      </w:r>
      <w:r>
        <w:rPr>
          <w:rFonts w:ascii="Times New Roman" w:cs="Times New Roman" w:eastAsia="Times New Roman" w:hAnsi="Times New Roman"/>
          <w:sz w:val="22"/>
          <w:szCs w:val="22"/>
          <w:color w:val="auto"/>
        </w:rPr>
        <w:t>.</w:t>
      </w:r>
    </w:p>
    <w:p>
      <w:pPr>
        <w:ind w:left="15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3.1.1  Powers and Authorities.</w:t>
      </w:r>
    </w:p>
    <w:p>
      <w:pPr>
        <w:spacing w:after="0" w:line="21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The Committee shall administer the Plan and shall have such powers and authorities related to the administration of the Plan as are consistent with the Company’s certificate of incorporation and bylaws and Applicable Laws. Without limiting the generality of the foregoing, the Committee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which the Committee deems to be necessary or appropriate to the administration of the Plan, any Award, or any Award Agreement. All such actions and determinations shall be made by (a) the affirmative vote of a majority of the members of the Committee present at a meeting at which a quorum is present, or (b) the unanimous consent of the members of the Committee executed in writing or evidenced by electronic transmission in accordance with the Company’s certificate of incorporation and bylaws and Applicable Laws. Unless otherwise expressly determined by the Board, the Committee shall have the authority to interpret and construe all provisions of the Plan, any Award, and any Award Agreement, and any such interpretation or construction, and any other determination contemplated to be made under the Plan or any Award Agreement, by the Committee shall be final, binding, and conclusive on all Persons, whether or not expressly provided for in any provision of the Plan, such Award, or such Award Agreement.</w:t>
      </w:r>
    </w:p>
    <w:p>
      <w:pPr>
        <w:spacing w:after="0" w:line="18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In the event that the Plan, any Award, or any Award Agreement provides for any action to be taken by the Board or any determination to be made by the Board, such action may be taken or such determination may be made by the Committee constituted in accordance with this </w:t>
      </w:r>
      <w:r>
        <w:rPr>
          <w:rFonts w:ascii="Times New Roman" w:cs="Times New Roman" w:eastAsia="Times New Roman" w:hAnsi="Times New Roman"/>
          <w:sz w:val="22"/>
          <w:szCs w:val="22"/>
          <w:b w:val="1"/>
          <w:bCs w:val="1"/>
          <w:color w:val="auto"/>
        </w:rPr>
        <w:t>Section 3.1</w:t>
      </w:r>
      <w:r>
        <w:rPr>
          <w:rFonts w:ascii="Times New Roman" w:cs="Times New Roman" w:eastAsia="Times New Roman" w:hAnsi="Times New Roman"/>
          <w:sz w:val="22"/>
          <w:szCs w:val="22"/>
          <w:color w:val="auto"/>
        </w:rPr>
        <w:t xml:space="preserve"> if the Board has delegated the power and authority to do so to such Committee.</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Composition of the Committee.</w:t>
      </w:r>
    </w:p>
    <w:p>
      <w:pPr>
        <w:spacing w:after="0" w:line="21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1"/>
          <w:szCs w:val="21"/>
          <w:color w:val="auto"/>
        </w:rPr>
        <w:t>The Committee shall be a committee composed of not fewer than two (2) directors of the Company designated by the Board to administer the Plan. Each member of the Committee shall be</w:t>
      </w:r>
    </w:p>
    <w:p>
      <w:pPr>
        <w:spacing w:after="0" w:line="1" w:lineRule="exact"/>
        <w:rPr>
          <w:sz w:val="20"/>
          <w:szCs w:val="20"/>
          <w:color w:val="auto"/>
        </w:rPr>
      </w:pPr>
    </w:p>
    <w:p>
      <w:pPr>
        <w:ind w:left="200" w:right="239" w:firstLine="9"/>
        <w:spacing w:after="0" w:line="237" w:lineRule="auto"/>
        <w:tabs>
          <w:tab w:leader="none" w:pos="50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Non-Employee Director and (b) an independent director in accordance with the rules of any Stock Exchange or Securities Market on which the Stock is listed or publicly traded; provided</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 w:name="page18"/>
    <w:bookmarkEnd w:id="17"/>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that any action taken by the Committee shall be valid and effective whether or not members of the Committee at the time of such action are later determined not to have satisfied the requirements for membership set forth in this </w:t>
      </w:r>
      <w:r>
        <w:rPr>
          <w:rFonts w:ascii="Times New Roman" w:cs="Times New Roman" w:eastAsia="Times New Roman" w:hAnsi="Times New Roman"/>
          <w:sz w:val="22"/>
          <w:szCs w:val="22"/>
          <w:b w:val="1"/>
          <w:bCs w:val="1"/>
          <w:color w:val="auto"/>
        </w:rPr>
        <w:t>Section 3.1.2</w:t>
      </w:r>
      <w:r>
        <w:rPr>
          <w:rFonts w:ascii="Times New Roman" w:cs="Times New Roman" w:eastAsia="Times New Roman" w:hAnsi="Times New Roman"/>
          <w:sz w:val="22"/>
          <w:szCs w:val="22"/>
          <w:color w:val="auto"/>
        </w:rPr>
        <w:t xml:space="preserve"> or otherwise provided in any charter of the Committee. Without limiting the generality of the foregoing, the Committee may be the Compensation Committee of the Board or a subcommittee thereof, if the Compensation Committee of the Board or such subcommittee satisfies the foregoing requirements.</w:t>
      </w:r>
    </w:p>
    <w:p>
      <w:pPr>
        <w:spacing w:after="0" w:line="177"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color w:val="auto"/>
        </w:rPr>
        <w:t>Other Committees.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The Board also may appoint one or more committees of the Board, each composed of one or more directors of the Company who need not satisfy the requirements for membership set forth in </w:t>
      </w:r>
      <w:r>
        <w:rPr>
          <w:rFonts w:ascii="Times New Roman" w:cs="Times New Roman" w:eastAsia="Times New Roman" w:hAnsi="Times New Roman"/>
          <w:sz w:val="22"/>
          <w:szCs w:val="22"/>
          <w:b w:val="1"/>
          <w:bCs w:val="1"/>
          <w:color w:val="auto"/>
        </w:rPr>
        <w:t>Section 3.1.2,</w:t>
      </w:r>
      <w:r>
        <w:rPr>
          <w:rFonts w:ascii="Times New Roman" w:cs="Times New Roman" w:eastAsia="Times New Roman" w:hAnsi="Times New Roman"/>
          <w:sz w:val="22"/>
          <w:szCs w:val="22"/>
          <w:color w:val="auto"/>
        </w:rPr>
        <w:t xml:space="preserve"> which (a) may administer the Plan with respect to Grantees who are not Officers or directors of the Company, (b) may grant Awards under the Plan to such Grantees, and (c) may determine all terms of such Awards, in each case, subject, if applicable, to the requirements of Rule 16b-3 under the Exchange Act and the rules of any Stock Exchange or Securities Market on which the Stock is listed or publicly traded.</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3.1.4</w:t>
      </w:r>
      <w:r>
        <w:rPr>
          <w:sz w:val="20"/>
          <w:szCs w:val="20"/>
          <w:color w:val="auto"/>
        </w:rPr>
        <w:tab/>
      </w:r>
      <w:r>
        <w:rPr>
          <w:rFonts w:ascii="Times New Roman" w:cs="Times New Roman" w:eastAsia="Times New Roman" w:hAnsi="Times New Roman"/>
          <w:sz w:val="21"/>
          <w:szCs w:val="21"/>
          <w:b w:val="1"/>
          <w:bCs w:val="1"/>
          <w:color w:val="auto"/>
        </w:rPr>
        <w:t>Delegation by the Committee.</w:t>
      </w:r>
    </w:p>
    <w:p>
      <w:pPr>
        <w:spacing w:after="0" w:line="21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To the extent permitted by Applicable Laws, the Committee may, by resolution, delegate some or all of its authority with respect to the Plan and Awards to the President and Chief Executive Officer of the Company and/or any other officer of the Company designated by the Committee, provided that the Committee may not delegate its authority hereunder (a) to make Awards to directors of the Company, (b) to make Awards to Employees who are (i) Officers or (ii) officers of the Company who are delegated authority by the Committee pursuant to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3.1.4</w:t>
      </w:r>
      <w:r>
        <w:rPr>
          <w:rFonts w:ascii="Times New Roman" w:cs="Times New Roman" w:eastAsia="Times New Roman" w:hAnsi="Times New Roman"/>
          <w:sz w:val="22"/>
          <w:szCs w:val="22"/>
          <w:color w:val="auto"/>
        </w:rPr>
        <w:t>, or (c) to interpret the Plan, any Award, or any Award Agreement. Any delegation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be subject to the restrictions and limits that the Committee specifies at the time of such delegation or thereafter. Nothing in the Plan will be construed as obligating the Committee to delegate authority to any officer of the Company, and the Committee may at any time rescind the authority delegated to an officer of the Company appointed hereunder and delegate authority to one or more other officers of the Company. At all times, an officer of the Company delegated authority pursuant to this </w:t>
      </w:r>
      <w:r>
        <w:rPr>
          <w:rFonts w:ascii="Times New Roman" w:cs="Times New Roman" w:eastAsia="Times New Roman" w:hAnsi="Times New Roman"/>
          <w:sz w:val="22"/>
          <w:szCs w:val="22"/>
          <w:b w:val="1"/>
          <w:bCs w:val="1"/>
          <w:color w:val="auto"/>
        </w:rPr>
        <w:t>Section 3.1.4</w:t>
      </w:r>
      <w:r>
        <w:rPr>
          <w:rFonts w:ascii="Times New Roman" w:cs="Times New Roman" w:eastAsia="Times New Roman" w:hAnsi="Times New Roman"/>
          <w:sz w:val="22"/>
          <w:szCs w:val="22"/>
          <w:color w:val="auto"/>
        </w:rPr>
        <w:t xml:space="preserve"> will serve in such capacity at the pleasure of the Committee. Any action undertaken by any such officer of the Company in accordance with the Committee’s delegation of authority will have the same force and effect as if undertaken directly by the Committee, and any reference in the Plan to the “Committee” will, to the extent consistent with the terms and limitations of such delegation, be deemed to include a reference to each such officer.</w:t>
      </w:r>
    </w:p>
    <w:p>
      <w:pPr>
        <w:spacing w:after="0" w:line="18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Board.</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Board, from time to time, may exercise any or all of the powers and authorities related to the administration and implementation of the Plan, as set forth in </w:t>
      </w:r>
      <w:r>
        <w:rPr>
          <w:rFonts w:ascii="Times New Roman" w:cs="Times New Roman" w:eastAsia="Times New Roman" w:hAnsi="Times New Roman"/>
          <w:sz w:val="22"/>
          <w:szCs w:val="22"/>
          <w:b w:val="1"/>
          <w:bCs w:val="1"/>
          <w:color w:val="auto"/>
        </w:rPr>
        <w:t>Section 3.1</w:t>
      </w:r>
      <w:r>
        <w:rPr>
          <w:rFonts w:ascii="Times New Roman" w:cs="Times New Roman" w:eastAsia="Times New Roman" w:hAnsi="Times New Roman"/>
          <w:sz w:val="22"/>
          <w:szCs w:val="22"/>
          <w:color w:val="auto"/>
        </w:rPr>
        <w:t xml:space="preserve"> and other applicable provisions of the Plan, as the Board shall determine, consistent with the Company’s certificate of incorporation and bylaws and Applicable Laws.</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Terms of Awards.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3.3.1</w:t>
      </w:r>
      <w:r>
        <w:rPr>
          <w:sz w:val="20"/>
          <w:szCs w:val="20"/>
          <w:color w:val="auto"/>
        </w:rPr>
        <w:tab/>
      </w:r>
      <w:r>
        <w:rPr>
          <w:rFonts w:ascii="Times New Roman" w:cs="Times New Roman" w:eastAsia="Times New Roman" w:hAnsi="Times New Roman"/>
          <w:sz w:val="21"/>
          <w:szCs w:val="21"/>
          <w:b w:val="1"/>
          <w:bCs w:val="1"/>
          <w:color w:val="auto"/>
        </w:rPr>
        <w:t>Committee Authority.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 w:name="page19"/>
    <w:bookmarkEnd w:id="18"/>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Subject to the other terms and conditions of the Plan, the Committee shall have full and final authority to:</w:t>
      </w:r>
    </w:p>
    <w:p>
      <w:pPr>
        <w:spacing w:after="0" w:line="158" w:lineRule="exact"/>
        <w:rPr>
          <w:sz w:val="20"/>
          <w:szCs w:val="20"/>
          <w:color w:val="auto"/>
        </w:rPr>
      </w:pPr>
    </w:p>
    <w:p>
      <w:pPr>
        <w:ind w:left="1500" w:hanging="6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Grantees;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to be made to a Grantee;</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shares of Stock to be subject to an Award or to which an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relates;</w:t>
      </w:r>
    </w:p>
    <w:p>
      <w:pPr>
        <w:spacing w:after="0" w:line="182"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terms and conditions of each Award (including the Option Price, the SAR Price, and the purchase price for applicable Awards; the nature and duration of any restriction or condition (or provision for lapse thereof) relating to the vesting, exercise, transfer, or forfeiture of an Award or the shares of Stock subject thereto; the treatment of an Award in the event of a Change in Control (subject to applicable agreements); and any terms or conditions that may be necessary to qualify Options as Incentive Stock Options);</w:t>
      </w:r>
    </w:p>
    <w:p>
      <w:pPr>
        <w:spacing w:after="0" w:line="18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exercisability or vesting of an Award or a portion thereof;</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form of each Award Agreement evidencing an Award;</w:t>
      </w:r>
    </w:p>
    <w:p>
      <w:pPr>
        <w:spacing w:after="0" w:line="202"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 on repricing in </w:t>
      </w:r>
      <w:r>
        <w:rPr>
          <w:rFonts w:ascii="Times New Roman" w:cs="Times New Roman" w:eastAsia="Times New Roman" w:hAnsi="Times New Roman"/>
          <w:sz w:val="22"/>
          <w:szCs w:val="22"/>
          <w:b w:val="1"/>
          <w:bCs w:val="1"/>
          <w:color w:val="auto"/>
        </w:rPr>
        <w:t>Section 3.4,</w:t>
      </w:r>
      <w:r>
        <w:rPr>
          <w:rFonts w:ascii="Times New Roman" w:cs="Times New Roman" w:eastAsia="Times New Roman" w:hAnsi="Times New Roman"/>
          <w:sz w:val="22"/>
          <w:szCs w:val="22"/>
          <w:color w:val="auto"/>
        </w:rPr>
        <w:t xml:space="preserve"> amend, modify, or supplement the terms of any outstanding Award, which authority shall include the authority, in order to effectuate the purposes of the Plan but without amending the Plan, to make Awards or to modify outstanding Awards made to eligible natural Persons who are foreign nationals or are natural Persons who are employed outside the United States to reflect differences in local law, tax policy, or custom; provided that, notwithstanding the foregoing, no amendment, modification, or supplement of the terms of any outstanding Award shall, without the consent of the Grantee thereof, materially impair such Grantee’s rights under such Award; and</w:t>
      </w:r>
    </w:p>
    <w:p>
      <w:pPr>
        <w:spacing w:after="0" w:line="182"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Substitute Awards.</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3.3.2</w:t>
      </w:r>
      <w:r>
        <w:rPr>
          <w:sz w:val="20"/>
          <w:szCs w:val="20"/>
          <w:color w:val="auto"/>
        </w:rPr>
        <w:tab/>
      </w:r>
      <w:r>
        <w:rPr>
          <w:rFonts w:ascii="Times New Roman" w:cs="Times New Roman" w:eastAsia="Times New Roman" w:hAnsi="Times New Roman"/>
          <w:sz w:val="21"/>
          <w:szCs w:val="21"/>
          <w:b w:val="1"/>
          <w:bCs w:val="1"/>
          <w:color w:val="auto"/>
        </w:rPr>
        <w:t>Forfeiture; Recoupment.</w:t>
      </w:r>
    </w:p>
    <w:p>
      <w:pPr>
        <w:spacing w:after="0" w:line="210" w:lineRule="exact"/>
        <w:rPr>
          <w:sz w:val="20"/>
          <w:szCs w:val="20"/>
          <w:color w:val="auto"/>
        </w:rPr>
      </w:pPr>
    </w:p>
    <w:p>
      <w:pPr>
        <w:jc w:val="both"/>
        <w:ind w:left="200" w:right="219" w:firstLine="657"/>
        <w:spacing w:after="0" w:line="233" w:lineRule="auto"/>
        <w:tabs>
          <w:tab w:leader="none" w:pos="14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reserve the right in an Award Agreement to cause a forfeiture of the gain realized by a Grantee with respect to an Award thereunder on account of actions taken by, or failed to be taken by, such Grantee in violation or breach of, or in conflict with, any (i) employment agreement, (ii) non-competition agreement, (iii) agreement prohibiting solicitation of Employees or clients of the Company or an Affiliate, (iv) confidentiality obligation with respect to the Company or an Affiliate, (v) Company or Affiliate policy or procedure, (vi) other agreement, or (vii) other obligation of such Grantee to the Company or an Affiliate, as and to the extent specified in such Award Agreement. If the Grantee of an outstanding Award is an Employee of the Company or an Affiliate and such Grantee’s Service is terminated for Cause, the Committee may annul such Grantee’s outstanding Award as of the date of the Grantee’s termination of Service for Cause.</w:t>
      </w:r>
    </w:p>
    <w:p>
      <w:pPr>
        <w:spacing w:after="0" w:line="187" w:lineRule="exact"/>
        <w:rPr>
          <w:rFonts w:ascii="Times New Roman" w:cs="Times New Roman" w:eastAsia="Times New Roman" w:hAnsi="Times New Roman"/>
          <w:sz w:val="22"/>
          <w:szCs w:val="22"/>
          <w:color w:val="auto"/>
        </w:rPr>
      </w:pPr>
    </w:p>
    <w:p>
      <w:pPr>
        <w:ind w:left="200" w:right="219" w:firstLine="657"/>
        <w:spacing w:after="0" w:line="258" w:lineRule="auto"/>
        <w:tabs>
          <w:tab w:leader="none" w:pos="14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 granted pursuant to the Plan shall be subject to mandatory repayment by the Grantee to the Company (i) to the extent set forth in this Plan or an Award Agreement 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 w:name="page20"/>
    <w:bookmarkEnd w:id="19"/>
    <w:p>
      <w:pPr>
        <w:jc w:val="both"/>
        <w:ind w:left="200" w:right="219" w:firstLine="9"/>
        <w:spacing w:after="0" w:line="239" w:lineRule="auto"/>
        <w:tabs>
          <w:tab w:leader="none" w:pos="52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Grantee is, or in the future becomes, subject to (A) any Company or Affiliate “clawback” or recoupment policy adopted to comply with the requirements of any Applicable Laws, or (B) any Applicable Laws which impose mandatory recoupment, under circumstances set forth in such Applicable Laws.</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No Repricing Without Stockholder Approval.</w:t>
      </w:r>
    </w:p>
    <w:p>
      <w:pPr>
        <w:spacing w:after="0" w:line="21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Except in connection with a corporate transaction involving the Company (including, without limitation, any stock dividend, distribution (whether in the form of cash, shares of Stock, other securities, or other property), stock split, extraordinary dividend, recapitalization, Change in Control, reorganization, merger, consolidation, split-up, spin-off, combination, repurchase or exchange of shares of Stock, or other securities or similar transaction), the Company may not: (a) amend the terms of outstanding Options or SARs to reduce the Option Price or SAR Price, as applicable, of such outstanding Options or SARs; (b) cancel or assume outstanding Options or SARs in exchange for or substitution of Options or SARs with an Option Price or SAR Price, as applicable, that is less than the Option Price or SAR Price, as applicable, of the original Options or SARs; or (c) cancel or assume outstanding Options or SARs with an Option Price or SAR Price, as applicable, above the current Fair Market Value in exchange for cash, Awards, or other securities, in each case, unless such action is subject to and approved by the Company’s stockholders.</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Deferral Arrangement</w:t>
      </w:r>
    </w:p>
    <w:p>
      <w:pPr>
        <w:spacing w:after="0" w:line="21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The Committee may permit or require the deferral of any payment pursuant to any Award into a deferred compensation arrangement, subject to such rules and procedures as it may establish, which may include provisions for the payment or crediting of interest or Dividend Equivalent Rights and, in connection therewith, provisions for converting such credits into Deferred Stock Units and for restricting deferrals to comply with hardship distribution rules affecting tax-qualified retirement plans subject to Code Section 401(k)(2)(B)(IV); provided that no Dividend Equivalent Rights may be granted in connection with, or related to, an Award of Options or SARs. Any such deferrals shall be made in a manner that complies with Code Section 409A, including, if applicable, with respect to when a Separation from Service occurs.</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No Liability.</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Subject to Applicable Law, no member of the Board or the Committee shall be liable for any action or determination made in good faith with respect to the Plan, any Award, or any Award Agreement. Notwithstanding any provision of the Plan to the contrary, neither the Company, an Affiliate, the Board, the Committee, nor any person acting on behalf of the Company, an Affiliate, the Board, or the Committee will be liable to any Grantee or to the estate or beneficiary of any Grantee or to any other holder of an Award under the Plan by reason of any acceleration of income, or any additional tax (including any interest and penalties), asserted by reason of the failure of an Award to satisfy the requirements of Code Section 422 or Code Section 409A or by reason of Code Section 4999, or otherwise asserted with respect to the Award; provided, that this </w:t>
      </w:r>
      <w:r>
        <w:rPr>
          <w:rFonts w:ascii="Times New Roman" w:cs="Times New Roman" w:eastAsia="Times New Roman" w:hAnsi="Times New Roman"/>
          <w:sz w:val="22"/>
          <w:szCs w:val="22"/>
          <w:b w:val="1"/>
          <w:bCs w:val="1"/>
          <w:color w:val="auto"/>
        </w:rPr>
        <w:t>Section 3.6</w:t>
      </w:r>
      <w:r>
        <w:rPr>
          <w:rFonts w:ascii="Times New Roman" w:cs="Times New Roman" w:eastAsia="Times New Roman" w:hAnsi="Times New Roman"/>
          <w:sz w:val="22"/>
          <w:szCs w:val="22"/>
          <w:color w:val="auto"/>
        </w:rPr>
        <w:t xml:space="preserve"> shall not affect any of the rights or obligations set forth in an applicable agreement between the Grantee and the Company or an Affiliate.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 w:name="page21"/>
    <w:bookmarkEnd w:id="20"/>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Registration; Share Certificates.</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Notwithstanding any provision of the Plan to the contrary, the ownership of the shares of Stock issued under the Plan may be evidenced in such a manner as the Committee, in its sole discretion, deems appropriate, including by book-entry or direct registration (including transaction advices) or the issuance of one or more share certificates.</w:t>
      </w:r>
    </w:p>
    <w:p>
      <w:pPr>
        <w:spacing w:after="0" w:line="176" w:lineRule="exact"/>
        <w:rPr>
          <w:sz w:val="20"/>
          <w:szCs w:val="20"/>
          <w:color w:val="auto"/>
        </w:rPr>
      </w:pPr>
    </w:p>
    <w:p>
      <w:pPr>
        <w:ind w:left="860" w:hanging="651"/>
        <w:spacing w:after="0"/>
        <w:tabs>
          <w:tab w:leader="none" w:pos="8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SUBJECT TO THE PLAN</w:t>
      </w:r>
    </w:p>
    <w:p>
      <w:pPr>
        <w:spacing w:after="0" w:line="206"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4.1   Number of Shares of Stock Available for Awards.</w:t>
      </w:r>
    </w:p>
    <w:p>
      <w:pPr>
        <w:spacing w:after="0" w:line="21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Subject to such additional shares of Stock as shall be available for issuance under the Plan pursuant to </w:t>
      </w:r>
      <w:r>
        <w:rPr>
          <w:rFonts w:ascii="Times New Roman" w:cs="Times New Roman" w:eastAsia="Times New Roman" w:hAnsi="Times New Roman"/>
          <w:sz w:val="21"/>
          <w:szCs w:val="21"/>
          <w:b w:val="1"/>
          <w:bCs w:val="1"/>
          <w:color w:val="auto"/>
        </w:rPr>
        <w:t>Section 4.2</w:t>
      </w:r>
      <w:r>
        <w:rPr>
          <w:rFonts w:ascii="Times New Roman" w:cs="Times New Roman" w:eastAsia="Times New Roman" w:hAnsi="Times New Roman"/>
          <w:sz w:val="21"/>
          <w:szCs w:val="21"/>
          <w:color w:val="auto"/>
        </w:rPr>
        <w:t xml:space="preserve">, and subject to adjustment pursuant to </w:t>
      </w:r>
      <w:r>
        <w:rPr>
          <w:rFonts w:ascii="Times New Roman" w:cs="Times New Roman" w:eastAsia="Times New Roman" w:hAnsi="Times New Roman"/>
          <w:sz w:val="21"/>
          <w:szCs w:val="21"/>
          <w:b w:val="1"/>
          <w:bCs w:val="1"/>
          <w:color w:val="auto"/>
        </w:rPr>
        <w:t>Section 16</w:t>
      </w:r>
      <w:r>
        <w:rPr>
          <w:rFonts w:ascii="Times New Roman" w:cs="Times New Roman" w:eastAsia="Times New Roman" w:hAnsi="Times New Roman"/>
          <w:sz w:val="21"/>
          <w:szCs w:val="21"/>
          <w:color w:val="auto"/>
        </w:rPr>
        <w:t>, the maximum number of shares of Stock reserved for issuance under the Plan shall be equal to the sum of (a) 241,666 shares of Stock, plus (b) the number of shares of Stock related to awards outstanding under the Prior Plan as of the Effective Date that thereafter terminate by expiration or forfeiture, cancellation, or otherwise without the issuance of such shares of Stock and become available for issuance under the Plan, plus (c) 80,000 shares of Stock approved by the Company’s stockholders at the Company’s 2026 Annual Meeting of Stockholders (the “</w:t>
      </w:r>
      <w:r>
        <w:rPr>
          <w:rFonts w:ascii="Times New Roman" w:cs="Times New Roman" w:eastAsia="Times New Roman" w:hAnsi="Times New Roman"/>
          <w:sz w:val="21"/>
          <w:szCs w:val="21"/>
          <w:b w:val="1"/>
          <w:bCs w:val="1"/>
          <w:color w:val="auto"/>
        </w:rPr>
        <w:t>Share Limit</w:t>
      </w:r>
      <w:r>
        <w:rPr>
          <w:rFonts w:ascii="Times New Roman" w:cs="Times New Roman" w:eastAsia="Times New Roman" w:hAnsi="Times New Roman"/>
          <w:sz w:val="21"/>
          <w:szCs w:val="21"/>
          <w:color w:val="auto"/>
        </w:rPr>
        <w:t xml:space="preserve">”). The Share Limit shall automatically increase on January 1st of each year during the term of the Plan, as set forth in </w:t>
      </w:r>
      <w:r>
        <w:rPr>
          <w:rFonts w:ascii="Times New Roman" w:cs="Times New Roman" w:eastAsia="Times New Roman" w:hAnsi="Times New Roman"/>
          <w:sz w:val="21"/>
          <w:szCs w:val="21"/>
          <w:b w:val="1"/>
          <w:bCs w:val="1"/>
          <w:color w:val="auto"/>
        </w:rPr>
        <w:t xml:space="preserve">Section 5.1, </w:t>
      </w:r>
      <w:r>
        <w:rPr>
          <w:rFonts w:ascii="Times New Roman" w:cs="Times New Roman" w:eastAsia="Times New Roman" w:hAnsi="Times New Roman"/>
          <w:sz w:val="21"/>
          <w:szCs w:val="21"/>
          <w:color w:val="auto"/>
        </w:rPr>
        <w:t>commencing on January 1 of the year following the year in which the Effective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occurs, in an amount equal to four percent (4%) of the total number of shares of Fully Diluted Stock outstanding. The Board may provide that there will be no January 1st increase in the Share Limit for such year or that the increase in the Share Limit for such year will be a smaller number of shares of Stock than would otherwise occur pursuant to the preceding sentence. Shares of Stock issued under the Plan may be authorized and unissued shares of Stock, treasury shares of Stock, or any combination of the foregoing, as may be determined from time to time by the Board or by the Committee. Any of the shares of Stock reserved and available for issuance under the Plan may be used for any type of Award under the Plan. Notwithstanding the foregoing, subject to adjustment pursuant to </w:t>
      </w:r>
      <w:r>
        <w:rPr>
          <w:rFonts w:ascii="Times New Roman" w:cs="Times New Roman" w:eastAsia="Times New Roman" w:hAnsi="Times New Roman"/>
          <w:sz w:val="21"/>
          <w:szCs w:val="21"/>
          <w:b w:val="1"/>
          <w:bCs w:val="1"/>
          <w:color w:val="auto"/>
        </w:rPr>
        <w:t>Section 16,</w:t>
      </w:r>
      <w:r>
        <w:rPr>
          <w:rFonts w:ascii="Times New Roman" w:cs="Times New Roman" w:eastAsia="Times New Roman" w:hAnsi="Times New Roman"/>
          <w:sz w:val="21"/>
          <w:szCs w:val="21"/>
          <w:color w:val="auto"/>
        </w:rPr>
        <w:t xml:space="preserve"> the aggregate maximum number of shares of Stock that may be issued pursuant to the exercise of Incentive Stock Options is 1,000,000 shares.</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Adjustments in Authorized Shares of Stock.</w:t>
      </w:r>
    </w:p>
    <w:p>
      <w:pPr>
        <w:spacing w:after="0" w:line="21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In connection with mergers, reorganizations, separations, or other transactions to which Code Section 424(a) applies, the Committee shall have the right to cause the Company to assume awards previously granted under a compensatory plan of another business entity that is a party to such transaction and/or to grant Substitute Awards under the Plan for such awards. Neither assumed awards nor Substitute Awards shall reduce the number of shares of Stock otherwise available for issuance under the Plan, and shares available for issuance under a stockholder-approved plan of a business entity that is a party to such transaction (as appropriately adjusted, if necessary, to reflect such transaction) may be used for Awards under the Plan and shall not reduce the number of shares of Stock otherwise available for issuance under the Plan, subject to applicable rules of any Stock Exchange or Securities Market on which the Stock is listed or publicly traded.</w:t>
      </w:r>
    </w:p>
    <w:p>
      <w:pPr>
        <w:spacing w:after="0" w:line="16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Share Usage.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 w:name="page22"/>
    <w:bookmarkEnd w:id="21"/>
    <w:p>
      <w:pPr>
        <w:jc w:val="both"/>
        <w:ind w:left="200" w:right="219" w:firstLine="657"/>
        <w:spacing w:after="0" w:line="282" w:lineRule="auto"/>
        <w:tabs>
          <w:tab w:leader="none" w:pos="149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Shares of Stock covered by an Award shall be counted as used as of the Grant Date for purposes of calculating the number of shares of Stock available for issuance under </w:t>
      </w:r>
      <w:r>
        <w:rPr>
          <w:rFonts w:ascii="Times New Roman" w:cs="Times New Roman" w:eastAsia="Times New Roman" w:hAnsi="Times New Roman"/>
          <w:sz w:val="21"/>
          <w:szCs w:val="21"/>
          <w:b w:val="1"/>
          <w:bCs w:val="1"/>
          <w:color w:val="auto"/>
        </w:rPr>
        <w:t>Section 4.1.</w:t>
      </w:r>
    </w:p>
    <w:p>
      <w:pPr>
        <w:spacing w:after="0" w:line="134" w:lineRule="exact"/>
        <w:rPr>
          <w:rFonts w:ascii="Times New Roman" w:cs="Times New Roman" w:eastAsia="Times New Roman" w:hAnsi="Times New Roman"/>
          <w:sz w:val="21"/>
          <w:szCs w:val="21"/>
          <w:color w:val="auto"/>
        </w:rPr>
      </w:pPr>
    </w:p>
    <w:p>
      <w:pPr>
        <w:jc w:val="both"/>
        <w:ind w:left="200" w:right="219" w:firstLine="657"/>
        <w:spacing w:after="0" w:line="234"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shares of Stock that are subject to Awards, including shares of Stock acquired through dividend reinvestment pursuant to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will be counted against the Share Limit as one (1) share of Stock for every one (1) share of Stock subject to the Award. The number of shares of Stock subject to an Award of SARs will be counted against the Share Limit as one (1) share of Stock for every one (1) share of Stock subject to such Award, regardless of the number of shares of Stock actually issued to settle such SARs upon the exercise of the SARs. A number of shares of Stock equal to the maximum number of shares issuable under a Performance-Based Award shall be counted against the Share Limit as of the Grant Date, but such number shall be adjusted to equal the actual number of shares issued upon settlement of the Performance-Based Award to the extent different from such number of shares.</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shares of Stock covered by an Award under the Plan or any award outstanding under the Prior Plan as of the Effective Date are not purchased or are forfeited or expire or otherwise terminate without delivery of any Stock subject thereto or are settled in cash in lieu of shares, then the number of shares of Stock with respect to such Award or award shall, to the extent of any such forfeiture, termination, expiration, or settlement, again be available for making Awards under the Plan. In addition, the following shares of Stock shall again be available for making awards under the Plan: (i) shares of Stock tendered, withheld, or subject to an Award granted under the Plan surrendered in connection with the purchase of shares of Stock upon exercise of an Option, (ii) shares of Stock that were not issued upon the net settlement or net exercise of a Stock-settled SAR granted under the Plan, or (iii) shares of Stock deducted or delivered from payment of an Award granted under the Plan in connection with the Company’s tax withholding obligations as provided in </w:t>
      </w:r>
      <w:r>
        <w:rPr>
          <w:rFonts w:ascii="Times New Roman" w:cs="Times New Roman" w:eastAsia="Times New Roman" w:hAnsi="Times New Roman"/>
          <w:sz w:val="22"/>
          <w:szCs w:val="22"/>
          <w:b w:val="1"/>
          <w:bCs w:val="1"/>
          <w:color w:val="auto"/>
        </w:rPr>
        <w:t>Section 18.3</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860" w:right="3759" w:hanging="651"/>
        <w:spacing w:after="0" w:line="437" w:lineRule="auto"/>
        <w:tabs>
          <w:tab w:leader="none" w:pos="8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AMENDMENT AND TERMINATION 5.1 Term.</w:t>
      </w:r>
    </w:p>
    <w:p>
      <w:pPr>
        <w:spacing w:after="0" w:line="1"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The Plan shall be effective as of the Effective Date. The Plan shall terminate on the first to occur of (a) 11:59pm ET on the day before the tenth (10th) anniversary of the Effective Date, (b) the date determined in accordance with </w:t>
      </w:r>
      <w:r>
        <w:rPr>
          <w:rFonts w:ascii="Times New Roman" w:cs="Times New Roman" w:eastAsia="Times New Roman" w:hAnsi="Times New Roman"/>
          <w:sz w:val="22"/>
          <w:szCs w:val="22"/>
          <w:b w:val="1"/>
          <w:bCs w:val="1"/>
          <w:color w:val="auto"/>
        </w:rPr>
        <w:t>Section 5.2</w:t>
      </w:r>
      <w:r>
        <w:rPr>
          <w:rFonts w:ascii="Times New Roman" w:cs="Times New Roman" w:eastAsia="Times New Roman" w:hAnsi="Times New Roman"/>
          <w:sz w:val="22"/>
          <w:szCs w:val="22"/>
          <w:color w:val="auto"/>
        </w:rPr>
        <w:t xml:space="preserve">, and (c) the date determined in accordance with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 xml:space="preserve"> provided, however, that Incentive Stock Options may not be granted under the Plan more than ten (10) years after the date of the Board’s adoption of the Plan (which was May 8, 2019). No Awards may be granted after termination of the Plan, and upon such termination of the Plan, all then-outstanding Awards shall continue to have full force and effect in accordance with the provisions of the terminated Plan and the applicable Award Agreement (or other documents evidencing such Awards).</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Amendment, Suspension, and Termination.</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Committee may, at any time and from time to time, amend or suspend the Plan; provided that, with respect to Awards theretofore granted under the Plan, no amendment or suspension of the Plan shall, without the consent of the Grantee, materially impair the rights or obligations under any such Award. The effectiveness of any amendment to the Plan shall be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 w:name="page23"/>
    <w:bookmarkEnd w:id="22"/>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contingent on approval of such amendment by the Company’s stockholders to the extent provided by the Board or required by Applicable Laws; provided that no amendment shall be made to the no-repricing provisions of </w:t>
      </w:r>
      <w:r>
        <w:rPr>
          <w:rFonts w:ascii="Times New Roman" w:cs="Times New Roman" w:eastAsia="Times New Roman" w:hAnsi="Times New Roman"/>
          <w:sz w:val="22"/>
          <w:szCs w:val="22"/>
          <w:b w:val="1"/>
          <w:bCs w:val="1"/>
          <w:color w:val="auto"/>
        </w:rPr>
        <w:t>Section 3.4,</w:t>
      </w:r>
      <w:r>
        <w:rPr>
          <w:rFonts w:ascii="Times New Roman" w:cs="Times New Roman" w:eastAsia="Times New Roman" w:hAnsi="Times New Roman"/>
          <w:sz w:val="22"/>
          <w:szCs w:val="22"/>
          <w:color w:val="auto"/>
        </w:rPr>
        <w:t xml:space="preserve"> the Option pricing provisions of </w:t>
      </w:r>
      <w:r>
        <w:rPr>
          <w:rFonts w:ascii="Times New Roman" w:cs="Times New Roman" w:eastAsia="Times New Roman" w:hAnsi="Times New Roman"/>
          <w:sz w:val="22"/>
          <w:szCs w:val="22"/>
          <w:b w:val="1"/>
          <w:bCs w:val="1"/>
          <w:color w:val="auto"/>
        </w:rPr>
        <w:t>Section 8.1,</w:t>
      </w:r>
      <w:r>
        <w:rPr>
          <w:rFonts w:ascii="Times New Roman" w:cs="Times New Roman" w:eastAsia="Times New Roman" w:hAnsi="Times New Roman"/>
          <w:sz w:val="22"/>
          <w:szCs w:val="22"/>
          <w:color w:val="auto"/>
        </w:rPr>
        <w:t xml:space="preserve"> the SAR pricing provisions of </w:t>
      </w:r>
      <w:r>
        <w:rPr>
          <w:rFonts w:ascii="Times New Roman" w:cs="Times New Roman" w:eastAsia="Times New Roman" w:hAnsi="Times New Roman"/>
          <w:sz w:val="22"/>
          <w:szCs w:val="22"/>
          <w:b w:val="1"/>
          <w:bCs w:val="1"/>
          <w:color w:val="auto"/>
        </w:rPr>
        <w:t>Section 9.1</w:t>
      </w:r>
      <w:r>
        <w:rPr>
          <w:rFonts w:ascii="Times New Roman" w:cs="Times New Roman" w:eastAsia="Times New Roman" w:hAnsi="Times New Roman"/>
          <w:sz w:val="22"/>
          <w:szCs w:val="22"/>
          <w:color w:val="auto"/>
        </w:rPr>
        <w:t xml:space="preserve">, or the limitation on Non-Employee Director compensation in </w:t>
      </w:r>
      <w:r>
        <w:rPr>
          <w:rFonts w:ascii="Times New Roman" w:cs="Times New Roman" w:eastAsia="Times New Roman" w:hAnsi="Times New Roman"/>
          <w:sz w:val="22"/>
          <w:szCs w:val="22"/>
          <w:b w:val="1"/>
          <w:bCs w:val="1"/>
          <w:color w:val="auto"/>
        </w:rPr>
        <w:t xml:space="preserve">Section 6.2 </w:t>
      </w:r>
      <w:r>
        <w:rPr>
          <w:rFonts w:ascii="Times New Roman" w:cs="Times New Roman" w:eastAsia="Times New Roman" w:hAnsi="Times New Roman"/>
          <w:sz w:val="22"/>
          <w:szCs w:val="22"/>
          <w:color w:val="auto"/>
        </w:rPr>
        <w:t>without the approval of the Company’s stockholders. The Board may,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the Plan; provided that, with respect to Awards theretofore granted under the Plan, no termination of the Plan shall, without the consent of the Grantee, materially impair the rights or obligations under any such Award.</w:t>
      </w:r>
    </w:p>
    <w:p>
      <w:pPr>
        <w:spacing w:after="0" w:line="174" w:lineRule="exact"/>
        <w:rPr>
          <w:sz w:val="20"/>
          <w:szCs w:val="20"/>
          <w:color w:val="auto"/>
        </w:rPr>
      </w:pPr>
    </w:p>
    <w:p>
      <w:pPr>
        <w:ind w:left="860" w:right="3899" w:hanging="651"/>
        <w:spacing w:after="0" w:line="435" w:lineRule="auto"/>
        <w:tabs>
          <w:tab w:leader="none" w:pos="8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ELIGIBILITY AND LIMITATIONS 6.1 Eligible Grantees.</w:t>
      </w:r>
    </w:p>
    <w:p>
      <w:pPr>
        <w:spacing w:after="0" w:line="1"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color w:val="auto"/>
        </w:rPr>
        <w:t xml:space="preserve">Subject to this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xml:space="preserve"> Awards may be made under the Plan to any Service Provider, as the Committee shall determine and designate from time to time.</w:t>
      </w:r>
    </w:p>
    <w:p>
      <w:pPr>
        <w:spacing w:after="0" w:line="15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Limitation on Compensation of Non-Employee Directors.</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Subject to adjustment as provided in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xml:space="preserve"> the aggregate value of all Awards granted under the Plan and all other cash compensation paid by the Company to any Non-Employee Director in any calendar year shall not exceed Seven-Hundred Fifty Thousand Dollars ($750,000) (calculating the value of any such Awards based on the grant date fair value of such Awards for financial reporting purposes); provided, however, that (i) such amount shall be One Million Dollars ($1,000,000) for the calendar year in which the applicable Non-Employee Director is initially elected or appointed to the Board, and (ii) the limit set forth in this sentence shall not apply to distributions of previously deferred compensation under a deferred compensation plan maintained by the Company or any of its Affiliates or compensation received by the director in his or her capacity as an executive officer or employee of the Company or any of its Affiliates. Awards granted to an individual while he or she was serving in the capacity as an Employee or a consultant or advisor to the Company or an Affiliate (but not a Non-Employee Director) will not count for purposes of the limitations set forth in this </w:t>
      </w:r>
      <w:r>
        <w:rPr>
          <w:rFonts w:ascii="Times New Roman" w:cs="Times New Roman" w:eastAsia="Times New Roman" w:hAnsi="Times New Roman"/>
          <w:sz w:val="22"/>
          <w:szCs w:val="22"/>
          <w:b w:val="1"/>
          <w:bCs w:val="1"/>
          <w:color w:val="auto"/>
        </w:rPr>
        <w:t>Section 6.2.</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Stand-Alone, Additional, Tandem, and Substitute Awards.</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b w:val="1"/>
          <w:bCs w:val="1"/>
          <w:color w:val="auto"/>
        </w:rPr>
        <w:t>Section 3.4,</w:t>
      </w:r>
      <w:r>
        <w:rPr>
          <w:rFonts w:ascii="Times New Roman" w:cs="Times New Roman" w:eastAsia="Times New Roman" w:hAnsi="Times New Roman"/>
          <w:sz w:val="21"/>
          <w:szCs w:val="21"/>
          <w:color w:val="auto"/>
        </w:rPr>
        <w:t xml:space="preserve"> Awards granted under the Plan may, in the discretion of the Committee, be granted either alone or in addition to, in tandem with, or in substitution or exchange for, (a) any other Award, (b) any award granted under another plan of the Company, an Affiliate, or any business entity that has been a party to a transaction with the Company or an Affiliate, or (c) any other right of a Grantee to receive payment from the Company or an Affiliate. Such additional, tandem, exchange, or Substitute Awards may be granted at any time. If an Award is granted in substitution or exchange for another Award, or for an award granted under another plan of the Company, an Affiliate, or any business entity that has been a party to a transaction with the Company or an Affiliate, the Committee shall require the surrender of such other Award or award under such other plan in consideration for the grant of such exchange or Substitute Award. In addition, Awards may be granted in lieu of cash compensation, including in lieu of cash payments under other plans of the Company or an Affiliate. Notwithstanding </w:t>
      </w:r>
      <w:r>
        <w:rPr>
          <w:rFonts w:ascii="Times New Roman" w:cs="Times New Roman" w:eastAsia="Times New Roman" w:hAnsi="Times New Roman"/>
          <w:sz w:val="21"/>
          <w:szCs w:val="21"/>
          <w:b w:val="1"/>
          <w:bCs w:val="1"/>
          <w:color w:val="auto"/>
        </w:rPr>
        <w:t>Section 8.1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9.1,</w:t>
      </w:r>
      <w:r>
        <w:rPr>
          <w:rFonts w:ascii="Times New Roman" w:cs="Times New Roman" w:eastAsia="Times New Roman" w:hAnsi="Times New Roman"/>
          <w:sz w:val="21"/>
          <w:szCs w:val="21"/>
          <w:color w:val="auto"/>
        </w:rPr>
        <w:t xml:space="preserve"> but subject to </w:t>
      </w:r>
      <w:r>
        <w:rPr>
          <w:rFonts w:ascii="Times New Roman" w:cs="Times New Roman" w:eastAsia="Times New Roman" w:hAnsi="Times New Roman"/>
          <w:sz w:val="21"/>
          <w:szCs w:val="21"/>
          <w:b w:val="1"/>
          <w:bCs w:val="1"/>
          <w:color w:val="auto"/>
        </w:rPr>
        <w:t>Section 3.4,</w:t>
      </w:r>
      <w:r>
        <w:rPr>
          <w:rFonts w:ascii="Times New Roman" w:cs="Times New Roman" w:eastAsia="Times New Roman" w:hAnsi="Times New Roman"/>
          <w:sz w:val="21"/>
          <w:szCs w:val="21"/>
          <w:color w:val="auto"/>
        </w:rPr>
        <w:t xml:space="preserve"> the Option Price of an Option or the SAR Price of a SAR that is a</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 w:name="page24"/>
    <w:bookmarkEnd w:id="2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Substitute Award may be less than one hundred percent (100%) of the Fair Market Value of a share of Stock on the original Grant Date; provided that such Option Price or SAR Price is determined in accordance with the principles of Code Section 424 for any Incentive Stock Option and consistent with Code Section 409A for any other Option or SAR.</w:t>
      </w:r>
    </w:p>
    <w:p>
      <w:pPr>
        <w:spacing w:after="0" w:line="176" w:lineRule="exact"/>
        <w:rPr>
          <w:sz w:val="20"/>
          <w:szCs w:val="20"/>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w:t>
      </w:r>
    </w:p>
    <w:p>
      <w:pPr>
        <w:spacing w:after="0" w:line="21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Each Award granted pursuant to the Plan shall be evidenced by an Award Agreement, which shall be in such form or forms as the Committee shall from time to time determine. Award Agreements utilized under the Plan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to constitute Nonqualified Stock Options. In the event of any inconsistency between the Plan and an Award Agreement, the provisions of the Plan shall control.</w:t>
      </w:r>
    </w:p>
    <w:p>
      <w:pPr>
        <w:spacing w:after="0" w:line="168" w:lineRule="exact"/>
        <w:rPr>
          <w:sz w:val="20"/>
          <w:szCs w:val="20"/>
          <w:color w:val="auto"/>
        </w:rPr>
      </w:pPr>
    </w:p>
    <w:p>
      <w:pPr>
        <w:ind w:left="860" w:right="4039" w:hanging="651"/>
        <w:spacing w:after="0" w:line="437" w:lineRule="auto"/>
        <w:tabs>
          <w:tab w:leader="none" w:pos="8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AND CONDITIONS OF OPTIONS 8.1 Option Price.</w:t>
      </w:r>
    </w:p>
    <w:p>
      <w:pPr>
        <w:spacing w:after="0" w:line="1"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Option Price of each Option shall be fixed by the Committee and stated in the Award Agreement evidencing such Option. Except in the case of Substitute Awards, the Option Price of each Option shall be at least the Fair Market Value of one (1) share of Stock on the Grant Date; provided that, in the event that a Grantee is a Ten Percent Stockholder, the Option Price of an Option granted to such Grantee that is intended to be an Incentive Stock Option shall be not less than one hundred ten percent (110%) of the Fair Market Value of one (1) share of Stock on the Grant Date.</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Vesting and Exercisability.</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Sections 8.3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16.3,</w:t>
      </w:r>
      <w:r>
        <w:rPr>
          <w:rFonts w:ascii="Times New Roman" w:cs="Times New Roman" w:eastAsia="Times New Roman" w:hAnsi="Times New Roman"/>
          <w:sz w:val="22"/>
          <w:szCs w:val="22"/>
          <w:color w:val="auto"/>
        </w:rPr>
        <w:t xml:space="preserve"> each Option granted under the Plan shall become vested and/or exercisable at such times and under such conditions as shall be determined by the Committee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p>
    <w:p>
      <w:pPr>
        <w:spacing w:after="0" w:line="17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Term.</w:t>
      </w:r>
    </w:p>
    <w:p>
      <w:pPr>
        <w:spacing w:after="0" w:line="21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Each Option granted under the Plan shall terminate, and all rights to purchase shares of Stock thereunder shall cease, on the day before the tenth (10th) anniversary of the Grant Date of such Option, or under such circumstances and on such date prior thereto as is set forth in the Plan or as may be fixed by the Committee and stated in the Award Agreement relating to such Option; provided that, in the event that the Grantee is a Ten Percent Stockholder, an Option granted to such Grantee that is intended to be an Incentive Stock Option shall terminate, and all rights to purchase shares of Stock thereunder shall cease, on the day before the fifth (5th) anniversary of the Grant Date of such Option; and provided, further, that, to the extent deemed necessary or appropriate by the Committee to reflect differences in local law, tax policy, or custom with respect to any Option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 w:name="page25"/>
    <w:bookmarkEnd w:id="24"/>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granted to a Grantee who is a Service Provider who is employed or providing services outside the United States, such Option may terminate, and all rights to purchase shares of Stock thereunder may cease, upon the expiration of a period longer than ten (10) years from the Grant Date of such Option as the Committee shall determine.</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Termination of Service.</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Each Award Agreement with respect to the grant of an Option shall set forth the extent to which the Grantee thereof, if at all, shall have the right to exercise such Option following termination of such Grantee’s Service. Such provisions shall be determined in the sole discretion of the Committee, need not be uniform among all Options issued pursuant to the Plan, and may reflect distinctions based on the reasons for termination of Service.</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Limitations on Exercise of Option.</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 provision of the Plan to the contrary, in no event may any Option be exercised, in whole or in part, after the occurrence of an event referred to in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xml:space="preserve"> which results in the termination of such Option.</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Method of Exercise.</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Subject to the terms of </w:t>
      </w:r>
      <w:r>
        <w:rPr>
          <w:rFonts w:ascii="Times New Roman" w:cs="Times New Roman" w:eastAsia="Times New Roman" w:hAnsi="Times New Roman"/>
          <w:sz w:val="22"/>
          <w:szCs w:val="22"/>
          <w:b w:val="1"/>
          <w:bCs w:val="1"/>
          <w:color w:val="auto"/>
        </w:rPr>
        <w:t>Section 14 and Section 18.3,</w:t>
      </w:r>
      <w:r>
        <w:rPr>
          <w:rFonts w:ascii="Times New Roman" w:cs="Times New Roman" w:eastAsia="Times New Roman" w:hAnsi="Times New Roman"/>
          <w:sz w:val="22"/>
          <w:szCs w:val="22"/>
          <w:color w:val="auto"/>
        </w:rPr>
        <w:t xml:space="preserve"> an Option that is exercisable may be exercised by the Grantee’s delivery to the Company or its designee or agent of written notice of exercise on any business day, at the Company’s principal office or the office of such designee or agent, on the form specified by the Company and in accordance with any additional procedures specified by the Committee. Such notice shall specify the number of shares of Stock with respect to which such Option is being exercised and shall be accompanied by payment in full of the Option Price of the shares of Stock for which such Option is being exercised, plus the amount (if any) of federal and/or other taxes which the Company may, in its judgment, be required to withhold with respect to the exercise of such Option.</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Rights of Holders of Options.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 Grantee or other Person holding or exercising an Option shall have none of the rights of a stockholder of the Company (for example, the right to receive cash or dividend payments or distributions attributable to the shares of Stock subject to such Option, to direct the voting of the shares of Stock subject to such Option, or to receive notice of any meeting of the Company’s stockholders) until the shares of Stock subject thereto are fully paid and issued to such Grantee or other Person. Except as provided in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xml:space="preserve"> no adjustment shall be made for dividends, distributions, or other rights with respect to any shares of Stock subject to an Option for which the record date is prior to the date of issuance of such shares of Stock.</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8.8</w:t>
      </w:r>
      <w:r>
        <w:rPr>
          <w:sz w:val="20"/>
          <w:szCs w:val="20"/>
          <w:color w:val="auto"/>
        </w:rPr>
        <w:tab/>
      </w:r>
      <w:r>
        <w:rPr>
          <w:rFonts w:ascii="Times New Roman" w:cs="Times New Roman" w:eastAsia="Times New Roman" w:hAnsi="Times New Roman"/>
          <w:sz w:val="21"/>
          <w:szCs w:val="21"/>
          <w:b w:val="1"/>
          <w:bCs w:val="1"/>
          <w:color w:val="auto"/>
        </w:rPr>
        <w:t>Delivery of Stock.</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Promptly after the exercise of an Option by a Grantee and the payment in full of the Option Price with respect thereto, such Grantee shall be entitled to receive such evidence of such Grantee’s ownership of the shares of Stock subject to such Option as shall be consistent with</w:t>
      </w:r>
    </w:p>
    <w:p>
      <w:pPr>
        <w:ind w:left="200"/>
        <w:spacing w:after="0"/>
        <w:rPr>
          <w:sz w:val="20"/>
          <w:szCs w:val="20"/>
          <w:color w:val="auto"/>
        </w:rPr>
      </w:pPr>
      <w:r>
        <w:rPr>
          <w:rFonts w:ascii="Times New Roman" w:cs="Times New Roman" w:eastAsia="Times New Roman" w:hAnsi="Times New Roman"/>
          <w:sz w:val="22"/>
          <w:szCs w:val="22"/>
          <w:b w:val="1"/>
          <w:bCs w:val="1"/>
          <w:color w:val="auto"/>
        </w:rPr>
        <w:t>Section 3.7.</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 w:name="page26"/>
    <w:bookmarkEnd w:id="25"/>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8.9</w:t>
      </w:r>
      <w:r>
        <w:rPr>
          <w:sz w:val="20"/>
          <w:szCs w:val="20"/>
          <w:color w:val="auto"/>
        </w:rPr>
        <w:tab/>
      </w:r>
      <w:r>
        <w:rPr>
          <w:rFonts w:ascii="Times New Roman" w:cs="Times New Roman" w:eastAsia="Times New Roman" w:hAnsi="Times New Roman"/>
          <w:sz w:val="21"/>
          <w:szCs w:val="21"/>
          <w:b w:val="1"/>
          <w:bCs w:val="1"/>
          <w:color w:val="auto"/>
        </w:rPr>
        <w:t>Transferability of Options.</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b w:val="1"/>
          <w:bCs w:val="1"/>
          <w:color w:val="auto"/>
        </w:rPr>
        <w:t>Section 8.10,</w:t>
      </w:r>
      <w:r>
        <w:rPr>
          <w:rFonts w:ascii="Times New Roman" w:cs="Times New Roman" w:eastAsia="Times New Roman" w:hAnsi="Times New Roman"/>
          <w:sz w:val="22"/>
          <w:szCs w:val="22"/>
          <w:color w:val="auto"/>
        </w:rPr>
        <w:t xml:space="preserve"> during the lifetime of a Grantee of an Option, only such Grantee (or, in the event of such Grantee’s legal incapacity or incompetency, such Grantee’s guardian or legal representative) may exercise such Option. Except as provided in </w:t>
      </w:r>
      <w:r>
        <w:rPr>
          <w:rFonts w:ascii="Times New Roman" w:cs="Times New Roman" w:eastAsia="Times New Roman" w:hAnsi="Times New Roman"/>
          <w:sz w:val="22"/>
          <w:szCs w:val="22"/>
          <w:b w:val="1"/>
          <w:bCs w:val="1"/>
          <w:color w:val="auto"/>
        </w:rPr>
        <w:t>Section 8.10,</w:t>
      </w:r>
      <w:r>
        <w:rPr>
          <w:rFonts w:ascii="Times New Roman" w:cs="Times New Roman" w:eastAsia="Times New Roman" w:hAnsi="Times New Roman"/>
          <w:sz w:val="22"/>
          <w:szCs w:val="22"/>
          <w:color w:val="auto"/>
        </w:rPr>
        <w:t xml:space="preserve"> no Option shall be assignable or transferable by the Grantee to whom it is granted, other than by will or the laws of descent and distribution.</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8.10</w:t>
      </w:r>
      <w:r>
        <w:rPr>
          <w:sz w:val="20"/>
          <w:szCs w:val="20"/>
          <w:color w:val="auto"/>
        </w:rPr>
        <w:tab/>
      </w:r>
      <w:r>
        <w:rPr>
          <w:rFonts w:ascii="Times New Roman" w:cs="Times New Roman" w:eastAsia="Times New Roman" w:hAnsi="Times New Roman"/>
          <w:sz w:val="21"/>
          <w:szCs w:val="21"/>
          <w:b w:val="1"/>
          <w:bCs w:val="1"/>
          <w:color w:val="auto"/>
        </w:rPr>
        <w:t>Family Transfers.</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The Committee, in its sole discretion, may provide either in an applicable Award Agreement or by the subsequent approval of the Committee that a Grantee may transfer, not for value, all or part of an Option which is not an Incentive Stock Option to any Family Member. For the purpose of this </w:t>
      </w:r>
      <w:r>
        <w:rPr>
          <w:rFonts w:ascii="Times New Roman" w:cs="Times New Roman" w:eastAsia="Times New Roman" w:hAnsi="Times New Roman"/>
          <w:sz w:val="22"/>
          <w:szCs w:val="22"/>
          <w:b w:val="1"/>
          <w:bCs w:val="1"/>
          <w:color w:val="auto"/>
        </w:rPr>
        <w:t>Section 8.10,</w:t>
      </w:r>
      <w:r>
        <w:rPr>
          <w:rFonts w:ascii="Times New Roman" w:cs="Times New Roman" w:eastAsia="Times New Roman" w:hAnsi="Times New Roman"/>
          <w:sz w:val="22"/>
          <w:szCs w:val="22"/>
          <w:color w:val="auto"/>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Times New Roman" w:cs="Times New Roman" w:eastAsia="Times New Roman" w:hAnsi="Times New Roman"/>
          <w:sz w:val="22"/>
          <w:szCs w:val="22"/>
          <w:b w:val="1"/>
          <w:bCs w:val="1"/>
          <w:color w:val="auto"/>
        </w:rPr>
        <w:t>Section 8.10,</w:t>
      </w:r>
      <w:r>
        <w:rPr>
          <w:rFonts w:ascii="Times New Roman" w:cs="Times New Roman" w:eastAsia="Times New Roman" w:hAnsi="Times New Roman"/>
          <w:sz w:val="22"/>
          <w:szCs w:val="22"/>
          <w:color w:val="auto"/>
        </w:rPr>
        <w:t xml:space="preserve"> any such Option shall continue to be subject to the same terms and conditions as were applicable immediately prior to such transfer. Subsequent transfers of transferred Options shall be prohibited except to Family Members of the original Grantee in accordance with this </w:t>
      </w:r>
      <w:r>
        <w:rPr>
          <w:rFonts w:ascii="Times New Roman" w:cs="Times New Roman" w:eastAsia="Times New Roman" w:hAnsi="Times New Roman"/>
          <w:sz w:val="22"/>
          <w:szCs w:val="22"/>
          <w:b w:val="1"/>
          <w:bCs w:val="1"/>
          <w:color w:val="auto"/>
        </w:rPr>
        <w:t>Section 8.10</w:t>
      </w:r>
      <w:r>
        <w:rPr>
          <w:rFonts w:ascii="Times New Roman" w:cs="Times New Roman" w:eastAsia="Times New Roman" w:hAnsi="Times New Roman"/>
          <w:sz w:val="22"/>
          <w:szCs w:val="22"/>
          <w:color w:val="auto"/>
        </w:rPr>
        <w:t xml:space="preserve"> or by will or the laws of descent and distribution. The provisions of </w:t>
      </w:r>
      <w:r>
        <w:rPr>
          <w:rFonts w:ascii="Times New Roman" w:cs="Times New Roman" w:eastAsia="Times New Roman" w:hAnsi="Times New Roman"/>
          <w:sz w:val="22"/>
          <w:szCs w:val="22"/>
          <w:b w:val="1"/>
          <w:bCs w:val="1"/>
          <w:color w:val="auto"/>
        </w:rPr>
        <w:t>Section 8.4</w:t>
      </w:r>
      <w:r>
        <w:rPr>
          <w:rFonts w:ascii="Times New Roman" w:cs="Times New Roman" w:eastAsia="Times New Roman" w:hAnsi="Times New Roman"/>
          <w:sz w:val="22"/>
          <w:szCs w:val="22"/>
          <w:color w:val="auto"/>
        </w:rPr>
        <w:t xml:space="preserve"> relating to termination of Service shall continue to be applied with respect to the original Grantee of the Option, following which such Option shall be exercisable by the transferee only to the extent, and for the periods specified, in </w:t>
      </w:r>
      <w:r>
        <w:rPr>
          <w:rFonts w:ascii="Times New Roman" w:cs="Times New Roman" w:eastAsia="Times New Roman" w:hAnsi="Times New Roman"/>
          <w:sz w:val="22"/>
          <w:szCs w:val="22"/>
          <w:b w:val="1"/>
          <w:bCs w:val="1"/>
          <w:color w:val="auto"/>
        </w:rPr>
        <w:t>Section 8.4.</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8.11</w:t>
      </w:r>
      <w:r>
        <w:rPr>
          <w:sz w:val="20"/>
          <w:szCs w:val="20"/>
          <w:color w:val="auto"/>
        </w:rPr>
        <w:tab/>
      </w:r>
      <w:r>
        <w:rPr>
          <w:rFonts w:ascii="Times New Roman" w:cs="Times New Roman" w:eastAsia="Times New Roman" w:hAnsi="Times New Roman"/>
          <w:sz w:val="21"/>
          <w:szCs w:val="21"/>
          <w:b w:val="1"/>
          <w:bCs w:val="1"/>
          <w:color w:val="auto"/>
        </w:rPr>
        <w:t>Limitations on Incentive Stock Options.</w:t>
      </w:r>
    </w:p>
    <w:p>
      <w:pPr>
        <w:spacing w:after="0" w:line="21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An Option shall constitute an Incentive Stock Option only (a) if the Grantee of such Option is an Employee of the Company or any Subsidiary, (b) to the extent specifically provided in the related Award Agreement, (c) to the extent that the aggregate Fair Market Value (determined at the time such Option is granted) of the shares of Stock with respect to which all Incentive Stock Options held by such Grantee become exercisable for the first time during any calendar year (under the Plan and all other plans of the Company and its Affiliates) does not exceed one hundred thousand dollars ($100,000), and (d) to the extent such Option fulfills all other requirements under Code Section 422. Except to the extent provided under Code Section 422, this limitation shall be applied by taking Options into account in the order in which they were granted.</w:t>
      </w:r>
    </w:p>
    <w:p>
      <w:pPr>
        <w:spacing w:after="0" w:line="17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8.12</w:t>
      </w:r>
      <w:r>
        <w:rPr>
          <w:sz w:val="20"/>
          <w:szCs w:val="20"/>
          <w:color w:val="auto"/>
        </w:rPr>
        <w:tab/>
      </w:r>
      <w:r>
        <w:rPr>
          <w:rFonts w:ascii="Times New Roman" w:cs="Times New Roman" w:eastAsia="Times New Roman" w:hAnsi="Times New Roman"/>
          <w:sz w:val="21"/>
          <w:szCs w:val="21"/>
          <w:b w:val="1"/>
          <w:bCs w:val="1"/>
          <w:color w:val="auto"/>
        </w:rPr>
        <w:t>Notice of Disqualifying Disposition.</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If any Grantee shall make any disposition of shares of Stock issued pursuant to the exercise of an Incentive Stock Option under the circumstances provided in Code Section 421(b) (relating to certain disqualifying dispositions), such Grantee shall notify the Company of such disposition immediately but in no event later than ten (10) days thereafter.</w:t>
      </w:r>
    </w:p>
    <w:p>
      <w:pPr>
        <w:spacing w:after="0" w:line="176" w:lineRule="exact"/>
        <w:rPr>
          <w:sz w:val="20"/>
          <w:szCs w:val="20"/>
          <w:color w:val="auto"/>
        </w:rPr>
      </w:pPr>
    </w:p>
    <w:p>
      <w:pPr>
        <w:ind w:left="860" w:right="1659" w:hanging="651"/>
        <w:spacing w:after="0" w:line="467" w:lineRule="auto"/>
        <w:tabs>
          <w:tab w:leader="none" w:pos="8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AND CONDITIONS OF STOCK APPRECIATION RIGHTS 9.1 Right to Payment and SAR Price.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6" w:name="page27"/>
    <w:bookmarkEnd w:id="26"/>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A SAR shall confer on the Grantee to whom it is granted a right to receive, upon exercise thereof, the excess of (a) the Fair Market Value of one (1) share of Stock on the date of exercise, over (b) the SAR Price as determined by the Committee. The Award Agreement for a SAR shall specify the SAR Price, which shall be no less than the Fair Market Value of one (1) share of Stock on the Grant Date of such SAR. SARs may be granted in tandem with all or part of an Option granted under the Plan or at any subsequent time during the term of such Option, in combination with all or any part of any other Award, or without regard to any Option or other Award; provided that a SAR that is granted in tandem with all or part of an Option will have the same term, and expire at the same time, as the related Option; provided, further, that a SAR that is granted subsequent to the Grant Date of a related Option must have a SAR Price that is no less than the Fair Market Value of one (1) share of Stock on the Grant Date of such SAR.</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Other Terms.</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b w:val="1"/>
          <w:bCs w:val="1"/>
          <w:color w:val="auto"/>
        </w:rPr>
        <w:t>Sections 9.3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16.3,</w:t>
      </w:r>
      <w:r>
        <w:rPr>
          <w:rFonts w:ascii="Times New Roman" w:cs="Times New Roman" w:eastAsia="Times New Roman" w:hAnsi="Times New Roman"/>
          <w:sz w:val="21"/>
          <w:szCs w:val="21"/>
          <w:color w:val="auto"/>
        </w:rPr>
        <w:t xml:space="preserve"> the Committee shall determine, on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Stock shall be delivered or deemed to be delivered to Grantees, whether or not a SAR shall be granted in tandem or in combination with any other Award; and any and all other terms and conditions of any SAR; provided that no SARs shall be granted to Grantees who are entitled to overtime under Applicable Laws that will vest or be exercisable within a six (6)-month period starting on the Grant Date.</w:t>
      </w:r>
    </w:p>
    <w:p>
      <w:pPr>
        <w:spacing w:after="0" w:line="17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Term.</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Each SAR granted under the Plan shall terminate, and all rights thereunder shall cease, on the day before the tenth (10th) anniversary of the Grant Date of such SAR or under such circumstances and on such date prior thereto as is set forth in the Plan or as may be fixed by the Committee and stated in the Award Agreement relating to such SAR.</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Rights of Holders of SARs.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 Grantee or other Person holding or exercising a SAR shall have none of the rights of a stockholder of the Company (for example, the right to receive cash or dividend payments or distributions attributable to the shares of Stock underlying such SAR, to direct the voting of the shares of Stock underlying such SAR, or to receive notice of any meeting of the Company’s stockholders) until the shares of Stock underlying such SAR, if any, are issued to such Grantee or other Person. Except as provided in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xml:space="preserve"> no adjustment shall be made for dividends, distributions, or other rights with respect to any shares of Stock underlying a SAR for which the record date is prior to the date of issuance of such shares of Stock, if any.</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Transferability of SARs.</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b w:val="1"/>
          <w:bCs w:val="1"/>
          <w:color w:val="auto"/>
        </w:rPr>
        <w:t>Section 9.6</w:t>
      </w:r>
      <w:r>
        <w:rPr>
          <w:rFonts w:ascii="Times New Roman" w:cs="Times New Roman" w:eastAsia="Times New Roman" w:hAnsi="Times New Roman"/>
          <w:sz w:val="22"/>
          <w:szCs w:val="22"/>
          <w:color w:val="auto"/>
        </w:rPr>
        <w:t xml:space="preserve">, during the lifetime of a Grantee of a SAR, only the Grantee (or, in the event of such Grantee’s legal incapacity or incompetency, such Grantee’s guardian or legal representative) may exercise such SAR. Except as provided in </w:t>
      </w:r>
      <w:r>
        <w:rPr>
          <w:rFonts w:ascii="Times New Roman" w:cs="Times New Roman" w:eastAsia="Times New Roman" w:hAnsi="Times New Roman"/>
          <w:sz w:val="22"/>
          <w:szCs w:val="22"/>
          <w:b w:val="1"/>
          <w:bCs w:val="1"/>
          <w:color w:val="auto"/>
        </w:rPr>
        <w:t>Section 9.6,</w:t>
      </w:r>
      <w:r>
        <w:rPr>
          <w:rFonts w:ascii="Times New Roman" w:cs="Times New Roman" w:eastAsia="Times New Roman" w:hAnsi="Times New Roman"/>
          <w:sz w:val="22"/>
          <w:szCs w:val="22"/>
          <w:color w:val="auto"/>
        </w:rPr>
        <w:t xml:space="preserve"> no</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 w:name="page28"/>
    <w:bookmarkEnd w:id="2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SAR shall be assignable or transferable by the Grantee to whom it is granted, other than by will or the laws of descent and distribution.</w:t>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Family Transfers.</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The Committee, in its sole discretion, may provide either in an applicable Award Agreement or by the subsequent approval of the Committee that a Grantee may transfer, not for value, all or part of a SAR to any Family Member. For the purpose of this </w:t>
      </w:r>
      <w:r>
        <w:rPr>
          <w:rFonts w:ascii="Times New Roman" w:cs="Times New Roman" w:eastAsia="Times New Roman" w:hAnsi="Times New Roman"/>
          <w:sz w:val="22"/>
          <w:szCs w:val="22"/>
          <w:b w:val="1"/>
          <w:bCs w:val="1"/>
          <w:color w:val="auto"/>
        </w:rPr>
        <w:t>Section 9.6,</w:t>
      </w:r>
      <w:r>
        <w:rPr>
          <w:rFonts w:ascii="Times New Roman" w:cs="Times New Roman" w:eastAsia="Times New Roman" w:hAnsi="Times New Roman"/>
          <w:sz w:val="22"/>
          <w:szCs w:val="22"/>
          <w:color w:val="auto"/>
        </w:rPr>
        <w:t xml:space="preserve"> a transfer “not for value” is a transfer which is (a) a gift, (b) a transfer under a domestic relations order in settlement of marital property rights, or (c) unless Applicable Laws do not permit such transfer, a transfer to an entity in which more than fifty percent (50%) of the voting interests are owned by Family Members (and/or the Grantee) in exchange for an interest in such entity. Following a transfer under this </w:t>
      </w:r>
      <w:r>
        <w:rPr>
          <w:rFonts w:ascii="Times New Roman" w:cs="Times New Roman" w:eastAsia="Times New Roman" w:hAnsi="Times New Roman"/>
          <w:sz w:val="22"/>
          <w:szCs w:val="22"/>
          <w:b w:val="1"/>
          <w:bCs w:val="1"/>
          <w:color w:val="auto"/>
        </w:rPr>
        <w:t>Section 9.6,</w:t>
      </w:r>
      <w:r>
        <w:rPr>
          <w:rFonts w:ascii="Times New Roman" w:cs="Times New Roman" w:eastAsia="Times New Roman" w:hAnsi="Times New Roman"/>
          <w:sz w:val="22"/>
          <w:szCs w:val="22"/>
          <w:color w:val="auto"/>
        </w:rPr>
        <w:t xml:space="preserve"> any such SAR shall continue to be subject to the same terms and conditions as were in effect immediately prior to such transfer. Subsequent transfers of transferred SARs shall be prohibited except to Family Members of the original Grantee in accordance with this </w:t>
      </w:r>
      <w:r>
        <w:rPr>
          <w:rFonts w:ascii="Times New Roman" w:cs="Times New Roman" w:eastAsia="Times New Roman" w:hAnsi="Times New Roman"/>
          <w:sz w:val="22"/>
          <w:szCs w:val="22"/>
          <w:b w:val="1"/>
          <w:bCs w:val="1"/>
          <w:color w:val="auto"/>
        </w:rPr>
        <w:t>Section 9.6</w:t>
      </w:r>
      <w:r>
        <w:rPr>
          <w:rFonts w:ascii="Times New Roman" w:cs="Times New Roman" w:eastAsia="Times New Roman" w:hAnsi="Times New Roman"/>
          <w:sz w:val="22"/>
          <w:szCs w:val="22"/>
          <w:color w:val="auto"/>
        </w:rPr>
        <w:t xml:space="preserve"> or by will or the laws of descent and distribution.</w:t>
      </w:r>
    </w:p>
    <w:p>
      <w:pPr>
        <w:spacing w:after="0" w:line="183" w:lineRule="exact"/>
        <w:rPr>
          <w:sz w:val="20"/>
          <w:szCs w:val="20"/>
          <w:color w:val="auto"/>
        </w:rPr>
      </w:pPr>
    </w:p>
    <w:p>
      <w:pPr>
        <w:ind w:left="860" w:right="239" w:hanging="651"/>
        <w:spacing w:after="0" w:line="262" w:lineRule="auto"/>
        <w:tabs>
          <w:tab w:leader="none" w:pos="8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AND CONDITIONS OF RESTRICTED STOCK, RESTRICTED STOCK UNITS, AND DEFERRED STOCK UNITS</w:t>
      </w:r>
    </w:p>
    <w:p>
      <w:pPr>
        <w:spacing w:after="0" w:line="149"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10.1   Grant of Restricted Stock, Restricted Stock Units, and Deferred Stock Units.</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Awards of Restricted Stock, Restricted Stock Units, and Deferred Stock Units may be made for consideration or for no consideration, which shall be deemed paid by past Service or, if so provided in the related Award Agreement or a separate agreement, the promise by the Grantee to perform future Service to the Company or an Affiliate.</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Restrictions.</w:t>
      </w:r>
    </w:p>
    <w:p>
      <w:pPr>
        <w:spacing w:after="0" w:line="206"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Sections 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18.10,</w:t>
      </w:r>
      <w:r>
        <w:rPr>
          <w:rFonts w:ascii="Times New Roman" w:cs="Times New Roman" w:eastAsia="Times New Roman" w:hAnsi="Times New Roman"/>
          <w:sz w:val="22"/>
          <w:szCs w:val="22"/>
          <w:color w:val="auto"/>
        </w:rPr>
        <w:t xml:space="preserve"> at the time a grant of Restricted Stock, Restricted Stock Units, or Deferred Stock Units is made, the Committee may, in its sole discretion, (a) establish a Restricted Period applicable to such Restricted Stock, Restricted Stock Units, or Deferred Stock Units and (b) prescribe restrictions in addition to or other than the expiration of the Restricted Period, including the achievement of corporate or individual performance goals, which may be applicable to all or any portion of such Restricted Stock, Restricted Stock Units, or Deferred Stock Units as provided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Awards of Restricted Stock, Restricted Stock Units, and Deferred Stock Units may not be sold, transferred, assigned, pledged, or otherwise encumbered or disposed of during the Restricted Period or prior to the satisfaction of any other restrictions prescribed by the Committee with respect to such Awards.</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Registration; Restricted Stock Certificates.</w:t>
      </w:r>
    </w:p>
    <w:p>
      <w:pPr>
        <w:spacing w:after="0" w:line="20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b w:val="1"/>
          <w:bCs w:val="1"/>
          <w:color w:val="auto"/>
        </w:rPr>
        <w:t>Section 3.7,</w:t>
      </w:r>
      <w:r>
        <w:rPr>
          <w:rFonts w:ascii="Times New Roman" w:cs="Times New Roman" w:eastAsia="Times New Roman" w:hAnsi="Times New Roman"/>
          <w:sz w:val="21"/>
          <w:szCs w:val="21"/>
          <w:color w:val="auto"/>
        </w:rPr>
        <w:t xml:space="preserve"> to the extent that ownership of Restricted Stock is evidenced by a book-entry registration or direct registration (including transaction advices), such registration shall be notated to evidence the restrictions imposed on such Award of Restricted Stock under the Plan and the applicable Award Agreement. Subject to </w:t>
      </w:r>
      <w:r>
        <w:rPr>
          <w:rFonts w:ascii="Times New Roman" w:cs="Times New Roman" w:eastAsia="Times New Roman" w:hAnsi="Times New Roman"/>
          <w:sz w:val="21"/>
          <w:szCs w:val="21"/>
          <w:b w:val="1"/>
          <w:bCs w:val="1"/>
          <w:color w:val="auto"/>
        </w:rPr>
        <w:t>Section 3.7</w:t>
      </w:r>
      <w:r>
        <w:rPr>
          <w:rFonts w:ascii="Times New Roman" w:cs="Times New Roman" w:eastAsia="Times New Roman" w:hAnsi="Times New Roman"/>
          <w:sz w:val="21"/>
          <w:szCs w:val="21"/>
          <w:color w:val="auto"/>
        </w:rPr>
        <w:t xml:space="preserve"> and the immediately following sentence, the Company may issue, in the name of each Grantee to whom Restricted Stock has been granted, certificates representing the total number of shares of Restricted Stock granted to the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 w:name="page29"/>
    <w:bookmarkEnd w:id="2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Grantee, as soon as reasonably practicable after the Grant Date of such Restricted Stock. The Committee may provide in an Award Agreement with respect to an Award of Restricted Stock that either (a) the Secretary of the Company shall hold such certificates for such Grantee’s benefit until such time as such shares of Restricted Stock are forfeited to the Company or the restrictions applicable thereto lapse and such Grantee shall deliver a stock power to the Company with respect to each certificate, or (b) such certificates shall be delivered to such Grantee, provided that such certificates shall bear legends that comply with Applicable Laws and make appropriate reference to the restrictions imposed on such Award of Restricted Stock under the Plan and such Award Agreement.</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Rights of Holders of Restricted Stock.</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Unless the Committee provides otherwise in an Award Agreement and subject to the restrictions set forth in the Plan, any applicable Company program, and the applicable Award Agreement, holders of Restricted Stock shall have the right to vote such shares of Restricted Stock and the right to receive any dividend payments or distributions declared or paid with respect to such shares of Restricted Stock. Notwithstanding the foregoing, dividends or distributions declared or paid on shares of Restricted Stock shall not vest or become payable unless and until the shares of Restricted Stock to which the dividends or distributions apply become vested and nonforfeitable. The Committee may provide in an Award Agreement evidencing a grant of Restricted Stock that any dividend payments or distributions paid on Restricted Stock shall be reinvested in shares of Stock, which shall be subject to the same vesting conditions and restrictions as applicable to such underlying shares of Restricted Stock.</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Rights of Holders of Restricted Stock Units and Deferred Stock Units.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10.5.1 Voting and Dividend Rights.</w:t>
      </w:r>
    </w:p>
    <w:p>
      <w:pPr>
        <w:spacing w:after="0" w:line="21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Holders of Restricted Stock Units and Deferred Stock Units shall have no rights as stockholders of the Company (for example, the right to receive dividend payments or distributions attributable to the shares of Stock underlying such Restricted Stock Units and Deferred Stock Units, to direct the voting of the shares of Stock underlying such Restricted Stock Units and Deferred Stock Units, or to receive notice of any meeting of the Company’s stockholders); provided, however, that the Committee may provide in an Award Agreement evidencing a grant of Restricted Stock Units or Deferred Stock Units that the holder of such Restricted Stock Units or Deferred Stock Units shall be entitled to receive Dividend Equivalent Rights in accordance with </w:t>
      </w:r>
      <w:r>
        <w:rPr>
          <w:rFonts w:ascii="Times New Roman" w:cs="Times New Roman" w:eastAsia="Times New Roman" w:hAnsi="Times New Roman"/>
          <w:sz w:val="21"/>
          <w:szCs w:val="21"/>
          <w:b w:val="1"/>
          <w:bCs w:val="1"/>
          <w:color w:val="auto"/>
        </w:rPr>
        <w:t xml:space="preserve">Section 12.1; provided, however, that any Dividend Equivalent Rights </w:t>
      </w:r>
      <w:r>
        <w:rPr>
          <w:rFonts w:ascii="Times New Roman" w:cs="Times New Roman" w:eastAsia="Times New Roman" w:hAnsi="Times New Roman"/>
          <w:sz w:val="21"/>
          <w:szCs w:val="21"/>
          <w:color w:val="auto"/>
        </w:rPr>
        <w:t>shall not vest or become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unless and until the underlying Restricted Stock Units or Deferred Stock Units to which the Dividend Equivalents apply become vested and nonforfeitable.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10.5.2 Creditor’s Rights.</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A holder of Restricted Stock Units or Deferred Stock Units shall have no rights other than those of a general unsecured creditor of the Company. Restricted Stock Units and Deferred Stock Units represent unfunded and unsecured obligations of the Company, subject to the terms and conditions of the applicable Award Agreement.</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Termination of Service.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 w:name="page30"/>
    <w:bookmarkEnd w:id="29"/>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Unless the Committee provides otherwise in an Award Agreement, in another agreement with the Grantee, or otherwise in writing after such Award Agreement is issued, but prior to termination of Grantee’s Service, upon the termination of such Grantee’s Service, any Restricted Stock, Restricted Stock Units, or Deferred Stock Units held by such Grantee that have not vested, or with respect to which all applicable restrictions and conditions have not lapsed, shall immediately be deemed forfeited. Upon forfeiture of such Restricted Stock, Restricted Stock Units, or Deferred Stock Units, the Grantee thereof shall have no further rights with respect thereto, including any right to vote such Restricted Stock or any right to receive dividends or Dividend Equivalent Rights, as applicable, with respect to such Restricted Stock, Restricted Stock Units, or Deferred Stock Units.</w:t>
      </w:r>
    </w:p>
    <w:p>
      <w:pPr>
        <w:spacing w:after="0" w:line="17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Purchase of Restricted Stock.</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The Grantee of an Award of Restricted Stock shall be required, to the extent required by Applicable Laws, to purchase such Restricted Stock from the Company at a purchase price equal to the greater of (x) the aggregate par value of the shares of Stock represented by such Restricted Stock or (y) the purchase price, if any, specified in the Award Agreement relating to such Restricted Stock. Such purchase price shall be payable in a form provided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or, in the sole discretion of the Committee, in consideration for Service rendered or to be rendered by the Grantee to the Company or an Affiliate.</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color w:val="auto"/>
        </w:rPr>
        <w:t>Delivery of Shares of Stock.</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Upon the expiration or termination of any Restricted Period and the satisfaction of any other conditions prescribed by the Committee, including, without limitation, any performance goals or delayed delivery period, the restrictions applicable to Restricted Stock, Restricted Stock Units, or Deferred Stock Units settled in shares of Stock shall lapse, and, unless otherwise provided in the applicable Award Agreement, a book-entry or direct registration (including transaction advices) or a certificate evidencing ownership of such shares of Stock shall, consistent with </w:t>
      </w:r>
      <w:r>
        <w:rPr>
          <w:rFonts w:ascii="Times New Roman" w:cs="Times New Roman" w:eastAsia="Times New Roman" w:hAnsi="Times New Roman"/>
          <w:sz w:val="22"/>
          <w:szCs w:val="22"/>
          <w:b w:val="1"/>
          <w:bCs w:val="1"/>
          <w:color w:val="auto"/>
        </w:rPr>
        <w:t>Section 3.7,</w:t>
      </w:r>
      <w:r>
        <w:rPr>
          <w:rFonts w:ascii="Times New Roman" w:cs="Times New Roman" w:eastAsia="Times New Roman" w:hAnsi="Times New Roman"/>
          <w:sz w:val="22"/>
          <w:szCs w:val="22"/>
          <w:color w:val="auto"/>
        </w:rPr>
        <w:t xml:space="preserve"> be issued, free of all such restrictions, to the Grantee thereof or such Grantee’s beneficiary or estate, as the case may be. Neither the Grantee, nor the Grantee’s beneficiary or estate, shall have any further rights with regard to a Restricted Stock Unit or Deferred Stock Unit once the shares of Stock represented by such Restricted Stock Unit or Deferred Stock Unit have been delivered in accordance with this </w:t>
      </w:r>
      <w:r>
        <w:rPr>
          <w:rFonts w:ascii="Times New Roman" w:cs="Times New Roman" w:eastAsia="Times New Roman" w:hAnsi="Times New Roman"/>
          <w:sz w:val="22"/>
          <w:szCs w:val="22"/>
          <w:b w:val="1"/>
          <w:bCs w:val="1"/>
          <w:color w:val="auto"/>
        </w:rPr>
        <w:t>Section 10.8.</w:t>
      </w:r>
    </w:p>
    <w:p>
      <w:pPr>
        <w:spacing w:after="0" w:line="183" w:lineRule="exact"/>
        <w:rPr>
          <w:sz w:val="20"/>
          <w:szCs w:val="20"/>
          <w:color w:val="auto"/>
        </w:rPr>
      </w:pPr>
    </w:p>
    <w:p>
      <w:pPr>
        <w:ind w:left="860" w:right="239" w:hanging="651"/>
        <w:spacing w:after="0" w:line="262" w:lineRule="auto"/>
        <w:tabs>
          <w:tab w:leader="none" w:pos="8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AND CONDITIONS OF UNRESTRICTED STOCK AWARDS AND OTHER EQUITY-BASED AWARDS</w:t>
      </w:r>
    </w:p>
    <w:p>
      <w:pPr>
        <w:spacing w:after="0" w:line="149"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11.1   Unrestricted Stock Awards.</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The Committee may, in its sole discretion, grant (or sell at the par value of a share of Stock or at such other higher purchase price as shall be determined by the Committee) an Award to any Grantee pursuant to which such Grantee may receive shares of Unrestricted Stock under the Plan. Awards of Unrestricted Stock may be granted or sold to any Grantee as provided in the immediately preceding sentence in respect of Service rendered or, if so provided in the related Award Agreement or a separate agreement, to be rendered by the Grantee to the Company or an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 w:name="page31"/>
    <w:bookmarkEnd w:id="30"/>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Affiliate or other valid consideration, in lieu of or in addition to any cash compensation due to such Grantee.</w:t>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Other Equity-Based Awards.</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The Committee may, in its sole discretion, grant Awards in the form of Other Equity-Based Awards, as deemed by the Committee to be consistent with the purposes of the Plan. Awards granted pursuant to this </w:t>
      </w:r>
      <w:r>
        <w:rPr>
          <w:rFonts w:ascii="Times New Roman" w:cs="Times New Roman" w:eastAsia="Times New Roman" w:hAnsi="Times New Roman"/>
          <w:sz w:val="22"/>
          <w:szCs w:val="22"/>
          <w:b w:val="1"/>
          <w:bCs w:val="1"/>
          <w:color w:val="auto"/>
        </w:rPr>
        <w:t>Section 11.2</w:t>
      </w:r>
      <w:r>
        <w:rPr>
          <w:rFonts w:ascii="Times New Roman" w:cs="Times New Roman" w:eastAsia="Times New Roman" w:hAnsi="Times New Roman"/>
          <w:sz w:val="22"/>
          <w:szCs w:val="22"/>
          <w:color w:val="auto"/>
        </w:rPr>
        <w:t xml:space="preserve"> may be granted with vesting, value, and/or payment contingent upon the achievement of one or more performance goals. The Committee shall determine the terms and conditions of Other Equity-Based Awards on the Grant Date or thereafter. Unless the Committee provides otherwise in an Award Agreement, in another agreement with the Grantee, or otherwise in writing after such Award Agreement is issued, but prior to termination of Grantee’s Service, upon the termination of a Grantee’s Service, any Other Equity-Based Awards held by such Grantee that have not vested, or with respect to which all applicable restrictions and conditions have not lapsed, shall immediately be deemed forfeited. Upon forfeiture of any Other Equity-Based Award, the Grantee thereof shall have no further rights with respect to such Other Equity-Based Award.</w:t>
      </w:r>
    </w:p>
    <w:p>
      <w:pPr>
        <w:spacing w:after="0" w:line="181" w:lineRule="exact"/>
        <w:rPr>
          <w:sz w:val="20"/>
          <w:szCs w:val="20"/>
          <w:color w:val="auto"/>
        </w:rPr>
      </w:pPr>
    </w:p>
    <w:p>
      <w:pPr>
        <w:ind w:left="860" w:right="1559" w:hanging="651"/>
        <w:spacing w:after="0" w:line="437" w:lineRule="auto"/>
        <w:tabs>
          <w:tab w:leader="none" w:pos="8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AND CONDITIONS OF DIVIDEND EQUIVALENT RIGHTS 12.1 Dividend Equivalent Rights.</w:t>
      </w:r>
    </w:p>
    <w:p>
      <w:pPr>
        <w:spacing w:after="0" w:line="1"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A Dividend Equivalent Right may be granted hereunder, provided that no Dividend Equivalent Rights may be granted in connection with, or related to, an Award of Options or SARs. The terms and conditions of Dividend Equivalent Rights shall be specified in the Award Agreement therefor. Dividend equivalents credited to the holder of a Dividend Equivalent Right may be paid currently (with or without being subject to forfeiture or a repayment obligation) or may be deemed to be reinvested in additional shares of Stock or Awards, which may thereafter accrue additional Dividend Equivalent Rights (with or without being subject to forfeiture or a repayment obligation). Any such reinvestment shall be at the Fair Market Value thereof on the date of such reinvestment. Dividend Equivalent Rights may be settled in cash, shares of Stock, or a combination thereof, in a single installment or in multiple installments, all as determined in the sole discretion of the Committee. A Dividend Equivalent Right granted as a component of another Award may (a) provide that such Dividend Equivalent Right shall be settled upon exercise, settlement, or payment of, or lapse of restrictions on, such other Award and that such Dividend Equivalent Right shall expire or be forfeited or annulled under the same conditions as such other Award or (b) contain terms and conditions which are different from the terms and conditions of such other Award, provided that, notwithstanding the foregoing, Dividend Equivalent Rights granted as a component of another Award shall not vest or become payable unless and until the Award to which the Dividend Equivalent Rights correspond become vested and settled.</w:t>
      </w:r>
    </w:p>
    <w:p>
      <w:pPr>
        <w:spacing w:after="0" w:line="18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color w:val="auto"/>
        </w:rPr>
        <w:t>Termination of Service.</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Unless the Committee provides otherwise in an Award Agreement, in another agreement with the Grantee, or otherwise in writing after such Award Agreement is issued, a Grantee’s rights in all Dividend Equivalent Rights shall automatically terminate upon such Grantee’s termination of Service for any reason.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 w:name="page32"/>
    <w:bookmarkEnd w:id="31"/>
    <w:p>
      <w:pPr>
        <w:ind w:left="860" w:right="1559" w:hanging="651"/>
        <w:spacing w:after="0" w:line="437" w:lineRule="auto"/>
        <w:tabs>
          <w:tab w:leader="none" w:pos="8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AND CONDITIONS OF PERFORMANCE-BASED AWARDS 13.1 Grant of Performance-Based Awards.</w:t>
      </w:r>
    </w:p>
    <w:p>
      <w:pPr>
        <w:spacing w:after="0" w:line="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Subject to the terms and provisions of the Plan, the Committee, at any time and from time to time, may grant Performance-Based Awards in such amounts and upon such terms as the Committee shall determine.</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b w:val="1"/>
          <w:bCs w:val="1"/>
          <w:color w:val="auto"/>
        </w:rPr>
        <w:t>Value of Performance-Based Awards.</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Each grant of a Performance-Based Award shall have an initial cash value or an actual or target number of shares of Stock that is established by the Committee as of the Grant Date. The Committee shall set performance goals in its discretion which, depending on the extent to which they are achieved, shall determine the value and/or number of shares of Stock subject to a Performance-Based Award that will be paid out to the Grantee thereof.</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Earning of Performance-Based Awards.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Subject to the terms of the Plan, after the applicable Performance Period has ended, the Grantee of a Performance-Based Award shall be entitled to receive a payout of the value earned under such Performance-Based Award by such Grantee over such Performance Period.</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color w:val="auto"/>
        </w:rPr>
        <w:t>Form and Timing of Payment of Performance-Based Awards.</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Payment of the value earned under Performance-Based Awards shall be made, as determined by the Committee, in the form, at the time, and in the manner described in the applicable Award Agreement. Subject to the terms of the Plan, the Committee, in its sole discretion, (a) may pay the value earned under Performance-Based Awards in the form of cash, shares of Stock, other Awards, or a combination thereof, including shares of Stock and/or Awards that are subject to any restrictions deemed appropriate by the Committee, and (b) shall pay the value earned under Performance-Based Awards at the close of the applicable Performance Period, or as soon as reasonably practicable after the Committee has determined that the performance goal or goals relating thereto have been achieved; provided that, unless specifically provided in the Award Agreement for such Performance-Based Awards, such payment shall occur no later than the fifteenth (15th) day of the third (3rd) month following the end of the calendar year in which such Performance Period ends. The applicable Award Agreement shall specify the circumstances in which Performance-Based Awards shall be paid or forfeited in the event of termination of Service by the Grantee prior to the end of a Performance Period or settlement of such Performance-Based Awards.</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b w:val="1"/>
          <w:bCs w:val="1"/>
          <w:color w:val="auto"/>
        </w:rPr>
        <w:t>Performance Conditions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right of a Grantee to exercise or to receive a grant or settlement of any Performance-Based Award, and the timing thereof, may be subject to such performance conditions as may be specified by the Committee. The Committee may use such performance goals, business criteria, and other measures of performance, with or without adjustment, as it may deem appropriate in establishing any performance conditions.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2" w:name="page33"/>
    <w:bookmarkEnd w:id="32"/>
    <w:p>
      <w:pPr>
        <w:ind w:left="860" w:right="5919" w:hanging="651"/>
        <w:spacing w:after="0" w:line="458" w:lineRule="auto"/>
        <w:tabs>
          <w:tab w:leader="none" w:pos="86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FORMS OF PAYMENT 14.1 General Rule.</w:t>
      </w: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Payment of the Option Price for the shares of Stock purchased pursuant to the exercise of an Option or the purchase price, if any, for Restricted Stock shall be made in cash or in cash equivalents acceptable to the Company.</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b w:val="1"/>
          <w:bCs w:val="1"/>
          <w:color w:val="auto"/>
        </w:rPr>
        <w:t>Surrender of Shares of Stock.</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To the extent that the applicable Award Agreement so provides, payment of the Option Price for shares of Stock purchased pursuant to the exercise of an Option or the purchase price, if any, for Restricted Stock may be made all or in part through the tender or attestation to the Company of shares of Stock, which shall be valued, for purposes of determining the extent to which such Option Price or purchase price has been paid thereby, at their Fair Market Value on the date of such tender or attestation.</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1"/>
          <w:szCs w:val="21"/>
          <w:b w:val="1"/>
          <w:bCs w:val="1"/>
          <w:color w:val="auto"/>
        </w:rPr>
        <w:t>Cashless Exercise.</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To the extent permitted by Applicable Laws and to the extent the Award Agreement so provides, payment of the Option Price for shares of Stock purchased pursuant to the exercise of an Option and payment of any withholding taxes described in </w:t>
      </w:r>
      <w:r>
        <w:rPr>
          <w:rFonts w:ascii="Times New Roman" w:cs="Times New Roman" w:eastAsia="Times New Roman" w:hAnsi="Times New Roman"/>
          <w:sz w:val="22"/>
          <w:szCs w:val="22"/>
          <w:b w:val="1"/>
          <w:bCs w:val="1"/>
          <w:color w:val="auto"/>
        </w:rPr>
        <w:t>Section 18.3</w:t>
      </w:r>
      <w:r>
        <w:rPr>
          <w:rFonts w:ascii="Times New Roman" w:cs="Times New Roman" w:eastAsia="Times New Roman" w:hAnsi="Times New Roman"/>
          <w:sz w:val="22"/>
          <w:szCs w:val="22"/>
          <w:color w:val="auto"/>
        </w:rPr>
        <w:t xml:space="preserve"> may be made all or in part by delivery (on a form acceptable to the Committee) of an irrevocable direction to a licensed securities broker acceptable to the Company to sell shares of Stock and to deliver all or part of the proceeds of such sale to the Company in payment of such Option Price and/or any withholding taxes described in </w:t>
      </w:r>
      <w:r>
        <w:rPr>
          <w:rFonts w:ascii="Times New Roman" w:cs="Times New Roman" w:eastAsia="Times New Roman" w:hAnsi="Times New Roman"/>
          <w:sz w:val="22"/>
          <w:szCs w:val="22"/>
          <w:b w:val="1"/>
          <w:bCs w:val="1"/>
          <w:color w:val="auto"/>
        </w:rPr>
        <w:t>Section 18.3.</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14.4</w:t>
      </w:r>
      <w:r>
        <w:rPr>
          <w:sz w:val="20"/>
          <w:szCs w:val="20"/>
          <w:color w:val="auto"/>
        </w:rPr>
        <w:tab/>
      </w:r>
      <w:r>
        <w:rPr>
          <w:rFonts w:ascii="Times New Roman" w:cs="Times New Roman" w:eastAsia="Times New Roman" w:hAnsi="Times New Roman"/>
          <w:sz w:val="21"/>
          <w:szCs w:val="21"/>
          <w:b w:val="1"/>
          <w:bCs w:val="1"/>
          <w:color w:val="auto"/>
        </w:rPr>
        <w:t>Other Forms of Payment.</w:t>
      </w:r>
    </w:p>
    <w:p>
      <w:pPr>
        <w:spacing w:after="0" w:line="21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To the extent that the applicable Award Agreement so provides and/or unless otherwise specified in an Award Agreement, payment of the Option Price for shares of Stock purchased pursuant to exercise of an Option, for the purchase price, if any, for Restricted Stock, or for any withholding taxes described in </w:t>
      </w:r>
      <w:r>
        <w:rPr>
          <w:rFonts w:ascii="Times New Roman" w:cs="Times New Roman" w:eastAsia="Times New Roman" w:hAnsi="Times New Roman"/>
          <w:sz w:val="22"/>
          <w:szCs w:val="22"/>
          <w:b w:val="1"/>
          <w:bCs w:val="1"/>
          <w:color w:val="auto"/>
        </w:rPr>
        <w:t>Section 18.3</w:t>
      </w:r>
      <w:r>
        <w:rPr>
          <w:rFonts w:ascii="Times New Roman" w:cs="Times New Roman" w:eastAsia="Times New Roman" w:hAnsi="Times New Roman"/>
          <w:sz w:val="22"/>
          <w:szCs w:val="22"/>
          <w:color w:val="auto"/>
        </w:rPr>
        <w:t xml:space="preserve"> may be made in any other form that is consistent with Applicable Laws, including (a) with respect to the purchase price of Restricted Stock only, Service rendered or to be rendered by the Grantee thereof to the Company or an Affiliate and (b) with the consent of the Committee, by withholding the number of shares of Stock that would otherwise vest or be issuable in an amount equal in value to the Option Price or purchase price and/or the applicable tax withholding amount.</w:t>
      </w:r>
    </w:p>
    <w:p>
      <w:pPr>
        <w:spacing w:after="0" w:line="179" w:lineRule="exact"/>
        <w:rPr>
          <w:sz w:val="20"/>
          <w:szCs w:val="20"/>
          <w:color w:val="auto"/>
        </w:rPr>
      </w:pPr>
    </w:p>
    <w:p>
      <w:pPr>
        <w:ind w:left="860" w:right="5479" w:hanging="651"/>
        <w:spacing w:after="0" w:line="437" w:lineRule="auto"/>
        <w:tabs>
          <w:tab w:leader="none" w:pos="8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REQUIREMENTS OF LAW 15.1 General.</w:t>
      </w:r>
    </w:p>
    <w:p>
      <w:pPr>
        <w:spacing w:after="0" w:line="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Company shall not be required to offer, sell, or issue any shares of Stock under any Award, whether pursuant to the exercise of an Option, a SAR, or otherwise, if the offer, sale, or issuance of such shares of Stock would constitute a violation by the Grantee, the Company, an Affiliate, or any other Person of any provision of the Company’s certificate of incorporation or bylaws or of Applicable Laws, including any federal or state securities laws or regulations. If at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3" w:name="page34"/>
    <w:bookmarkEnd w:id="33"/>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any time the Company shall determine, in its discretion, that the listing, registration, or qualification of any shares of Stock subject to an Award upon any Stock Exchange or Securities Market or under any governmental regulatory body is necessary or desirable as a condition of, or in connection with, the offering, sale, issuance, or purchase of shares of Stock in connection with any Award, no shares of Stock may be offered, sold, or issued to the Grantee or any other Person under such Award, whether pursuant to the exercise of an Option, a SAR, or otherwise, unless such listing, registration, or qualification shall have been effected or obtained free of any conditions not acceptable to the Company, and any delay caused thereby shall in no way affect the date of termination of such Award. Without limiting the generality of the foregoing, upon the exercise of any Option or any SAR that may be settled in shares of Stock or the delivery of any shares of Stock underlying an Award, unless a registration statement under the Securities Act is in effect with respect to the shares of Stock subject to such Award, the Company shall not be required to offer, sell, or issue such shares of Stock unless the Committee shall have received evidence satisfactory to it that the Grantee or any other Person exercising such Option or SAR or accepting delivery of such shares may acquire such shares of Stock pursuant to an exemption from registration under the Securities Act. Any determination by the Committee in connection with the foregoing shall be final, binding, and conclusive. The Company may register, but shall in no event be obligated to register, any shares of Stock or other securities issuable pursuant to the Plan pursuant to the Securities Act. The Company shall not be obligated to take any affirmative action in order to cause the exercise of an Option or a SAR or the issuance of shares of Stock or other securities issuable pursuant to the Plan or any Award to comply with any Applicable Laws. As to any jurisdiction that expressly imposes the requirement that an Option or SAR that may be settled in shares of Stock shall not be exercisable until the shares of Stock subject to such Option or SAR are registered under the securities laws thereof or are exempt from such registration, the exercise of such Option or SAR under circumstances in which the laws of such jurisdiction apply shall be deemed conditioned upon the effectiveness of such registration or the availability of such an exemption.</w:t>
      </w:r>
    </w:p>
    <w:p>
      <w:pPr>
        <w:spacing w:after="0" w:line="19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b w:val="1"/>
          <w:bCs w:val="1"/>
          <w:color w:val="auto"/>
        </w:rPr>
        <w:t>Rule 16b-3.</w:t>
      </w:r>
    </w:p>
    <w:p>
      <w:pPr>
        <w:spacing w:after="0" w:line="21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During any time when the Company has any class of common equity securities registered under Section 12 of the Exchange Act, it is the intention of the Company that Awards pursuant to the Plan and the exercise of Options and SARs granted hereunder that would otherwise be subject to Section 16(b) of the Exchange Act shall qualify for the exemption provided by Rule 16b-3 under the Exchange Act. To the extent that any provision of the Plan or action by the Committee does not comply with the requirements of such Rule 16b-3, such provision or action shall be deemed inoperative with respect to such Awards to the extent permitted by Applicable Laws and deemed advisable by the Committee and shall not affect the validity of the Plan. In the event that such Rule 16b-3 is revised or replaced, the Committee may exercise its discretion to modify the Plan in any respect necessary or advisable in its judgment to satisfy the requirements of, or to permit the Company to avail itself of the benefits of, the revised exemption or its replacement.</w:t>
      </w:r>
    </w:p>
    <w:p>
      <w:pPr>
        <w:spacing w:after="0" w:line="173" w:lineRule="exact"/>
        <w:rPr>
          <w:sz w:val="20"/>
          <w:szCs w:val="20"/>
          <w:color w:val="auto"/>
        </w:rPr>
      </w:pPr>
    </w:p>
    <w:p>
      <w:pPr>
        <w:ind w:left="860" w:right="3619" w:hanging="651"/>
        <w:spacing w:after="0" w:line="467" w:lineRule="auto"/>
        <w:tabs>
          <w:tab w:leader="none" w:pos="8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CHANGES IN CAPITALIZATION 16.1 Changes in Stock.</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4" w:name="page35"/>
    <w:bookmarkEnd w:id="34"/>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 xml:space="preserve">If the number of outstanding shares of Stock is increased or decreased or the shares of Stock are changed into or exchanged for a different number of shares or kind of Capital Stock or other securities of the Company on account of any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Effective Date, the number and kinds of shares of Capital Stock for which grants of Awards may be made under the Plan, including the maximum number of shares of Capital Stock that may be issued pursuant to the exercise of Incentive Stock Options, and the individual share limitation set forth in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shall be adjusted proportionately and accordingly by the Committee. In addition, the number and kind of shares of Capital Stock for which Awards are outstanding shall be adjusted proportionately and accordingly by the Committee so that the proportionate interest of the Grantee therein immediately following such event shall, to the extent practicable, be the same as immediately before such event. Any such adjustment in outstanding Options or SARs shall not change the aggregate Option Price or SAR Price payable with respect to shares that are subject to the unexercised portion of such outstanding Options or SARs, as applicable, but shall include a corresponding proportionate adjustment in the per share Option Price or SAR Price, as the case may be. The conversion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dividend, but excluding a non-extraordinary dividend, declared and paid by the Company) without receipt of consideration by the Company, the Board or the Committee constituted pursuant to </w:t>
      </w:r>
      <w:r>
        <w:rPr>
          <w:rFonts w:ascii="Times New Roman" w:cs="Times New Roman" w:eastAsia="Times New Roman" w:hAnsi="Times New Roman"/>
          <w:sz w:val="22"/>
          <w:szCs w:val="22"/>
          <w:b w:val="1"/>
          <w:bCs w:val="1"/>
          <w:color w:val="auto"/>
        </w:rPr>
        <w:t>Section 3.1.2</w:t>
      </w:r>
      <w:r>
        <w:rPr>
          <w:rFonts w:ascii="Times New Roman" w:cs="Times New Roman" w:eastAsia="Times New Roman" w:hAnsi="Times New Roman"/>
          <w:sz w:val="22"/>
          <w:szCs w:val="22"/>
          <w:color w:val="auto"/>
        </w:rPr>
        <w:t xml:space="preserve"> shall, in such manner as the Board or the Committee deems appropriate, adjust (a) the number and kind of shares of Capital Stock subject to outstanding Awards and/or (b) the aggregate and per share Option Price of outstanding Options and the aggregate and per share SAR Price of outstanding SARs as required to reflect such distribution.</w:t>
      </w:r>
    </w:p>
    <w:p>
      <w:pPr>
        <w:spacing w:after="0" w:line="199"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16.2 Reorganization in Which the Company Is the Surviving Entity Which Does not Constitute a Change in Control.</w:t>
      </w:r>
    </w:p>
    <w:p>
      <w:pPr>
        <w:spacing w:after="0" w:line="15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b w:val="1"/>
          <w:bCs w:val="1"/>
          <w:color w:val="auto"/>
        </w:rPr>
        <w:t>Section 16.3,</w:t>
      </w:r>
      <w:r>
        <w:rPr>
          <w:rFonts w:ascii="Times New Roman" w:cs="Times New Roman" w:eastAsia="Times New Roman" w:hAnsi="Times New Roman"/>
          <w:sz w:val="21"/>
          <w:szCs w:val="21"/>
          <w:color w:val="auto"/>
        </w:rPr>
        <w:t xml:space="preserve"> if the Company shall be the surviving entity in any reorganization, merger, or consolidation of the Company with one or more other entities which does not constitute a Change in Control, any Award theretofore granted pursuant to the Plan shall pertain to and apply to the Capital Stock to which a holder of the number of shares of Stock subject to such Award would have been entitled immediately following such reorganization, merger, or consolidation, with a corresponding proportionate adjustment of the per share Option Price or SAR Price of any outstanding Option or SAR so that the aggregate Option Price or SAR Price thereafter shall be the same as the aggregate Option Price or SAR Price of the shares of Stock remaining subject to the Option or SAR as in effect immediately prior to such reorganization, merger, or consolidation. Subject to any contrary language in an Award Agreement, in another agreement with the Grantee, or as otherwise set forth in writing, any restrictions applicable to such Award shall apply as well to any replacement shares of Capital Stock subject to such Award, or received by the Grantee, as a result of such reorganization, merger, or consolidation. In the event of any reorganization, merger, or consolidation of the Company referred to in this </w:t>
      </w:r>
      <w:r>
        <w:rPr>
          <w:rFonts w:ascii="Times New Roman" w:cs="Times New Roman" w:eastAsia="Times New Roman" w:hAnsi="Times New Roman"/>
          <w:sz w:val="21"/>
          <w:szCs w:val="21"/>
          <w:b w:val="1"/>
          <w:bCs w:val="1"/>
          <w:color w:val="auto"/>
        </w:rPr>
        <w:t>Section 16.2,</w:t>
      </w:r>
      <w:r>
        <w:rPr>
          <w:rFonts w:ascii="Times New Roman" w:cs="Times New Roman" w:eastAsia="Times New Roman" w:hAnsi="Times New Roman"/>
          <w:sz w:val="21"/>
          <w:szCs w:val="21"/>
          <w:color w:val="auto"/>
        </w:rPr>
        <w:t xml:space="preserve"> Performance-Based Awards shall be adjusted, including any adjustment to the performance conditions applicable to such Awards deemed appropriate by the Committee and including any adjustment so as to apply</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5" w:name="page36"/>
    <w:bookmarkEnd w:id="35"/>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to the Capital Stock that a holder of the number of shares of Stock subject to the Performance-Based Awards would have been entitled to receive immediately following such reorganization, merger, or consolidation.</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b w:val="1"/>
          <w:bCs w:val="1"/>
          <w:color w:val="auto"/>
        </w:rPr>
        <w:t>Change in Control in which Awards are not Assumed.</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the applicable Award Agreement, in another agreement with the Grantee, or as otherwise set forth in writing, upon the occurrence of a Change in Control in which outstanding Awards are not being assumed, continued, or substituted for, the following provisions shall apply to such Award, to the extent not assumed, continued, or substituted for:</w:t>
      </w:r>
    </w:p>
    <w:p>
      <w:pPr>
        <w:spacing w:after="0" w:line="180" w:lineRule="exact"/>
        <w:rPr>
          <w:sz w:val="20"/>
          <w:szCs w:val="20"/>
          <w:color w:val="auto"/>
        </w:rPr>
      </w:pPr>
    </w:p>
    <w:p>
      <w:pPr>
        <w:jc w:val="both"/>
        <w:ind w:left="200" w:right="219" w:firstLine="657"/>
        <w:spacing w:after="0" w:line="238" w:lineRule="auto"/>
        <w:tabs>
          <w:tab w:leader="none" w:pos="14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occurrence of such Change in Control, in each case with the exception of Performance-Based Awards, all outstanding shares of Restricted Stock, and all Restricted Stock Units, Deferred Stock Units, and Dividend Equivalent Rights shall be deemed to have vested, and all shares of Stock and/or cash subject to such Awards shall be delivered; and either or both of the following two (2) actions shall be taken:</w:t>
      </w:r>
    </w:p>
    <w:p>
      <w:pPr>
        <w:spacing w:after="0" w:line="176" w:lineRule="exact"/>
        <w:rPr>
          <w:rFonts w:ascii="Times New Roman" w:cs="Times New Roman" w:eastAsia="Times New Roman" w:hAnsi="Times New Roman"/>
          <w:sz w:val="22"/>
          <w:szCs w:val="22"/>
          <w:color w:val="auto"/>
        </w:rPr>
      </w:pPr>
    </w:p>
    <w:p>
      <w:pPr>
        <w:jc w:val="both"/>
        <w:ind w:left="860" w:right="219" w:firstLine="645"/>
        <w:spacing w:after="0" w:line="233" w:lineRule="auto"/>
        <w:tabs>
          <w:tab w:leader="none" w:pos="215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fifteen (15) days prior to the scheduled consummation of such Change in Control, all Options and SARs outstanding hereunder shall become immediately exercisable and shall remain exercisable for a period of fifteen (15) days. Any exercise of an Option or SAR during this fifteen (15)-day period shall be conditioned upon the consummation of the applicable Change in Control and shall be effective only immediately before the consummation thereof, and upon consummation of such Change in Control, the Plan and all outstanding but unexercised Options and SARs shall terminate, with or without consideration (including, without limitation, consideration in accordance with clause (ii) below) as determined by the Committee in its sole discretion. The Committee shall send notice of an event that shall result in such a termination to all Persons who hold Options and SARs not later than the time at which the Company gives notice thereof to its stockholders;</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and/or</w:t>
      </w:r>
    </w:p>
    <w:p>
      <w:pPr>
        <w:spacing w:after="0" w:line="206" w:lineRule="exact"/>
        <w:rPr>
          <w:sz w:val="20"/>
          <w:szCs w:val="20"/>
          <w:color w:val="auto"/>
        </w:rPr>
      </w:pPr>
    </w:p>
    <w:p>
      <w:pPr>
        <w:jc w:val="both"/>
        <w:ind w:left="860" w:right="219" w:firstLine="645"/>
        <w:spacing w:after="0" w:line="233" w:lineRule="auto"/>
        <w:tabs>
          <w:tab w:leader="none" w:pos="21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elect, in its sole discretion, to cancel any outstanding Awards of Options, SARs, Restricted Stock, Restricted Stock Units, Deferred Stock Units, and/or Dividend Equivalent Rights and pay or deliver, or cause to be paid or delivered, to the holder thereof an amount in cash, Capital Stock or other property having a value (as determined by the Committee acting in good faith), in the case of Restricted Stock, Restricted Stock Units, Deferred Stock Units, and Dividend Equivalent Rights (for shares of Stock subject thereto), equal to the formula or fixed price per share paid to holders of shares of Stock pursuant to such Change in Control and, in the case of Options or SARs, equal to the product of the number of shares of Stock subject to such Options or SARs multiplied by the amount, if any, by which (x) the formula or fixed price per share paid to holders of shares of Stock pursuant to such transaction exceeds (y) the Option Price or SAR Price applicable to such Options or SARs. For the avoidance of doubt, if the Option Price or SAR Price, as appliable, equals or exceeds the formula or fixed price per share paid to holders of shares of Stock pursuant to such transaction, such Option or SAR shall be cancelled for no consideration.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 w:name="page37"/>
    <w:bookmarkEnd w:id="36"/>
    <w:p>
      <w:pPr>
        <w:jc w:val="both"/>
        <w:ind w:left="200" w:right="219" w:firstLine="657"/>
        <w:spacing w:after="0" w:line="233" w:lineRule="auto"/>
        <w:tabs>
          <w:tab w:leader="none" w:pos="14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Performance-Based Awards, (i) if less than half of the Performance Period has elapsed, then such Performance-Based Awards shall be treated as though target performance has been achieved, and (ii) if at least half of the Performance Period has elapsed, then actual performance to date shall be determined as of a date reasonably proximal to the date of the consummation of the Change in Control, as determined by the Committee in its sole discretion, and the greater of (x) target performance and (y) that level of performance thus determined shall be treated as achieved immediately prior to occurrence of the Change in Control. For purposes of clause (ii) of the preceding sentence, if, based on the discretion of the Committee, actual performance is not determinable, the Performance-Based Awards shall be treated as though target performance has been achieved. After application of this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any Awards arise from application of this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such Awards shall be settled under the applicable provision of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184"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Equity-Based Awards shall be governed by the terms of the applicable Award</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16.4</w:t>
      </w:r>
      <w:r>
        <w:rPr>
          <w:sz w:val="20"/>
          <w:szCs w:val="20"/>
          <w:color w:val="auto"/>
        </w:rPr>
        <w:tab/>
      </w:r>
      <w:r>
        <w:rPr>
          <w:rFonts w:ascii="Times New Roman" w:cs="Times New Roman" w:eastAsia="Times New Roman" w:hAnsi="Times New Roman"/>
          <w:sz w:val="21"/>
          <w:szCs w:val="21"/>
          <w:b w:val="1"/>
          <w:bCs w:val="1"/>
          <w:color w:val="auto"/>
        </w:rPr>
        <w:t>Change in Control in which Awards are Assumed.</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the applicable Award Agreement, in another agreement with the Grantee, or as otherwise set forth in writing, upon the occurrence of a Change in Control in which outstanding Awards are being assumed, continued, or substituted for, the following provisions shall apply to such Award, to the extent assumed, continued, or substituted for:</w:t>
      </w:r>
    </w:p>
    <w:p>
      <w:pPr>
        <w:spacing w:after="0" w:line="180" w:lineRule="exact"/>
        <w:rPr>
          <w:sz w:val="20"/>
          <w:szCs w:val="20"/>
          <w:color w:val="auto"/>
        </w:rPr>
      </w:pPr>
    </w:p>
    <w:p>
      <w:pPr>
        <w:jc w:val="both"/>
        <w:ind w:left="200" w:right="219" w:firstLine="657"/>
        <w:spacing w:after="0" w:line="234"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the Awards granted under the Plan shall continue in the manner and under the terms so provided in the event of any Change in Control to the extent that provision is made in writing in connection with such Change in Control for the assumption or continuation of such Awards, or for the substitution for such Awards of new stock options, stock appreciation rights, restricted stock, restricted stock units, deferred stock units, dividend equivalent rights, or other equity-based awards relating to the Capital Stock of a successor entity, or a parent or subsidiary thereof, with appropriate adjustments as to the number of shares (disregarding any consideration that is not common stock) and exercise prices of options and stock appreciation rights.</w:t>
      </w:r>
    </w:p>
    <w:p>
      <w:pPr>
        <w:spacing w:after="0" w:line="183"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Grantee’s Award is assumed, continued, or substituted upon the consummation of any Change in Control and the Grantee’s employment is terminated by the Company (or its successor) without Cause within the twelve (12)-month period following the consummation of such Change in Control, the Grantee’s Award will become fully vested as of such termination and may be exercised in full, to the extent applicable, beginning on the date of such termination and for the one-year period immediately following such termination or for such longer period as the Committee shall determine (but in no event later than the original expiration date of the Award).</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b w:val="1"/>
          <w:bCs w:val="1"/>
          <w:color w:val="auto"/>
        </w:rPr>
        <w:t>Adjustments.</w:t>
      </w:r>
    </w:p>
    <w:p>
      <w:pPr>
        <w:spacing w:after="0" w:line="20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 xml:space="preserve">Adjustments under this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xml:space="preserve"> related to shares of Stock or other Capital Stock of the Company shall be made by the Committee, whose determination in that respect shall be final, binding, and conclusive. No fractional shares or other securities shall be issued pursuant to any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7" w:name="page38"/>
    <w:bookmarkEnd w:id="37"/>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such adjustment, and any fractions resulting from any such adjustment shall be eliminated in each case by rounding downward to the nearest whole share. The Committee may provide in the applicable Award Agreement as of the Grant Date, in another agreement with the Grantee, or otherwise in writing at any time thereafter with the consent of the Grantee, for different provisions to apply to an Award in place of those provided in </w:t>
      </w:r>
      <w:r>
        <w:rPr>
          <w:rFonts w:ascii="Times New Roman" w:cs="Times New Roman" w:eastAsia="Times New Roman" w:hAnsi="Times New Roman"/>
          <w:sz w:val="22"/>
          <w:szCs w:val="22"/>
          <w:b w:val="1"/>
          <w:bCs w:val="1"/>
          <w:color w:val="auto"/>
        </w:rPr>
        <w:t>Sections 16.1, 16.2, 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16.4.</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color w:val="auto"/>
        </w:rPr>
        <w:t>shall not limit the Committee’s ability to provide for alternative treatment of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under the Plan in the event of a change in control event involving the Company that is not a Change in Control.</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b w:val="1"/>
          <w:bCs w:val="1"/>
          <w:color w:val="auto"/>
        </w:rPr>
        <w:t>No Limitations on Company.</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to engage in any other transaction or activity.</w:t>
      </w:r>
    </w:p>
    <w:p>
      <w:pPr>
        <w:spacing w:after="0" w:line="173" w:lineRule="exact"/>
        <w:rPr>
          <w:sz w:val="20"/>
          <w:szCs w:val="20"/>
          <w:color w:val="auto"/>
        </w:rPr>
      </w:pPr>
    </w:p>
    <w:p>
      <w:pPr>
        <w:ind w:left="860" w:hanging="651"/>
        <w:spacing w:after="0"/>
        <w:tabs>
          <w:tab w:leader="none" w:pos="8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PARACHUTE LIMITATIONS</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If any Grantee is a Disqualified Individual, then, notwithstanding any other provision of the Plan or of any Other Agreement to the contrary and notwithstanding any Benefit Arrangement, any right of the Grantee to any exercise, vesting, payment, or benefit under the Plan shall be reduced or eliminated:</w:t>
      </w:r>
    </w:p>
    <w:p>
      <w:pPr>
        <w:spacing w:after="0" w:line="180" w:lineRule="exact"/>
        <w:rPr>
          <w:sz w:val="20"/>
          <w:szCs w:val="20"/>
          <w:color w:val="auto"/>
        </w:rPr>
      </w:pPr>
    </w:p>
    <w:p>
      <w:pPr>
        <w:jc w:val="both"/>
        <w:ind w:left="200" w:right="219" w:firstLine="657"/>
        <w:spacing w:after="0" w:line="239"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the Plan to be considered a Parachute Payment; and</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55" w:lineRule="auto"/>
        <w:tabs>
          <w:tab w:leader="none" w:pos="149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a result of receiving such Parachute Payment, the aggregate after-tax amounts received by the Grantee from the Company under the Plan, all Other Agreements, and all Benefit Arrangements would be less than the maximum after-tax amount that could be received by the Grantee without causing any such payment or benefit to be considered a Parachute Payment.</w:t>
      </w:r>
    </w:p>
    <w:p>
      <w:pPr>
        <w:spacing w:after="0" w:line="16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Except as required by Code Section 409A or to the extent that Code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provided, however, to the extent any payment or benefit constitutes deferred compensation under Code Section 409A, in order to comply with Code Section 409A, the Company shall instead accomplish such reduction by first reducing or eliminating any cash payments, then by reducing or eliminating any accelerated vesting of Performance-Based Awards, then by reducing or eliminating any accelerated vesting of Options or SARs, then by reducing or eliminating any accelerated vesting of Restricted Stock, Restricted Stock Units, or Deferred Stock Units, then by reducing or eliminating any other remaining Parachute Payments, in each case with the payments to be made furthest in the future being reduced first.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8" w:name="page39"/>
    <w:bookmarkEnd w:id="38"/>
    <w:p>
      <w:pPr>
        <w:ind w:left="860" w:right="5579" w:hanging="651"/>
        <w:spacing w:after="0" w:line="437" w:lineRule="auto"/>
        <w:tabs>
          <w:tab w:leader="none" w:pos="8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 18.1 Disclaimer of Rights.</w:t>
      </w:r>
    </w:p>
    <w:p>
      <w:pPr>
        <w:spacing w:after="0" w:line="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No provision in the Plan, any Award, or any Award Agreement shall be construed (a) to confer upon any individual the right to remain in the Service of the Company or an Affiliate, (b) to interfere in any way with any contractual or other right or authority of the Company or an Affiliate either to increase or decrease the compensation or other payments to any Person at any time, or (c) to terminate any Service or other relationship between any Person and the Company or an Affiliate. In addition, notwithstanding any provision of the Plan to the contrary, unless otherwise stated in the applicable Award Agreement, in another agreement with the Grantee, or otherwise in writing, no Award granted under the Plan shall be affected by any change of duties or position of the Grantee thereof, so long as such Grantee continues to provide Service. The obligation of the Company to pay any benefits pursuant to the Plan shall be interpreted as a contractual obligation to pay only those amounts provided herein, in the manner and under the conditions prescribed herein. The Plan and Awards shall in no way be interpreted to require the Company to transfer any amounts to a third-party trustee or otherwise hold any amounts in trust or escrow for payment to any Grantee or beneficiary under the terms of the Plan.</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18.2</w:t>
      </w:r>
      <w:r>
        <w:rPr>
          <w:sz w:val="20"/>
          <w:szCs w:val="20"/>
          <w:color w:val="auto"/>
        </w:rPr>
        <w:tab/>
      </w:r>
      <w:r>
        <w:rPr>
          <w:rFonts w:ascii="Times New Roman" w:cs="Times New Roman" w:eastAsia="Times New Roman" w:hAnsi="Times New Roman"/>
          <w:sz w:val="21"/>
          <w:szCs w:val="21"/>
          <w:b w:val="1"/>
          <w:bCs w:val="1"/>
          <w:color w:val="auto"/>
        </w:rPr>
        <w:t>Nonexclusivity of the Plan.</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Neither the adoption of the Plan nor the submission of the Plan to the stockholders of the Company for approval shall be construed as creating any limitations upon the right and authority of the Board or the Committee to adopt such other incentive compensation arrangements (which arrangements may be applicable either generally to a class or classes of individuals or specifically to a particular individual or particular individuals) as the Board or the Committee in their discretion determine desirable.</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18.3</w:t>
      </w:r>
      <w:r>
        <w:rPr>
          <w:sz w:val="20"/>
          <w:szCs w:val="20"/>
          <w:color w:val="auto"/>
        </w:rPr>
        <w:tab/>
      </w:r>
      <w:r>
        <w:rPr>
          <w:rFonts w:ascii="Times New Roman" w:cs="Times New Roman" w:eastAsia="Times New Roman" w:hAnsi="Times New Roman"/>
          <w:sz w:val="21"/>
          <w:szCs w:val="21"/>
          <w:b w:val="1"/>
          <w:bCs w:val="1"/>
          <w:color w:val="auto"/>
        </w:rPr>
        <w:t>Withholding Taxes.</w:t>
      </w:r>
    </w:p>
    <w:p>
      <w:pPr>
        <w:spacing w:after="0" w:line="210" w:lineRule="exact"/>
        <w:rPr>
          <w:sz w:val="20"/>
          <w:szCs w:val="20"/>
          <w:color w:val="auto"/>
        </w:rPr>
      </w:pPr>
    </w:p>
    <w:p>
      <w:pPr>
        <w:jc w:val="both"/>
        <w:ind w:left="200" w:right="219" w:firstLine="657"/>
        <w:spacing w:after="0" w:line="232" w:lineRule="auto"/>
        <w:tabs>
          <w:tab w:leader="none" w:pos="14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as the case may be, shall have the right to deduct from payments of any kind otherwise due to a Grantee any federal, state, or local taxes of any kind required by Applicable Laws to be withheld with respect to the vesting of or other lapse of restrictions applicable to an Award or upon the issuance of any shares of Stock upon the exercise of an Option or pursuant to any other Award. At the time of such vesting, lapse, or exercise, the Grantee shall pay in cash to the Company or an Affiliate, as the case may be, any amount that the Company or such Affiliate may reasonably determine to be necessary to satisfy such withholding obligation; provided that if there is a same-day sale of shares of Stock subject to an Award, the Grantee shall pay such withholding obligation on the day on which such same-day sale is completed. Subject to the prior approval of the Company or an Affiliate, which may be withheld by the Company or such Affiliate, as the case may be, in its sole discretion, the Grantee may elect to satisfy such withholding obligation, in whole or in part, (a) by causing the Company or such Affiliate to withhold shares of Stock otherwise issuable to the Grantee or (b) by delivering to the Company or such Affiliate shares of Stock already owned by the Grantee. The shares of Stock so withheld or delivered shall have an aggregate Fair Market Value equal to such withholding obligation. The Fair Market Value of the shares of Stock used to satisfy such withholding obligation shall be determined by the Company or such Affiliate as of the date on which the amount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9" w:name="page40"/>
    <w:bookmarkEnd w:id="3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 xml:space="preserve">of tax to be withheld is to be determined. A Grantee who has made an election pursuant to this </w:t>
      </w:r>
      <w:r>
        <w:rPr>
          <w:rFonts w:ascii="Times New Roman" w:cs="Times New Roman" w:eastAsia="Times New Roman" w:hAnsi="Times New Roman"/>
          <w:sz w:val="22"/>
          <w:szCs w:val="22"/>
          <w:b w:val="1"/>
          <w:bCs w:val="1"/>
          <w:color w:val="auto"/>
        </w:rPr>
        <w:t xml:space="preserve">Section 18.3 </w:t>
      </w:r>
      <w:r>
        <w:rPr>
          <w:rFonts w:ascii="Times New Roman" w:cs="Times New Roman" w:eastAsia="Times New Roman" w:hAnsi="Times New Roman"/>
          <w:sz w:val="22"/>
          <w:szCs w:val="22"/>
          <w:color w:val="auto"/>
        </w:rPr>
        <w:t>may satisfy such Grantee’s withholding obligation only with shares of Stock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subject to any repurchase, forfeiture, unfulfilled vesting, or other similar requirements.</w:t>
      </w:r>
    </w:p>
    <w:p>
      <w:pPr>
        <w:spacing w:after="0" w:line="173" w:lineRule="exact"/>
        <w:rPr>
          <w:sz w:val="20"/>
          <w:szCs w:val="20"/>
          <w:color w:val="auto"/>
        </w:rPr>
      </w:pPr>
    </w:p>
    <w:p>
      <w:pPr>
        <w:jc w:val="both"/>
        <w:ind w:left="200" w:right="219" w:firstLine="657"/>
        <w:spacing w:after="0" w:line="245" w:lineRule="auto"/>
        <w:tabs>
          <w:tab w:leader="none" w:pos="149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shares of Stock that may be withheld from any Award to satisfy any federal, state, or local tax withholding requirements upon the exercise, vesting, or lapse of restrictions applicable to any Award or payment of shares of Stock pursuant to such Award, as applicable, may not exceed such number of shares of Stock having a Fair Market Value equal to the minimum statutory amount required by the Company or the applicable Affiliate to be withheld and paid to any such federal, state, or local taxing authority with respect to such exercise, vesting, lapse of restrictions, or payment of shares of Stock; provided, however, for so long as Accounting Standards Update 2016-09 or a similar rule remains in effect, the Board or the Committee has full discretion to choose, or to allow a Grantee to elect, to withhold a number of shares of Stock having an aggregate Fair Market Value that is greater than the applicable minimum required statutory withholding obligation (but such withholding may in no event be in excess of the maximum required statutory withholding amount(s) in such Grantee’s relevant tax jurisdictions).</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18.4</w:t>
      </w:r>
      <w:r>
        <w:rPr>
          <w:sz w:val="20"/>
          <w:szCs w:val="20"/>
          <w:color w:val="auto"/>
        </w:rPr>
        <w:tab/>
      </w:r>
      <w:r>
        <w:rPr>
          <w:rFonts w:ascii="Times New Roman" w:cs="Times New Roman" w:eastAsia="Times New Roman" w:hAnsi="Times New Roman"/>
          <w:sz w:val="21"/>
          <w:szCs w:val="21"/>
          <w:b w:val="1"/>
          <w:bCs w:val="1"/>
          <w:color w:val="auto"/>
        </w:rPr>
        <w:t>Protected Rights.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Notwithstanding anything in this Plan or an Award Agreement to the contrary, Grantee understands that nothing contained in this Plan or an Award Agreement limits Grantee’s ability to report possible violations of law or regulation to or file a charge or complaint with any federal, state or local governmental agency or commission or regulatory authority (collectively, “Government Agencies”). Grantee further understands that nothing in this Plan or an Award Agreement limits Grantee’s ability to communicate with any Government Agencies or otherwise participate in any investigation or proceeding that may be conducted by any Government Agency, including providing documents or other information, without notice to the Company. Furthermore</w:t>
      </w:r>
    </w:p>
    <w:p>
      <w:pPr>
        <w:spacing w:after="0" w:line="4" w:lineRule="exact"/>
        <w:rPr>
          <w:sz w:val="20"/>
          <w:szCs w:val="20"/>
          <w:color w:val="auto"/>
        </w:rPr>
      </w:pPr>
    </w:p>
    <w:p>
      <w:pPr>
        <w:jc w:val="both"/>
        <w:ind w:left="200" w:right="219" w:firstLine="9"/>
        <w:spacing w:after="0" w:line="232" w:lineRule="auto"/>
        <w:tabs>
          <w:tab w:leader="none" w:pos="4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Grantee file a lawsuit for retaliation by the Company for reporting a suspected violation of law, Grantee may disclose a trade secret to Grantee’s attorney and use the trade secret information in the court proceeding, if Grantee files any document containing the trade secret under seal and do not disclose the trade secret except pursuant to court order.</w:t>
      </w:r>
    </w:p>
    <w:p>
      <w:pPr>
        <w:spacing w:after="0" w:line="17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18.5</w:t>
      </w:r>
      <w:r>
        <w:rPr>
          <w:sz w:val="20"/>
          <w:szCs w:val="20"/>
          <w:color w:val="auto"/>
        </w:rPr>
        <w:tab/>
      </w:r>
      <w:r>
        <w:rPr>
          <w:rFonts w:ascii="Times New Roman" w:cs="Times New Roman" w:eastAsia="Times New Roman" w:hAnsi="Times New Roman"/>
          <w:sz w:val="21"/>
          <w:szCs w:val="21"/>
          <w:b w:val="1"/>
          <w:bCs w:val="1"/>
          <w:color w:val="auto"/>
        </w:rPr>
        <w:t>Captions.</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use of captions in the Plan or any Award Agreement is for convenience of reference only and shall not affect the meaning of any provision of the Plan or such Award Agreement.</w:t>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18.6</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Unless the context otherwise requires, all references in the Plan to “including” shall mean “including without limitation.”</w:t>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b w:val="1"/>
          <w:bCs w:val="1"/>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0" w:name="page41"/>
    <w:bookmarkEnd w:id="40"/>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Each Award granted under the Plan may contain such other terms and conditions not inconsistent with the Plan as may be determined by the Committee, in its sole discretion.</w:t>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18.8</w:t>
      </w:r>
      <w:r>
        <w:rPr>
          <w:sz w:val="20"/>
          <w:szCs w:val="20"/>
          <w:color w:val="auto"/>
        </w:rPr>
        <w:tab/>
      </w:r>
      <w:r>
        <w:rPr>
          <w:rFonts w:ascii="Times New Roman" w:cs="Times New Roman" w:eastAsia="Times New Roman" w:hAnsi="Times New Roman"/>
          <w:sz w:val="21"/>
          <w:szCs w:val="21"/>
          <w:b w:val="1"/>
          <w:bCs w:val="1"/>
          <w:color w:val="auto"/>
        </w:rPr>
        <w:t>Number and Gender.</w:t>
      </w:r>
    </w:p>
    <w:p>
      <w:pPr>
        <w:spacing w:after="0" w:line="210"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With respect to words used in the Plan, the singular form shall include the plural form, and the masculine gender shall include the feminine gender, as the context requires.</w:t>
      </w:r>
    </w:p>
    <w:p>
      <w:pPr>
        <w:spacing w:after="0" w:line="15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18.9</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1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18.10  Governing Law.</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validity and construction of the Plan and the instruments evidencing the Awards hereunder shall be governed by, and construed and interpreted in accordance with, the laws of the State of Delaware, other than any conflicts or choice of law rule or principle that might otherwise refer construction or interpretation of the Plan and the instruments evidencing the Awards granted hereunder to the substantive laws of any other jurisdiction.</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18.11  Section 409A of the Code.</w:t>
      </w:r>
    </w:p>
    <w:p>
      <w:pPr>
        <w:spacing w:after="0" w:line="210" w:lineRule="exact"/>
        <w:rPr>
          <w:sz w:val="20"/>
          <w:szCs w:val="20"/>
          <w:color w:val="auto"/>
        </w:rPr>
      </w:pPr>
    </w:p>
    <w:p>
      <w:pPr>
        <w:jc w:val="both"/>
        <w:ind w:left="200" w:right="219" w:firstLine="657"/>
        <w:spacing w:after="0" w:line="234" w:lineRule="auto"/>
        <w:tabs>
          <w:tab w:leader="none" w:pos="14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intended to comply with Code Section 409A to the extent subject thereto, and, accordingly, to the maximum extent permitted, the Plan will be interpreted and administered to be in compliance with Code Section 409A. Any payments described in the Plan that are due within the Short-Term Deferral Period will not be treated as deferred compensation unless Applicable Laws require otherwise. Notwithstanding any provision of the Plan to the contrary, to the extent required to avoid accelerated taxation and tax penalties under Code Section 409A, amounts that would otherwise be payable and benefits that would otherwise be provided pursuant to the Plan during the six (6)-month period immediately following the Grantee’s Separation from Service will instead be paid on the first payroll date after the six (6)-month anniversary of the Grantee’s Separation from Service (or the Grantee’s death, if earlier).</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4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Furthermore, notwithstanding anything in the Plan to the contrary, in the case of an Award that is characterized as deferred compensation under Code Section 409A, and pursuant to which settlement and delivery of the cash or shares of Stock subject to the Award is triggered based on a Change in Control, in no event will a Change in Control be deemed to have occurred for purposes of such settlement and delivery of cash or shares of Stock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Code Section 409A is not settled and delivered on account of the provision of the preceding sentence, the settlement and delivery shall occur on the next succeeding settlement and delivery triggering event that is a permissible triggering event under Code Section 409A. No provision of this paragraph shall in any way affect the determination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1" w:name="page42"/>
    <w:bookmarkEnd w:id="41"/>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of a Change in Control for purposes of vesting in an Award that is characterized as deferred compensation under Code Section 409A.</w:t>
      </w:r>
    </w:p>
    <w:p>
      <w:pPr>
        <w:spacing w:after="0" w:line="158" w:lineRule="exact"/>
        <w:rPr>
          <w:sz w:val="20"/>
          <w:szCs w:val="20"/>
          <w:color w:val="auto"/>
        </w:rPr>
      </w:pPr>
    </w:p>
    <w:p>
      <w:pPr>
        <w:jc w:val="both"/>
        <w:ind w:left="200" w:right="219" w:firstLine="657"/>
        <w:spacing w:after="0" w:line="239" w:lineRule="auto"/>
        <w:tabs>
          <w:tab w:leader="none" w:pos="14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neither the Company nor the Committee will have any obligation to take any action to prevent the assessment of any excise tax or penalty on any Grantee under Code Section 409A, and neither the Company or an Affiliate nor the Board or the Committee will have any liability to any Grantee for such tax or penalty.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0"/>
    </w:lvl>
  </w:abstractNum>
  <w:abstractNum w:abstractNumId="2">
    <w:nsid w:val="2443A858"/>
    <w:multiLevelType w:val="hybridMultilevel"/>
    <w:lvl w:ilvl="0">
      <w:lvlJc w:val="left"/>
      <w:lvlText w:val="%1."/>
      <w:numFmt w:val="decimal"/>
      <w:start w:val="1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lowerLetter"/>
      <w:start w:val="2"/>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Roman"/>
      <w:start w:val="2"/>
    </w:lvl>
  </w:abstractNum>
  <w:abstractNum w:abstractNumId="11">
    <w:nsid w:val="54E49EB4"/>
    <w:multiLevelType w:val="hybridMultilevel"/>
    <w:lvl w:ilvl="0">
      <w:lvlJc w:val="left"/>
      <w:lvlText w:val="%1."/>
      <w:numFmt w:val="decimal"/>
      <w:start w:val="3"/>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Roman"/>
      <w:start w:val="2"/>
    </w:lvl>
  </w:abstractNum>
  <w:abstractNum w:abstractNumId="16">
    <w:nsid w:val="3A95F874"/>
    <w:multiLevelType w:val="hybridMultilevel"/>
    <w:lvl w:ilvl="0">
      <w:lvlJc w:val="left"/>
      <w:lvlText w:val="%1."/>
      <w:numFmt w:val="decimal"/>
      <w:start w:val="4"/>
    </w:lvl>
  </w:abstractNum>
  <w:abstractNum w:abstractNumId="17">
    <w:nsid w:val="8138641"/>
    <w:multiLevelType w:val="hybridMultilevel"/>
    <w:lvl w:ilvl="0">
      <w:lvlJc w:val="left"/>
      <w:lvlText w:val="%1"/>
      <w:numFmt w:val="decimal"/>
      <w:start w:val="1"/>
    </w:lvl>
    <w:lvl w:ilvl="1">
      <w:lvlJc w:val="left"/>
      <w:lvlText w:val="(%2)"/>
      <w:numFmt w:val="lowerLetter"/>
      <w:start w:val="1"/>
    </w:lvl>
  </w:abstractNum>
  <w:abstractNum w:abstractNumId="18">
    <w:nsid w:val="1E7FF521"/>
    <w:multiLevelType w:val="hybridMultilevel"/>
    <w:lvl w:ilvl="0">
      <w:lvlJc w:val="left"/>
      <w:lvlText w:val="%1."/>
      <w:numFmt w:val="decimal"/>
      <w:start w:val="5"/>
    </w:lvl>
    <w:lvl w:ilvl="1">
      <w:lvlJc w:val="left"/>
      <w:lvlText w:val="%2"/>
      <w:numFmt w:val="lowerLetter"/>
      <w:start w:val="1"/>
    </w:lvl>
  </w:abstractNum>
  <w:abstractNum w:abstractNumId="19">
    <w:nsid w:val="7C3DBD3D"/>
    <w:multiLevelType w:val="hybridMultilevel"/>
    <w:lvl w:ilvl="0">
      <w:lvlJc w:val="left"/>
      <w:lvlText w:val="%1."/>
      <w:numFmt w:val="decimal"/>
      <w:start w:val="6"/>
    </w:lvl>
  </w:abstractNum>
  <w:abstractNum w:abstractNumId="20">
    <w:nsid w:val="737B8DDC"/>
    <w:multiLevelType w:val="hybridMultilevel"/>
    <w:lvl w:ilvl="0">
      <w:lvlJc w:val="left"/>
      <w:lvlText w:val="%1."/>
      <w:numFmt w:val="decimal"/>
      <w:start w:val="7"/>
    </w:lvl>
  </w:abstractNum>
  <w:abstractNum w:abstractNumId="21">
    <w:nsid w:val="6CEAF087"/>
    <w:multiLevelType w:val="hybridMultilevel"/>
    <w:lvl w:ilvl="0">
      <w:lvlJc w:val="left"/>
      <w:lvlText w:val="%1."/>
      <w:numFmt w:val="decimal"/>
      <w:start w:val="8"/>
    </w:lvl>
  </w:abstractNum>
  <w:abstractNum w:abstractNumId="22">
    <w:nsid w:val="22221A70"/>
    <w:multiLevelType w:val="hybridMultilevel"/>
    <w:lvl w:ilvl="0">
      <w:lvlJc w:val="left"/>
      <w:lvlText w:val="%1."/>
      <w:numFmt w:val="decimal"/>
      <w:start w:val="9"/>
    </w:lvl>
  </w:abstractNum>
  <w:abstractNum w:abstractNumId="23">
    <w:nsid w:val="4516DDE9"/>
    <w:multiLevelType w:val="hybridMultilevel"/>
    <w:lvl w:ilvl="0">
      <w:lvlJc w:val="left"/>
      <w:lvlText w:val="%1."/>
      <w:numFmt w:val="decimal"/>
      <w:start w:val="10"/>
    </w:lvl>
  </w:abstractNum>
  <w:abstractNum w:abstractNumId="24">
    <w:nsid w:val="3006C83E"/>
    <w:multiLevelType w:val="hybridMultilevel"/>
    <w:lvl w:ilvl="0">
      <w:lvlJc w:val="left"/>
      <w:lvlText w:val="%1."/>
      <w:numFmt w:val="decimal"/>
      <w:start w:val="11"/>
    </w:lvl>
  </w:abstractNum>
  <w:abstractNum w:abstractNumId="25">
    <w:nsid w:val="614FD4A1"/>
    <w:multiLevelType w:val="hybridMultilevel"/>
    <w:lvl w:ilvl="0">
      <w:lvlJc w:val="left"/>
      <w:lvlText w:val="%1."/>
      <w:numFmt w:val="decimal"/>
      <w:start w:val="12"/>
    </w:lvl>
  </w:abstractNum>
  <w:abstractNum w:abstractNumId="26">
    <w:nsid w:val="419AC241"/>
    <w:multiLevelType w:val="hybridMultilevel"/>
    <w:lvl w:ilvl="0">
      <w:lvlJc w:val="left"/>
      <w:lvlText w:val="%1."/>
      <w:numFmt w:val="decimal"/>
      <w:start w:val="13"/>
    </w:lvl>
  </w:abstractNum>
  <w:abstractNum w:abstractNumId="27">
    <w:nsid w:val="5577F8E1"/>
    <w:multiLevelType w:val="hybridMultilevel"/>
    <w:lvl w:ilvl="0">
      <w:lvlJc w:val="left"/>
      <w:lvlText w:val="%1."/>
      <w:numFmt w:val="decimal"/>
      <w:start w:val="14"/>
    </w:lvl>
  </w:abstractNum>
  <w:abstractNum w:abstractNumId="28">
    <w:nsid w:val="440BADFC"/>
    <w:multiLevelType w:val="hybridMultilevel"/>
    <w:lvl w:ilvl="0">
      <w:lvlJc w:val="left"/>
      <w:lvlText w:val="%1."/>
      <w:numFmt w:val="decimal"/>
      <w:start w:val="15"/>
    </w:lvl>
  </w:abstractNum>
  <w:abstractNum w:abstractNumId="29">
    <w:nsid w:val="5072367"/>
    <w:multiLevelType w:val="hybridMultilevel"/>
    <w:lvl w:ilvl="0">
      <w:lvlJc w:val="left"/>
      <w:lvlText w:val="%1."/>
      <w:numFmt w:val="decimal"/>
      <w:start w:val="16"/>
    </w:lvl>
  </w:abstractNum>
  <w:abstractNum w:abstractNumId="30">
    <w:nsid w:val="3804823E"/>
    <w:multiLevelType w:val="hybridMultilevel"/>
    <w:lvl w:ilvl="0">
      <w:lvlJc w:val="left"/>
      <w:lvlText w:val="(%1)"/>
      <w:numFmt w:val="lowerLetter"/>
      <w:start w:val="1"/>
    </w:lvl>
    <w:lvl w:ilvl="1">
      <w:lvlJc w:val="left"/>
      <w:lvlText w:val="(%2)"/>
      <w:numFmt w:val="lowerLetter"/>
      <w:start w:val="9"/>
    </w:lvl>
  </w:abstractNum>
  <w:abstractNum w:abstractNumId="31">
    <w:nsid w:val="77465F01"/>
    <w:multiLevelType w:val="hybridMultilevel"/>
    <w:lvl w:ilvl="0">
      <w:lvlJc w:val="left"/>
      <w:lvlText w:val="(%1)"/>
      <w:numFmt w:val="lowerRoman"/>
      <w:start w:val="2"/>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17"/>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8"/>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2"/>
    </w:lvl>
  </w:abstractNum>
  <w:abstractNum w:abstractNumId="39">
    <w:nsid w:val="153EA438"/>
    <w:multiLevelType w:val="hybridMultilevel"/>
    <w:lvl w:ilvl="0">
      <w:lvlJc w:val="left"/>
      <w:lvlText w:val="(%1)"/>
      <w:numFmt w:val="upperLetter"/>
      <w:start w:val="9"/>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2026-06-25T07:03:45Z</dcterms:created>
  <dcterms:modified xsi:type="dcterms:W3CDTF">2026-06-25T07:03:45Z</dcterms:modified>
</cp:coreProperties>
</file>