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-233045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-617855</wp:posOffset>
            </wp:positionV>
            <wp:extent cx="57785" cy="6311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3958590</wp:posOffset>
            </wp:positionH>
            <wp:positionV relativeFrom="paragraph">
              <wp:posOffset>-617855</wp:posOffset>
            </wp:positionV>
            <wp:extent cx="57785" cy="6311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-1661795</wp:posOffset>
            </wp:positionH>
            <wp:positionV relativeFrom="paragraph">
              <wp:posOffset>13970</wp:posOffset>
            </wp:positionV>
            <wp:extent cx="7047230" cy="4523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20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7"/>
                <w:vertAlign w:val="superscript"/>
              </w:rPr>
              <w:t>*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>Mayer Timothy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 w:line="178" w:lineRule="exact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 xml:space="preserve">NextCure, Inc. </w:t>
              </w:r>
            </w:hyperlink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[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NXTC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NEXTCURE, INC.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03/15/2021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9000 VIRGINIA MANOR ROAD, SUITE 200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5" w:right="660" w:hanging="5"/>
        <w:spacing w:after="0" w:line="235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1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Operating Officer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80" w:space="55"/>
            <w:col w:w="3345"/>
          </w:cols>
          <w:pgMar w:left="460" w:top="220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80" w:type="dxa"/>
            <w:vAlign w:val="bottom"/>
            <w:gridSpan w:val="10"/>
          </w:tcPr>
          <w:p>
            <w:pPr>
              <w:ind w:left="3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gridSpan w:val="10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BELTSVILLE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20705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100,000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20" w:type="dxa"/>
            <w:vAlign w:val="bottom"/>
          </w:tcPr>
          <w:p>
            <w:pPr>
              <w:ind w:left="2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12.59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03/15/2021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03/14/2031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One fourth of the option vests on March 15, 2022. The remainder vests in 36 monthly installments beginning on April 15, 2022.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Steven P. Cobourn,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-12700</wp:posOffset>
            </wp:positionV>
            <wp:extent cx="104394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Timothy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0000FF"/>
        </w:rPr>
        <w:t>03/16/2021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-16510</wp:posOffset>
            </wp:positionV>
            <wp:extent cx="18757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Mayer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-16510</wp:posOffset>
            </wp:positionV>
            <wp:extent cx="2736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40" w:right="3700"/>
        <w:spacing w:after="0" w:line="328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0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75460" TargetMode="External"/><Relationship Id="rId13" Type="http://schemas.openxmlformats.org/officeDocument/2006/relationships/hyperlink" Target="http://www.sec.gov/cgi-bin/browse-edgar?action=getcompany&amp;CIK=00016610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2021-03-16T16:08:25Z</dcterms:created>
  <dcterms:modified xsi:type="dcterms:W3CDTF">2021-03-16T16:08:25Z</dcterms:modified>
</cp:coreProperties>
</file>