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403225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95250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highlight w:val="black"/>
        </w:rPr>
      </w:pPr>
    </w:p>
    <w:p>
      <w:pPr>
        <w:ind w:left="37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quarterly period ended March 31, 2019</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0400"/>
          </w:cols>
          <w:pgMar w:left="760" w:top="229" w:right="739" w:bottom="1440" w:gutter="0" w:footer="0" w:header="0"/>
        </w:sectPr>
      </w:pPr>
    </w:p>
    <w:p>
      <w:pPr>
        <w:spacing w:after="0" w:line="6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5340" w:space="720"/>
            <w:col w:w="120" w:space="680"/>
            <w:col w:w="3540"/>
          </w:cols>
          <w:pgMar w:left="760" w:top="229" w:right="7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76200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NextCure,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2"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46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04-5231247</w:t>
            </w:r>
          </w:p>
        </w:tc>
        <w:tc>
          <w:tcPr>
            <w:tcW w:w="0" w:type="dxa"/>
            <w:vAlign w:val="bottom"/>
          </w:tcPr>
          <w:p>
            <w:pPr>
              <w:spacing w:after="0"/>
              <w:rPr>
                <w:sz w:val="1"/>
                <w:szCs w:val="1"/>
                <w:color w:val="auto"/>
              </w:rPr>
            </w:pPr>
          </w:p>
        </w:tc>
      </w:tr>
      <w:tr>
        <w:trPr>
          <w:trHeight w:val="188"/>
        </w:trPr>
        <w:tc>
          <w:tcPr>
            <w:tcW w:w="466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00" w:type="dxa"/>
            <w:vAlign w:val="bottom"/>
          </w:tcPr>
          <w:p>
            <w:pPr>
              <w:jc w:val="center"/>
              <w:ind w:left="11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74"/>
        </w:trPr>
        <w:tc>
          <w:tcPr>
            <w:tcW w:w="46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9000 Virginia Manor Road, Suite 200</w:t>
            </w:r>
          </w:p>
        </w:tc>
        <w:tc>
          <w:tcPr>
            <w:tcW w:w="330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20705</w:t>
            </w:r>
          </w:p>
        </w:tc>
        <w:tc>
          <w:tcPr>
            <w:tcW w:w="0" w:type="dxa"/>
            <w:vAlign w:val="bottom"/>
          </w:tcPr>
          <w:p>
            <w:pPr>
              <w:spacing w:after="0"/>
              <w:rPr>
                <w:sz w:val="1"/>
                <w:szCs w:val="1"/>
                <w:color w:val="auto"/>
              </w:rPr>
            </w:pPr>
          </w:p>
        </w:tc>
      </w:tr>
      <w:tr>
        <w:trPr>
          <w:trHeight w:val="151"/>
        </w:trPr>
        <w:tc>
          <w:tcPr>
            <w:tcW w:w="4660" w:type="dxa"/>
            <w:vAlign w:val="bottom"/>
          </w:tcPr>
          <w:p>
            <w:pPr>
              <w:jc w:val="center"/>
              <w:ind w:right="1148"/>
              <w:spacing w:after="0" w:line="151" w:lineRule="exact"/>
              <w:rPr>
                <w:sz w:val="20"/>
                <w:szCs w:val="20"/>
                <w:color w:val="auto"/>
              </w:rPr>
            </w:pPr>
            <w:r>
              <w:rPr>
                <w:rFonts w:ascii="Times New Roman" w:cs="Times New Roman" w:eastAsia="Times New Roman" w:hAnsi="Times New Roman"/>
                <w:sz w:val="14"/>
                <w:szCs w:val="14"/>
                <w:b w:val="1"/>
                <w:bCs w:val="1"/>
                <w:color w:val="auto"/>
              </w:rPr>
              <w:t>Beltsville, Maryland</w:t>
            </w: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6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0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(240) 399-4900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NXTC</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ind w:right="18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140"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9" w:right="739" w:bottom="1440" w:gutter="0" w:footer="0" w:header="0"/>
          <w:type w:val="continuous"/>
        </w:sectPr>
      </w:pP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80"/>
        <w:spacing w:after="0" w:line="181"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8" w:lineRule="exact"/>
        <w:rPr>
          <w:sz w:val="24"/>
          <w:szCs w:val="24"/>
          <w:color w:val="auto"/>
        </w:rPr>
      </w:pPr>
    </w:p>
    <w:p>
      <w:pPr>
        <w:sectPr>
          <w:pgSz w:w="11900" w:h="16838" w:orient="portrait"/>
          <w:cols w:equalWidth="0" w:num="2">
            <w:col w:w="7720" w:space="720"/>
            <w:col w:w="1960"/>
          </w:cols>
          <w:pgMar w:left="760" w:top="229" w:right="739" w:bottom="1440" w:gutter="0" w:footer="0" w:header="0"/>
          <w:type w:val="continuous"/>
        </w:sectPr>
      </w:pPr>
    </w:p>
    <w:p>
      <w:pPr>
        <w:ind w:right="1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As of June 7, 2019, the registrant had 22,714,765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106045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1041400</wp:posOffset>
            </wp:positionV>
            <wp:extent cx="6612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80" w:type="dxa"/>
            <w:vAlign w:val="bottom"/>
            <w:gridSpan w:val="23"/>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580" w:type="dxa"/>
            <w:vAlign w:val="bottom"/>
            <w:gridSpan w:val="23"/>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240" w:type="dxa"/>
            <w:vAlign w:val="bottom"/>
            <w:tcBorders>
              <w:top w:val="single" w:sz="8" w:color="0000EE"/>
            </w:tcBorders>
            <w:gridSpan w:val="2"/>
          </w:tcPr>
          <w:p>
            <w:pPr>
              <w:spacing w:after="0"/>
              <w:rPr>
                <w:sz w:val="17"/>
                <w:szCs w:val="17"/>
                <w:color w:val="auto"/>
              </w:rPr>
            </w:pPr>
          </w:p>
        </w:tc>
        <w:tc>
          <w:tcPr>
            <w:tcW w:w="2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520" w:type="dxa"/>
            <w:vAlign w:val="bottom"/>
            <w:gridSpan w:val="10"/>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Balance Sheets as of March 31, 2019 (unaudited) and December 31, 2018</w:t>
              </w:r>
            </w:hyperlink>
          </w:p>
        </w:tc>
        <w:tc>
          <w:tcPr>
            <w:tcW w:w="166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Statements of Operations for the Three Months Ended March 31, 2019 and 2018</w:t>
              </w:r>
            </w:hyperlink>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Statements of Preferred Stock and Stockholders’ Deficit for the Three Months Ended</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March 31, 2019 and 2018</w:t>
              </w:r>
            </w:hyperlink>
          </w:p>
        </w:tc>
        <w:tc>
          <w:tcPr>
            <w:tcW w:w="596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Statements of Cash Flows for the Three Months Ended March 31, 2019 and 2018</w:t>
              </w:r>
            </w:hyperlink>
          </w:p>
        </w:tc>
        <w:tc>
          <w:tcPr>
            <w:tcW w:w="32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Financial Statements</w:t>
              </w:r>
            </w:hyperlink>
          </w:p>
        </w:tc>
        <w:tc>
          <w:tcPr>
            <w:tcW w:w="402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2.</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b w:val="1"/>
                <w:bCs w:val="1"/>
                <w:color w:val="0000EE"/>
                <w:w w:val="98"/>
              </w:rPr>
            </w:pPr>
            <w:hyperlink w:anchor="page26">
              <w:r>
                <w:rPr>
                  <w:rFonts w:ascii="Times New Roman" w:cs="Times New Roman" w:eastAsia="Times New Roman" w:hAnsi="Times New Roman"/>
                  <w:sz w:val="18"/>
                  <w:szCs w:val="18"/>
                  <w:b w:val="1"/>
                  <w:bCs w:val="1"/>
                  <w:color w:val="0000EE"/>
                  <w:w w:val="98"/>
                </w:rPr>
                <w:t>Part II. OTHER INFORMATION</w:t>
              </w:r>
            </w:hyperlink>
          </w:p>
        </w:tc>
        <w:tc>
          <w:tcPr>
            <w:tcW w:w="59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1.</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5.</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6.</w:t>
              </w:r>
            </w:hyperlink>
          </w:p>
        </w:tc>
        <w:tc>
          <w:tcPr>
            <w:tcW w:w="240" w:type="dxa"/>
            <w:vAlign w:val="bottom"/>
            <w:gridSpan w:val="2"/>
          </w:tcPr>
          <w:p>
            <w:pPr>
              <w:spacing w:after="0"/>
              <w:rPr>
                <w:sz w:val="17"/>
                <w:szCs w:val="17"/>
                <w:color w:val="auto"/>
              </w:rPr>
            </w:pPr>
          </w:p>
        </w:tc>
        <w:tc>
          <w:tcPr>
            <w:tcW w:w="782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SIGNATURES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135,173</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135,785</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147,628</w:t>
            </w:r>
          </w:p>
        </w:tc>
      </w:tr>
      <w:tr>
        <w:trPr>
          <w:trHeight w:val="203"/>
        </w:trPr>
        <w:tc>
          <w:tcPr>
            <w:tcW w:w="67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Deficit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 from related party, current portion</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 from related party, net of current portion</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8"/>
        </w:trPr>
        <w:tc>
          <w:tcPr>
            <w:tcW w:w="6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of $0.001 per share; 68,181,819 shares authorized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2019 and December 31, 2018, 68,181,819 shares issued and outstanding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2019 and December 31, 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r>
      <w:tr>
        <w:trPr>
          <w:trHeight w:val="198"/>
        </w:trPr>
        <w:tc>
          <w:tcPr>
            <w:tcW w:w="67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Series B Preferred Stock, par value $0.001 per share; 56,828,852 shares authorized at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2019 and December 31, 2018, 56,828,851 shares issued and outstanding at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2019 and December 31, 2018</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91,223</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91,223</w:t>
            </w: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Preferred Stock</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162,223</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8"/>
        </w:trPr>
        <w:tc>
          <w:tcPr>
            <w:tcW w:w="6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par value of $0.001 per share; 158,745,671 shares authorized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2019 and December 31, 2018, 1,379,509 and 1,374,812 shares issued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March 31, 2019 and December 31, 2018,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(53,452)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(47,297)</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1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preferred stock and stockholders’ deficit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145,426</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147,628</w:t>
            </w:r>
          </w:p>
        </w:tc>
      </w:tr>
    </w:tbl>
    <w:p>
      <w:pPr>
        <w:spacing w:after="0" w:line="1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4"/>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related party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6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Borders>
              <w:bottom w:val="single" w:sz="8" w:color="CCEEFF"/>
            </w:tcBorders>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40" w:type="dxa"/>
            <w:vAlign w:val="bottom"/>
            <w:shd w:val="clear" w:color="auto" w:fill="CCEEFF"/>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40" w:type="dxa"/>
            <w:vAlign w:val="bottom"/>
          </w:tcPr>
          <w:p>
            <w:pPr>
              <w:spacing w:after="0"/>
              <w:rPr>
                <w:sz w:val="18"/>
                <w:szCs w:val="18"/>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40" w:type="dxa"/>
            <w:vAlign w:val="bottom"/>
            <w:tcBorders>
              <w:bottom w:val="single" w:sz="8" w:color="CCEEFF"/>
            </w:tcBorders>
          </w:tcPr>
          <w:p>
            <w:pPr>
              <w:spacing w:after="0"/>
              <w:rPr>
                <w:sz w:val="18"/>
                <w:szCs w:val="18"/>
                <w:color w:val="auto"/>
              </w:rPr>
            </w:pPr>
          </w:p>
        </w:tc>
      </w:tr>
      <w:tr>
        <w:trPr>
          <w:trHeight w:val="230"/>
        </w:trPr>
        <w:tc>
          <w:tcPr>
            <w:tcW w:w="6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61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1,379,444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1,369,212</w:t>
            </w:r>
          </w:p>
        </w:tc>
        <w:tc>
          <w:tcPr>
            <w:tcW w:w="40" w:type="dxa"/>
            <w:vAlign w:val="bottom"/>
          </w:tcPr>
          <w:p>
            <w:pPr>
              <w:spacing w:after="0"/>
              <w:rPr>
                <w:sz w:val="18"/>
                <w:szCs w:val="18"/>
                <w:color w:val="auto"/>
              </w:rPr>
            </w:pPr>
          </w:p>
        </w:tc>
      </w:tr>
    </w:tbl>
    <w:p>
      <w:pPr>
        <w:spacing w:after="0" w:line="1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CONDENSED STATEMENTS OF PREFERRED STOCK AND STOCKHOLDERS’ DEFICIT</w:t>
      </w:r>
    </w:p>
    <w:p>
      <w:pPr>
        <w:spacing w:after="0" w:line="6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2019</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gridSpan w:val="7"/>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w w:val="94"/>
              </w:rPr>
              <w:t>Stockholders’ Deficit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7"/>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8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460" w:type="dxa"/>
            <w:vAlign w:val="bottom"/>
            <w:tcBorders>
              <w:right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60" w:type="dxa"/>
            <w:vAlign w:val="bottom"/>
          </w:tcPr>
          <w:p>
            <w:pPr>
              <w:spacing w:after="0"/>
              <w:rPr>
                <w:sz w:val="13"/>
                <w:szCs w:val="13"/>
                <w:color w:val="auto"/>
              </w:rPr>
            </w:pPr>
          </w:p>
        </w:tc>
        <w:tc>
          <w:tcPr>
            <w:tcW w:w="1340" w:type="dxa"/>
            <w:vAlign w:val="bottom"/>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22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2018</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68,181,819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71,000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56,828,851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91,223</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1,374,812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(47,297)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2019</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68,181,819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71,000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56,828,851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91,223</w:t>
            </w:r>
          </w:p>
        </w:tc>
        <w:tc>
          <w:tcPr>
            <w:tcW w:w="10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1,379,509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(52,712)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2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2018</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gridSpan w:val="7"/>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w w:val="94"/>
              </w:rPr>
              <w:t>Stockholders’ Deficit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7"/>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8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460" w:type="dxa"/>
            <w:vAlign w:val="bottom"/>
            <w:tcBorders>
              <w:right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60" w:type="dxa"/>
            <w:vAlign w:val="bottom"/>
          </w:tcPr>
          <w:p>
            <w:pPr>
              <w:spacing w:after="0"/>
              <w:rPr>
                <w:sz w:val="13"/>
                <w:szCs w:val="13"/>
                <w:color w:val="auto"/>
              </w:rPr>
            </w:pPr>
          </w:p>
        </w:tc>
        <w:tc>
          <w:tcPr>
            <w:tcW w:w="1340" w:type="dxa"/>
            <w:vAlign w:val="bottom"/>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22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2017</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40,000,000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1,369,212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(24,498)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(4,996)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2018</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40,000,000</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40,000</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1,369,212</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(29,494)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(29,384)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 from related party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0"/>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term loan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the term loan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1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w:t>
            </w: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16"/>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4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Deferred financing costs in accrued liabilities</w:t>
            </w: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7"/>
          <w:szCs w:val="17"/>
          <w:color w:val="auto"/>
        </w:rPr>
        <w:t>NextCure, Inc. (“NextCure” or the “Company”) was incorporated in Delaware in September 2015 and is headquartered in Beltsville, Maryland. The Company is a clinical-stage biopharmaceutical company committed to discovering and developing novel, first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class immunomedicines to treat cancer and other immune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diseases by restoring normal immune function. Through its proprietary Functional, Integrated, NextCure Discovery in Immuno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Oncology (“FIND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IO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3, 2019, the Company effected a one-for-8.0338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generated any revenue to date from product sales and does not expect to generate any revenues from product sales in the foreseeable future. Through March 31, 2019, the Company has funded its operations primarily with proceeds from the sale of preferred stock and proceeds from the Company’s agreement with Eli Lilly and Company (see Note 5). The Company expects to incur additional operating losses and negative operating cash flows for the foreseeable future.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2019, the Company completed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approximately $3.2 million.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closing of the IPO, all of the outstanding shares of the Company’s convertible preferred stock automatically converted into 15,560,569 shares of common stock at the applicable conversion ratio then in effect. Subsequent to the closing of the IPO, there were no shares of preferred stock outstanding. The financial statements as of and for the three months ended March 31, 2019, including share and per share amounts, do not give effect to the IPO, as it closed subsequent to March 31, 2019.</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March 31, 2019 and for the three months ended March 31, 2019 and 2018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as of and for the year ended December 31, 2018, which are included in the Company’s final prospectus that forms a part of the Company’s Registration Statement on Form S-1 (Reg. No. 333-230837) (the “Registration Statement”), as filed with the SEC pursuant to Rule 424(b)(4) under the Securities Act of 1933, as amended, on May 9, 2019.</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interim condensed financial statements have been prepared on the same basis as the audited financial statements. In the opinion of management, the accompanying unaudited interim condensed financial statements contain all adjustments necessary for a fair statement of the Company’s financial position as of March 31, 2019 and condensed results of operations and cash flows for the three months ended March 31, 2019 and 2018. Such adjustments are of a normal and recurring nature. The results of operations for the three months ended March 31, 2019 are not necessarily indicative of the results of operations that may be expected for the year ending December 31,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financial statements and accompanying notes. On an ongoing basis, management evaluates its estimates, including those related to accrued expenses, revenue recognition, the valuation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including incentive stock options, common stock and restricted common stock, as well as income taxes. The Company bases its estimates on various assumptions that the Company believes to be reasonable under the circumstances. Actual results could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as a condition of its Term Loan, to maintain cash collateral on deposit in a segregated money market bank account equal to the principal portion of the Term Loan (Note 7), as determined on a quarterly basis. The bank may restrict withdrawals or transfers by or on behalf of the Company that would violate this requirement. The required reserve totaled $5.0 million as of March 31, 2019. This amount is presented as restricted cash on the accompanying balance sheet.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statement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3"/>
                <w:szCs w:val="13"/>
                <w:color w:val="auto"/>
              </w:rPr>
            </w:pPr>
          </w:p>
        </w:tc>
      </w:tr>
      <w:tr>
        <w:trPr>
          <w:trHeight w:val="173"/>
        </w:trPr>
        <w:tc>
          <w:tcPr>
            <w:tcW w:w="9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5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$125,549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130,588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40" w:type="dxa"/>
            <w:vAlign w:val="bottom"/>
          </w:tcPr>
          <w:p>
            <w:pPr>
              <w:jc w:val="right"/>
              <w:ind w:right="1716"/>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adopted Accounting Standards Codification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 constrained and will be included in the transaction price only to the extent that it is probable that a significant reversal in the amount of the cumulative revenue recognized will not occur in a future period.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and (ii) when the performance obligation to which some or all of the royalty has been allocated has been satisfied (or partially satisfied).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condensed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The new guidance requires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for fiscal years beginning after December 15, 2019 and interim periods fiscal years beginning after December 15, 2020. Early adoption is permitted. The Company is currently evaluating the effect of this standard on its financial statements.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SEC adopted the final rule under SEC Release No. 33-10532, </w:t>
      </w:r>
      <w:r>
        <w:rPr>
          <w:rFonts w:ascii="Times New Roman" w:cs="Times New Roman" w:eastAsia="Times New Roman" w:hAnsi="Times New Roman"/>
          <w:sz w:val="18"/>
          <w:szCs w:val="18"/>
          <w:i w:val="1"/>
          <w:iCs w:val="1"/>
          <w:color w:val="auto"/>
        </w:rPr>
        <w:t>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w:t>
      </w:r>
      <w:r>
        <w:rPr>
          <w:rFonts w:ascii="Times New Roman" w:cs="Times New Roman" w:eastAsia="Times New Roman" w:hAnsi="Times New Roman"/>
          <w:sz w:val="18"/>
          <w:szCs w:val="18"/>
          <w:color w:val="auto"/>
        </w:rPr>
        <w:t>This final rule amends certain disclosure requirements that are redundant, duplicative, overlapping, outdated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superseded. In addition, the amendments extend the annual disclosure requirements on the analysis of changes in stockholders' equity to interim financial statements. Under the amendments, an analysis of changes in each caption of stockholders' equity presented in the balance sheet must be provided in a note or separate statement. The analysis should be presented in the form of a reconciliation of the beginning balance to the ending balance of each period for which a statement of comprehensive income is required to be filed. This final rule was effective for the Company for all filings made on or after November 5, 2018. The SEC staff clarified that the first presentation of the changes in stockholders’ equity may be included in the first Form 10-Q for the quarter that begins after the effective date of the amendments. Effective with the adoption of the rule, the Company included a separate statement of stockholders’ equity in the financial statements for the three months ended March 31, 2019 and 2018</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The amendment clarifies that certain transactions between collaborative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amendment also adds unit of account guidance in Topic 808 to align with the guidance in Topic 606 (that is, a distinct good or service) when an entity is assessing whether the collaborative arrangement or a part of the arrangement is within the scope of Topic 606. Lastly, the amendment requires that in a transaction with a collaborative arrangement participant that is not directly related to sales to third parties, presenting the transaction together with revenue recognized under Topic 606 is precluded if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collaborative arrangement participant is not a customer. For public business entities, the amendments are effective for fiscal years beginning after December 15, 2019, and interim periods within those fiscal years. The Company is currently evaluating these clarifications in the accounting and presentation for its collaborative arrangements within the scope of Topic 808 but does not expect it will have any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3—Unobservable inputs developed using estimates of assumptions developed by the Company, which reflect those that a market participant would use.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by level within the fair value hierarchy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7"/>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7"/>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transfer any assets measured at fair value on a recurring basis to or from Level 1 during the three months ended March 31, 2019.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17"/>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Construction in progress at March 31, 2019 consists of the costs incurred for research equipment and at December 31, 2018 consists of the costs incurred for the build-out of a manufacturing suite at the Company’s headquarters in Beltsville, Maryland.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$563,000 and $376,000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Agreement with Eli Lilly and Company (Related Party)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 2018, the Company entered into a multi-year research and development collaboration agreement (the “Lilly Agreement”) with Eli Lilly and Company (“Lilly”), pursuant to which the Company will use its proprietary FIND-IO platform to identify novel oncology targets for additional collaborative research and drug discovery by the Company and Lilly. Under the Lilly Agreement, Lilly and the Company have granted one another an equal number of exclusive options to research, develop, manufacture and commercialize compounds and products directed to oncology targets identified through the Lilly Agreement. Both Lilly and the Company have all options remaining eligible for exercise. The research collaboration with Lilly will be managed by a joint steering committee formed by an equal number of members from the Company and Lilly and will expire upon the earlier of the exercise of all options granted to Lilly or four years from the date of the agreement, subject to certain extensions.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research term under the Lilly Agreement, as a part of target discovery, the Company will be responsible for providing Lilly with oncology targets identified using the Company’s FIND-IO platform. From the targets provided by the Company, Lilly may select targets to advance to target validation using criteria developed by both parties. Following completion of the agreed upon target validation plan with respect to a given target, either party may propose to advance that target to compound discovery. For each target that has been advanced to compound discovery, Lilly will have the option to obtain an exclusive license with respect to the compounds and products directed to the target. If Lilly does not exercise its option with respect to a given target or has previously exercised all of its options, the Company will have the option to obtain licenses with respect to compounds and products directed to that target. Following option exercise by a party, the development and commercialization of any products directed to the target will be conducted by the exercising party. The exercising party must use commercially reasonable efforts to develop, seek regulatory approval for and commercialize any such products under mutually agreed upon work plans.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received an upfront, non-refundable payment of $25.0 million under the Lilly Agreement and a concurrent $15.0 million equity investment. In addition, the Company will receive quarterly research and development support payments during a portion of the research term as well as option exercise fees upon option exercises by Lilly.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Lilly Agreement, Lilly may owe an aggregate of up to $1.4 billion in development and regulatory milestones and sales milestones. Additionally, Lilly will pay mid to high single-digit royalties on net sales for all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directed to each target optioned by Lilly. Upon the Company’s exercise of an option with respect to a given target, the Company will pay Lilly an option exercise payment and may become obligated to milestone and royalty payments. The company may owe an aggregate of up to $710.0 million in development and regulatory milestones and sales milestones.</w:t>
      </w:r>
    </w:p>
    <w:p>
      <w:pPr>
        <w:spacing w:after="0" w:line="12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18"/>
          <w:szCs w:val="18"/>
          <w:color w:val="auto"/>
        </w:rPr>
        <w:t>Upon the adoption of ASC 606, the Company evaluated the Lilly Agreement under the provisions of ASC 606 and concluded that Lilly is a customer prior to the exercise of its option to obtain an exclusive license with respect to the compounds and products directed to a target that has been advanced to compound discovery. The Company identified the following material promises under the Lilly Agreement: (i) a limited research license to conduct activities under the research collaboration; (ii) research and development services together with the provision of a data package in connection with Lilly’s option; (iii) various governance obligations, most notably participation on the joint steering committee; and (iv) rights related to an optional term extension by Lilly. The Company evaluated Lilly’s option to obtain an exclusive license with respect to the compounds and products directed to a target that has been advanced to compound discovery and concluded that the option was not issued at a significant and incremental discount, and therefore does not provide material rights. As such, they are excluded as performance obligations at the outset of the arrangement. The Company determined that the research license was not capable of being distinct and the related research and development services and governance activities are not distinct in the context of the contract and, as such, the Company determined that these promises should be combined into a single performance obligation, resulting in a total of two performance obligations under the Lilly Agreement; one for research and development services and one for the right related to an optional term extension by Lilly.</w:t>
      </w:r>
    </w:p>
    <w:p>
      <w:pPr>
        <w:spacing w:after="0" w:line="13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The transaction price at the outset of the arrangement was determined to be $32.7 million, comprised of the upfront fee received from Lilly, quarterly research and development support payments to be received from Lilly during a portion of the research term and an equity investment premium as determined by the Company with reference to a valuation of the Company’s preferred stock prepared by an unrelated third-party valuation firm in accordance with the guidance provided by the American Institute of Certified Public Accountants Practice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p>
    <w:p>
      <w:pPr>
        <w:spacing w:after="0" w:line="12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The transaction price was allocated to the two performance obligations based on their relative standalone selling price determined with reference to the Company’s estimated costs attendant to the obligations. Revenue allocated to the research and development performance obligation is being recognized as the research and development services are provided using an input method according to research and development costs incurred to date compared to estimated total research and development costs. The transfer of control occurs over this time period and, in management’s judgment, is the best measure of progress towards satisfying the performance obligation. Revenue allocated to Lilly’s right related to an optional term extension is deferred until the right is exercised or lapses, and will subsequently be recognized accordingly.</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Lilly Agreement was executed in November 2018, the Company’s performance initiated in January 2019. For the three months ended March 31, 2019, $1.4 million of revenue has been recognized under the Lilly Agreement. As of March 31, 2019, deferred revenue included in the Company’s balance sheets comprised the following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3"/>
                <w:szCs w:val="13"/>
                <w:color w:val="auto"/>
              </w:rPr>
            </w:pPr>
          </w:p>
        </w:tc>
      </w:tr>
      <w:tr>
        <w:trPr>
          <w:trHeight w:val="173"/>
        </w:trPr>
        <w:tc>
          <w:tcPr>
            <w:tcW w:w="9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from related party, beginning of period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Up-front payment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tcPr>
          <w:p>
            <w:pPr>
              <w:spacing w:after="0"/>
              <w:rPr>
                <w:sz w:val="18"/>
                <w:szCs w:val="18"/>
                <w:color w:val="auto"/>
              </w:rPr>
            </w:pPr>
          </w:p>
        </w:tc>
      </w:tr>
      <w:tr>
        <w:trPr>
          <w:trHeight w:val="198"/>
        </w:trPr>
        <w:tc>
          <w:tcPr>
            <w:tcW w:w="9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Attributed premium on the proceeds from Lilly’s investment in the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9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support billing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related party recognized</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revenue from related party, end of period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revenue from related party, current portion</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 from related party, non-current portion</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900" w:type="dxa"/>
            <w:vAlign w:val="bottom"/>
          </w:tcPr>
          <w:p>
            <w:pPr>
              <w:spacing w:after="0"/>
              <w:rPr>
                <w:sz w:val="18"/>
                <w:szCs w:val="18"/>
                <w:color w:val="auto"/>
              </w:rPr>
            </w:pPr>
          </w:p>
        </w:tc>
      </w:tr>
      <w:tr>
        <w:trPr>
          <w:trHeight w:val="878"/>
        </w:trPr>
        <w:tc>
          <w:tcPr>
            <w:tcW w:w="60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1"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 Company subleases its facilities under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sublease agreement. The sublease commenced on February 9, 2016 and, as amended, expires on August 31, 2025. The Company is also responsible for its prorated share of the sublandlord’s operating expense.</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30, 2019, the Company entered into a new lease for 14,075 square feet to be used for office, manufacturing and laboratory space, which the Company expects to take possession of in June 2019. The new lease is expected to expire in March 2030 and will also cover the Company’s existing space after expiration of the Company’s current lease. Base rent for the first 10 months is abated, after which the base rent of the lease is $19,650 per month, with an increase in annual rent of 3.0% in each subsequent year of the lease term. In connection with this lease, the Company executed a letter of credit of $39,000, which has not been drawn down 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15, 2019, the Company entered into an amended and restated sublease that covers the Company’s existing space plus additional square footage to be used as office space, which the Company took possession of upon entering into the amended and restated sublease. The total remaining commitment under the amended and restated sublease is approximately $2.7 million.</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minimum payments for the operating leases are as follows (in thousands):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the year</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Rent expense incurred under operating leases was approximately $103,000 and $100,000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22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In April 2016, the Company entered into a $1.0 million term loan with a commercial bank (the “Term Loan”). On January 25, 2019, the Company amended the Term Loan to increase the Company’s borrowing capacity to $5.0 million, which amount remains secured by the Company’s certificates of deposit, money market account, investment property and deposit or investment accounts. As amended, the Term Loan bears interest at the greater of the prime rate less 1% and 4.25%. The effective interest rate was 4.5% and 3.75% for the three months ended March 31, 2019 and 2018, respectively. Under the Term Loan, the Company is required to make monthly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through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January 2020 and is required to make 36 equal monthly payments of principal plus accrued interest thereafter through January 2023.</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the Term Loan as of March 31, 2019 are as follows (in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the year</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under the Term Loan was approximately $42,000 and $7,000 for the three months ended March 31, 2019 and 2018, respectively.</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8.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awards under the NextCure, Inc. 2015 Omnibus Incentive Plan (the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presented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60" w:type="dxa"/>
            <w:vAlign w:val="bottom"/>
            <w:tcBorders>
              <w:bottom w:val="single" w:sz="8" w:color="auto"/>
            </w:tcBorders>
            <w:gridSpan w:val="9"/>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r>
              <w:rPr>
                <w:rFonts w:ascii="Times New Roman" w:cs="Times New Roman" w:eastAsia="Times New Roman" w:hAnsi="Times New Roman"/>
                <w:sz w:val="14"/>
                <w:szCs w:val="14"/>
                <w:b w:val="1"/>
                <w:bCs w:val="1"/>
                <w:color w:val="auto"/>
                <w:w w:val="91"/>
                <w:vertAlign w:val="superscript"/>
              </w:rPr>
              <w:t>(1)</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2,056,891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2,052,194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March 31, 2019</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2,052,194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20" w:right="20" w:hanging="317"/>
        <w:spacing w:after="0" w:line="26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estimated fair value of the common stock for the options that were in the money at March 31, 2019 and December 31, 2018.</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issued during the three months ended March 31, 2019. The aggregate intrinsic value of stock options exercised during the three months ended March 31, 2019 was $42,000.</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-51435</wp:posOffset>
            </wp:positionV>
            <wp:extent cx="6413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The Company recorded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$383,000 and $24,000 during the three months ended March 31, 2019 and 2018, respectively.</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8"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recorded as research and development and general and administrative expenses is as follows (in thousands):</w:t>
      </w:r>
    </w:p>
    <w:p>
      <w:pPr>
        <w:spacing w:after="0" w:line="206"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8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229" w:lineRule="exact"/>
        <w:rPr>
          <w:sz w:val="20"/>
          <w:szCs w:val="20"/>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In May 2016, the Company issued 62,237 shares of restricted common stock from the 2015 Plan, which are restricted as to sale or transferability. These restrictions lapse over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 Attributable to Common Stockholders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-127635</wp:posOffset>
            </wp:positionV>
            <wp:extent cx="459676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Net loss</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6765" cy="28321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and diluted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17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30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6" w:lineRule="exact"/>
        <w:rPr>
          <w:sz w:val="20"/>
          <w:szCs w:val="20"/>
          <w:color w:val="auto"/>
        </w:rPr>
      </w:pPr>
    </w:p>
    <w:p>
      <w:pPr>
        <w:ind w:left="360" w:hanging="358"/>
        <w:spacing w:after="0"/>
        <w:tabs>
          <w:tab w:leader="none" w:pos="36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(6,155)  $   (4,996)</w:t>
      </w:r>
    </w:p>
    <w:p>
      <w:pPr>
        <w:spacing w:after="0" w:line="252"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1,379,444</w:t>
      </w:r>
      <w:r>
        <w:rPr>
          <w:sz w:val="20"/>
          <w:szCs w:val="20"/>
          <w:color w:val="auto"/>
        </w:rPr>
        <w:tab/>
      </w:r>
      <w:r>
        <w:rPr>
          <w:rFonts w:ascii="Times New Roman" w:cs="Times New Roman" w:eastAsia="Times New Roman" w:hAnsi="Times New Roman"/>
          <w:sz w:val="18"/>
          <w:szCs w:val="18"/>
          <w:u w:val="single" w:color="auto"/>
          <w:color w:val="auto"/>
        </w:rPr>
        <w:t>1,369,212</w:t>
      </w:r>
    </w:p>
    <w:p>
      <w:pPr>
        <w:spacing w:after="0" w:line="225" w:lineRule="exact"/>
        <w:rPr>
          <w:sz w:val="20"/>
          <w:szCs w:val="20"/>
          <w:color w:val="auto"/>
        </w:rPr>
      </w:pPr>
    </w:p>
    <w:p>
      <w:pPr>
        <w:spacing w:after="0"/>
        <w:tabs>
          <w:tab w:leader="none" w:pos="420" w:val="left"/>
          <w:tab w:leader="none" w:pos="1020" w:val="left"/>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(4.46)</w:t>
        <w:tab/>
        <w:t>$</w:t>
      </w:r>
      <w:r>
        <w:rPr>
          <w:sz w:val="20"/>
          <w:szCs w:val="20"/>
          <w:color w:val="auto"/>
        </w:rPr>
        <w:tab/>
      </w:r>
      <w:r>
        <w:rPr>
          <w:rFonts w:ascii="Times New Roman" w:cs="Times New Roman" w:eastAsia="Times New Roman" w:hAnsi="Times New Roman"/>
          <w:sz w:val="18"/>
          <w:szCs w:val="18"/>
          <w:color w:val="auto"/>
        </w:rPr>
        <w:t>(3.65)</w:t>
      </w:r>
    </w:p>
    <w:p>
      <w:pPr>
        <w:spacing w:after="0" w:line="231" w:lineRule="exact"/>
        <w:rPr>
          <w:sz w:val="20"/>
          <w:szCs w:val="20"/>
          <w:color w:val="auto"/>
        </w:rPr>
      </w:pPr>
    </w:p>
    <w:p>
      <w:pPr>
        <w:sectPr>
          <w:pgSz w:w="11900" w:h="16838" w:orient="portrait"/>
          <w:cols w:equalWidth="0" w:num="2">
            <w:col w:w="6020" w:space="160"/>
            <w:col w:w="2880"/>
          </w:cols>
          <w:pgMar w:left="1420" w:top="121" w:right="1419" w:bottom="1440" w:gutter="0" w:footer="0" w:header="0"/>
          <w:type w:val="continuous"/>
        </w:sectPr>
      </w:pPr>
    </w:p>
    <w:p>
      <w:pPr>
        <w:spacing w:after="0" w:line="20"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The Company’s potential dilutive securities, which as of March 31, 2019 include preferred stock and common stock options, have been excluded from the computation of diluted net loss per share as the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effect:</w:t>
      </w:r>
    </w:p>
    <w:p>
      <w:pPr>
        <w:spacing w:after="0" w:line="33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1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convertible into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15,560,569</w:t>
            </w: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2,052,194</w:t>
            </w:r>
          </w:p>
        </w:tc>
      </w:tr>
      <w:tr>
        <w:trPr>
          <w:trHeight w:val="217"/>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17,612,763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months ended March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maintain a full valuation allowance against its deferred tax assets.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Management has considered the Company’s history of cumulative net losses incurred since inception and its lack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provisions of Sections 382 and 383 of the Internal Revenue Code, certain substantial changes in the Company’s ownership may have limited, or may limit in the future, the amount of net operating loss and research and development credit carryforwards that can be used to reduce future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3, 2019, the Company effected a one-for-8.0338 reverse stock split of its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13, 2019, the Company closed the IPO, in which it sold 5,750,000 shares of common stock at a public offering price of $15.00 per share for net offering proceeds to the Company of approximately $77.0 million after deducting underwriting discounts and commissions of $6.0 million and offering expenses of $3.2 million (Note 1). In connection with the IPO, the Company became obligated to pay a liquidation milestone payment in the amount of $500,000 to Yale University.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Omnibus Incentive Plan (the ‘‘2019 Plan’’), which became effective on May 8, 2019, the date on which the Registration Statement was declared effective (the “Effective Date”). The 2019 Plan replaces the 2015 Plan as the Company’s board of directors (the “Board”) determined not to make additional awards under the 2015 Plan following the effectiveness of the 2019 Plan. The 2019 Plan provides for the grant of awards of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on January 1, 2020 and each January 1st thereafter during the term of the 2019 Plan by 4% of the number of shares of the Company’s common stock outstanding on December 31st of the preceding calendar year or such lesser number of shares determined by the Board.</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on January 1, 2020 and each January 1st thereafter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93" w:lineRule="exact"/>
        <w:rPr>
          <w:sz w:val="20"/>
          <w:szCs w:val="20"/>
          <w:color w:val="auto"/>
        </w:rPr>
      </w:pPr>
    </w:p>
    <w:p>
      <w:pPr>
        <w:jc w:val="both"/>
        <w:ind w:left="660" w:hanging="333"/>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or likelihood of regulatory filings for NC318, NC410 and any other product candidates we develop and our ability to obtain and maintain regulatory approvals for such product candidates for any indication;</w:t>
      </w: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capabilities and strategy, including the scalability of our manufacturing methods and processes;</w:t>
      </w:r>
    </w:p>
    <w:p>
      <w:pPr>
        <w:spacing w:after="0" w:line="9"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potential benefits, activity, effectiveness and safety of NC318, NC410 and any other product candidates we develop;</w:t>
      </w: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and ability to successfully commercialize our product candidates;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nature of the biological pathways we are targeting;</w:t>
      </w:r>
    </w:p>
    <w:p>
      <w:pPr>
        <w:spacing w:after="0" w:line="9"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for our FIND-IO platform, including our ability to discover and advance product candidates using our FIND-IO platform;</w:t>
      </w:r>
    </w:p>
    <w:p>
      <w:pPr>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benefits of and our ability to maintain our relationships and collaborations with Yale University, Dr. Lieping Chen and Eli Lilly and Company;</w:t>
      </w:r>
    </w:p>
    <w:p>
      <w:pPr>
        <w:jc w:val="both"/>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estimates regarding our expenses, future revenues, capital requirements and our needs for or ability to obtain additional financing and the period over which we expect the proceeds of our initial public offering, together with our current cash and cash equivalents, to be sufficient to fund our operations;</w:t>
      </w:r>
    </w:p>
    <w:p>
      <w:pPr>
        <w:spacing w:after="0" w:line="1" w:lineRule="exact"/>
        <w:rPr>
          <w:rFonts w:ascii="Times New Roman" w:cs="Times New Roman" w:eastAsia="Times New Roman" w:hAnsi="Times New Roman"/>
          <w:sz w:val="18"/>
          <w:szCs w:val="18"/>
          <w:color w:val="auto"/>
        </w:rPr>
      </w:pPr>
    </w:p>
    <w:p>
      <w:pPr>
        <w:ind w:left="66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intended reliance on and the performance of third parties, including collaborators, contract research organizations and third-party manufacturers;</w:t>
      </w:r>
    </w:p>
    <w:p>
      <w:pPr>
        <w:ind w:left="660" w:hanging="333"/>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ability to protect and enforce our intellectual property protection and the scope and duration of such protection;</w:t>
      </w:r>
    </w:p>
    <w:p>
      <w:pPr>
        <w:spacing w:after="0" w:line="20" w:lineRule="exact"/>
        <w:rPr>
          <w:rFonts w:ascii="Times New Roman" w:cs="Times New Roman" w:eastAsia="Times New Roman" w:hAnsi="Times New Roman"/>
          <w:sz w:val="17"/>
          <w:szCs w:val="17"/>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and projections relating to our competitors and our industry, including competing therapies; and</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current and future laws and regulations.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or our industry’s actual results, levels of activity, performance or achievements to be materially different from those anticipated by the forward-looking statements. We discuss many of these risks in greater detail in the section entitled “Risk Factors” included in Part II, Item 1A and elsewhere in this report. While we believe that our internal expectations, estimates, forecasts and projections are reasonable, no independent source has verified such expectations, estimates, forecasts and projections, as a result we cannot assure you that the forward-looking statements in this Quarterly Report will prove to be accurate. Furthermore, if our forward-looking statements prove to be inaccurate, the inaccuracy may be material. Accordingly, you should not rely upon forward-looking statements as predictions of future events. These forward-looking statements speak only as of the date of this Quarterly Report, and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58"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Our lead product candidate, NC318, is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immunomedicine against a novel immunomodulatory receptor called Siglec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or S15. In October 2018, we initiated a Phase 1/2 clinical trial of NC318 in patients with advanced or metastatic solid tumors. We expect completion of the Phase 1 portion of this trial in the fourth quarter of 2019 and completion of the Phase 2 portion in the fourth quarter of 2020. Our second product candidate, NC410, is a novel immunomedicine designed to block immune suppression mediated by an immune modulator called Leukocyte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Immunoglobulin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Receptor 1, or LAIR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We expect to submit an investigational new drug application, or IND, to the U.S. Food and Drug Administration, or FDA, for NC410 in the first quarter of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generated any revenue from product sales and only limited related party revenues and, as a result, we have never been profitable and have incurred net losses since the commencement of our operations. Our net losses for the three months ended March 31, 2019 and 2018 were $6.2 million and $5.0 million, respectively. As of March 31, 2019, we had an accumulated deficit of $53.5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have funded our operations to date primarily with proceeds from the sale of preferred stock and proceeds from our multi-year research collaboration and development agreement with Eli Lilly and Company, or Lilly. Since our inception through March 31, 2019, we received gross proceeds of $164.4 million through private placements of preferred stock and an upfront payment of $25.0 million in connection with our agreement with Lilly, or the Lilly Agreement. In April 2018, we received gross proceeds of $31.0 million from the sale and issuance of shares of our 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Preferred Stock, and in November 2018, we received gross proceeds of $93.4 million from the sale and issuance of shares of our Series B Preferred Stock, including $15.0 million from Lilly as described below.</w:t>
      </w:r>
    </w:p>
    <w:p>
      <w:pPr>
        <w:spacing w:after="0" w:line="173"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In November 2018, we entered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research and development collaboration agreement with Lilly, or the Lilly Agreement, pursuant to which we will use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to identify novel oncology targets for additional collaborative research and drug discovery by us and Lilly. We received an upfront payment of $25.0 million in cash and an equity investment of $15.0 million from Lilly upon entering into the Lilly Agreement, and we are eligible for quarterly research and development support payments during a portion of the term of the Lilly Agreement, option exercise payments and milestone payments in an aggregate of up to $1.4 billion, as well as mid to high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royalty payments on net sales for all products directed to each target optioned by Lilly. We expect to recognize revenue from the Lilly Agreement on a proportional performance basis over the term of the Lilly Agreement.</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13, 2019, we closed our initial public offering, or the IPO, in which we sold 5,750,000 shares of common stock, at a public offering price of $15.00 per share, for aggregate gross proceeds of $86.3 million. The net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to us were approximately $77.0 million after deducting underwriting discounts and commissions of $6.0 million and offering expenses of $3.2 million. See Note 1 to our unaudited financial statements included elsewhere in this Quarterly Report for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we had cash and cash equivalents of $125.6 million. We believe that our existing cash and cash equivalents, together with the net proceeds from our IPO, will be sufficient to fund our planned operations into the second half of 2022. We have based this estimate on assumptions that may prove to be incorrect, and we could use our available capital resources sooner than we currently expect.</w:t>
      </w:r>
    </w:p>
    <w:p>
      <w:pPr>
        <w:spacing w:after="0" w:line="18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and discovery programs. Specifically, in the near term, we expect to incur substantial expenses relating to our ongoing Phase 1/2 clinical trial of NC318, preclinical studies and our planned Phase 1/2 clinical trial of NC410 and other research and development activities. We expect to incur significantly increased costs as a result of operating as a public company, including significant legal, accounting, investor relations and other expenses that we did not incur as a private company.</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or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2019, we recognized $1.4 million of revenue under the Lilly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March 31, 2019, we have not generated any revenue from product sales.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to our unaudited financial statements included elsewhere in this Quarterly Report. For the foreseeable future, we expect all of our revenue will be generated from the Lilly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33" w:lineRule="exact"/>
        <w:rPr>
          <w:sz w:val="20"/>
          <w:szCs w:val="20"/>
          <w:color w:val="auto"/>
        </w:rPr>
      </w:pPr>
    </w:p>
    <w:p>
      <w:pPr>
        <w:ind w:left="980" w:hanging="329"/>
        <w:spacing w:after="0" w:line="239"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personnel engaged in research and development functions;</w:t>
      </w:r>
    </w:p>
    <w:p>
      <w:pPr>
        <w:spacing w:after="0" w:line="199"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w:t>
      </w:r>
    </w:p>
    <w:p>
      <w:pPr>
        <w:spacing w:after="0" w:line="147"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related travel expenses;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 and</w:t>
      </w:r>
    </w:p>
    <w:p>
      <w:pPr>
        <w:spacing w:after="0" w:line="133" w:lineRule="exact"/>
        <w:rPr>
          <w:rFonts w:ascii="Times New Roman" w:cs="Times New Roman" w:eastAsia="Times New Roman" w:hAnsi="Times New Roman"/>
          <w:sz w:val="18"/>
          <w:szCs w:val="18"/>
          <w:color w:val="auto"/>
        </w:rPr>
      </w:pPr>
    </w:p>
    <w:p>
      <w:pPr>
        <w:ind w:left="980" w:hanging="329"/>
        <w:spacing w:after="0" w:line="239"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which include direct depreciation costs and allocated expenses for rent and maintenance of facilities and other operating costs.</w:t>
      </w:r>
    </w:p>
    <w:p>
      <w:pPr>
        <w:spacing w:after="0" w:line="19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7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Due to the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nature of our programs and the discovery-related nature of our efforts, we do not track costs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However, as our current and future product candidates proceed along a development path further in clinical trials, we intend to track the costs of each program. We will measure costs incurred under the Lilly Agreement as an input to recording revenue from the Lilly Agreement.</w:t>
      </w:r>
    </w:p>
    <w:p>
      <w:pPr>
        <w:spacing w:after="0" w:line="198"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Phase 1/2 clinical trial of NC318 and conducting preclinical studies and a Phase 1/2 clinical trial of NC410, and as we expand our pipeline through research and development activities related to our FIND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IO platform and discovery programs.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84" w:lineRule="exact"/>
        <w:rPr>
          <w:sz w:val="20"/>
          <w:szCs w:val="20"/>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of NC318 and NC410, as well as of any future clinical trials of other product candidates and other research and development activities that we may conduct;</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selection of indications, clinical trial design and patient enrollment rates;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success for our product candidates, including safety and efficacy, early clinical data, competition, ease and ability of manufacturing and commercial viability;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development or marketing approvals, including the IND for NC410;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clinical trials due to patient enrollment or other reasons, we would be required to expend significant additional financial resources and time to complete clinical development for any such product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99"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General and administrative expenses consist primarily of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payroll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personnel in executive, finance, human resources, business and corporate development and other administrative functions, professional fees for legal, intellectual property, consulting and accounting services, rent and other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depreciation and other general operating expenses not otherwise classified as research and development expenses. General and administrative expenses also include all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incurred in connection with filing and prosecuting patent applications, which are expensed as incurred.</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1"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Other income, net consists primarily of interest income earned on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in U.S. Treasury obligations and payment of interest on our term loan with a commercial bank, or the Term Loan.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related party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Related Party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was $1.4 million for the three months ended March 31, 2019 and $0 million for the three months ended March 31, 2018. The increase in revenue is related to the recognition of a portion of the upfront consideration under the Lilly Agreement and the premium on the proceeds from Lilly’s investment in shares of our Series B-3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increased by $2.3 million to $6.5 million compared to $4.2 million for the three months ended March 31, 2018. The increase was driven primarily by $0.8 million of increased lab supplies and services for NC318, NC410, other early-stage programs and discovery activities. Other significant components of the increase in research and development expenses included the following: $0.7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clinical research costs related to advancing NC318, $0.6 million in higher headcount and $0.2 million in payments pursuant to the SRA and other sponsored research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2019 increased by $0.9 million to $1.7 million as compared to $0.8 million for the three months ended March 31, 2018. The increase was driven primarily by an increase of $0.5 million for professional fees related to finance and audit services, public relations, compensation and investor relations support and $0.1 million for office-related supplies.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2019 increased by $0.6 million to $0.7 million from $13,000 for the three months ended March 31, 2018. The increase was driven primarily by interest income earned on higher cash balances, partially offset by interest expense related to the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preferred stock and proceeds pursuant to the Lilly Agreement.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 and U.S. Treasury obligations.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our principal source of liquidity was cash and cash equivalents of $125.5 million. We believe that the net proceeds from our IPO, together with our existing cash and cash equivalents, will be sufficient to fund our planned operations into the second half of 2022.</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In addition, in April 2016, we entered into the Term Loan to finance laboratory equipment purchases. In January 2019, we amended the Term Loan to increase our borrowing capacity from $1.0 million to $5.0 million. As amended, the 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will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through January 2020 and 36 equal monthly payments of principal plus accrued interest thereafter through January 2023. As of March 31, 2019, our outstanding borrowings under the Term Loan were $5.0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16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(4,803)</w:t>
            </w: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7"/>
        </w:trPr>
        <w:tc>
          <w:tcPr>
            <w:tcW w:w="7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Net cash used in operating activities was $7.0 million for the three months ended March 31, 2019, which was primarily due to our net loss of $6.2 million. Net cash used in operating activities was $4.8 million for the three months ended March 31, 2018, which was primarily due to our net loss of $5.0 million in connection with our research and development activities, partially offset by timing of cash payments. The amount of cash used in operating activities in any period is influenced by the timing of cash payments for research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2019 and 2018 was $0.9 million and $0.5 million, respectively, which consisted in each case primarily of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$3.0 million for the three months ended March 31, 2019, which consisted primarily of net proceeds from the amended Term Loan, partially offset by issuance costs, deferred offering costs and final payment of the existing Term Loan. Cash used by financing activities was $0.1 million for the three months ended March 31, 2018, which consisted of payments under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during the three-month period ended March 31, 2019, as compared to those disclosed in the final prospectus that forms a part of our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(Reg. No. 333-230837), as filed with the SEC pursuant to Rule 424(b)(4) under the Securities Act of 1933, as amended, on May 9, 2019, or the Prospectus. See Notes 6 and 7 to our unaudited financial statements included elsewhere in this Quarterly Report for a discussion of our leases and the Term Loan,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product warranties, inventory valuation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there were no material changes to our critical accounting policies as reported in the Prospectus.</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22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Since our inception, we have not engaged in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in the rules and regulations of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 to our unaudited financial statements included elsewhere in this Quarterly Report for a discussion of recent accounting pronouncements that may impact our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we are eligible to take advantage of certain exemptions from various reporting requirements that are applicable to other public companies that are not emerging growth companies.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2019.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March 31, 2019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Since our inception in 2015, we have incurred significant net losses. Our net losses were $22.8 million and $6.2 million for the year ended December 31, 2018 and the three months ended March 31, 2019, respectively. As of March 31, 2019, we had an accumulated deficit of $53.5 million. Prior to our IPO, we have funded our operations to date primarily with proceeds from the sale of preferred stock and upfront fees received in connection with the Lilly agreement. 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 commercialized product.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176" w:lineRule="exact"/>
        <w:rPr>
          <w:sz w:val="20"/>
          <w:szCs w:val="20"/>
          <w:color w:val="auto"/>
        </w:rPr>
      </w:pPr>
    </w:p>
    <w:p>
      <w:pPr>
        <w:ind w:left="9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existing product candidates and our research programs;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FIND-IO platform to advance additional product candidates into preclinical and clinical development;</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scientific and administrative personnel;</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to support our clinical development, manufacturing and commercialization efforts and our operations as a public company;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marketing, sales, distribution and medical affairs infrastructure to commercialize any products for which we may obtain marketing approval and commercialize, whether on our own or jointly with a partner;</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 or engage in strategic partnerships;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whether on our own or jointly with Lilly or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existing or future collaborators’, success in:</w:t>
      </w:r>
    </w:p>
    <w:p>
      <w:pPr>
        <w:spacing w:after="0" w:line="184" w:lineRule="exact"/>
        <w:rPr>
          <w:sz w:val="20"/>
          <w:szCs w:val="20"/>
          <w:color w:val="auto"/>
        </w:rPr>
      </w:pPr>
    </w:p>
    <w:p>
      <w:pPr>
        <w:ind w:left="980" w:hanging="329"/>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 and clinical trials of our product candidates, including our ongoing Phase 1/2 clinical trial for NC318 and other planned clinical trials for NC318 and NC410;</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product candidates that we or our collaborators develop;</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acceptance of the INDs for NC410 and future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developing new product candidates;</w:t>
      </w:r>
    </w:p>
    <w:p>
      <w:pPr>
        <w:spacing w:after="0" w:line="225"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current good manufacturing practice, or cGMP, supply of our product candidates for clinical trials and, if approved, commercial sales;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 candidates, if approved, that we develop as viable treatment options;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and NC410,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jc w:val="both"/>
        <w:ind w:left="980" w:hanging="329"/>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NC318, NC410 and our other product candidates, including targets identified through our FIND-IO platform, and of conducting preclinical studies and clinical trials;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 for NC318, NC410 and any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Lilly, including whether Lilly exercises its licensing options under its collaboration agreement with us, each of which would trigger additional payments to us;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NC318, NC410 and any future product candidates for preclinical studies and clinical trials and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marketing, sales and distribution costs, for NC318, NC410 and any future product candidates we develop, whether alone or with a collaborator, if any of these product candidates are approved for sale;</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SRA with Yale University;</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on favorable terms, if at all;</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any such litigation;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March 31, 2019, we had $125.5 million in cash and cash equivalents, which does not include the $77.0 million net proceeds from the IPO. Based on our research and development plans, we expect that the net proceeds, and our existing cash and cash equivalents will enable us to fund our operating expenses and capital expenditure requirements into the second half of 2022.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early in our development efforts. We have only recently initiated our first clinical trial for NC318, our lead product candidate, and our second product candidate, NC410, is in preclinical development. Our ability to generate product revenues, which we do not expect will occur for several years, if ever, will depend heavily on the successful development and eventual commercialization of NC318, NC410 and any future product candidates we develop, which may never occur. Our current product candidates, including NC318 and NC410,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clinical and commercial success of our current and future product candidates will depend on several factors, including the following:</w:t>
      </w:r>
    </w:p>
    <w:p>
      <w:pPr>
        <w:spacing w:after="0" w:line="162" w:lineRule="exact"/>
        <w:rPr>
          <w:sz w:val="20"/>
          <w:szCs w:val="20"/>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our clinical trials;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INDs for NC410 and future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on a timely basis or to establish agreements with third-party manufacturers, if needed;</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the primary endpoint assessments evaluated in the clinical trials of our product candidates by the FDA and comparable foreign regulatory authorities;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timely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approved;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if approved;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uses of our product candidates, if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 candidates following approval;</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targets and immunomedicines, whether through our FIND-IO platform, through our relationships with Yale or otherwise;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clinical trials does not mean that NC318, NC410 or any future product candidates we develop will receive regulatory approval. Even if regulatory approvals are obtained, we could experience significant delays or an inability to successfully commercialize our current and any future product candidates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product candidates in the United States until we receive regulatory approval of a biologics license application, or BLA, from the FDA. It is possible that none of our current or future product candidates will ever obtain regulatory approval in the United States or elsewhere.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62" w:lineRule="exact"/>
        <w:rPr>
          <w:sz w:val="20"/>
          <w:szCs w:val="20"/>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clinical trials or preclinical studies;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 and</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post-marketing clinical trials, or may approve a product candidate with a label that does not include the labeling claims we believe are necessary or desirable for the successful commercialization of such product candidates. Any of the foregoing scenarios could materially harm the commercial prospects for our product candidates.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FDA or comparable foreign regulatory authorities may change their policies, issue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uncertain outcomes. We may incur additional costs and experience delays or an inability in developing and commercializing our current and future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Although we initiated a Phase 1/2 clinical trial of NC318 in October 2018, we may experience delays in initiating or completing our planned clinical trials and development efforts. Additionally, we cannot be certain the ongoing and planned preclinical studies or clinical trials for NC318, NC410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193" w:lineRule="exact"/>
        <w:rPr>
          <w:sz w:val="20"/>
          <w:szCs w:val="20"/>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Institutional Review Boards, or IRBs, or independent ethics committees may not authorize us or our investigators to commence a clinical trial or conduct a clinical trial at a prospective trial site;</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on us, before permitting us to initiate a clinical trial;</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or we may have difficulty adding a sufficient number of clinical trial sites;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or nonclinical testing and studies and clinical trials of any product candidates may be greater than we anticipate;</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and</w:t>
      </w:r>
    </w:p>
    <w:p>
      <w:pPr>
        <w:spacing w:after="0" w:line="180"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product candidates we develop or other materials necessary to conduct clinical trials may be insufficient or inadequate.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or by the IRBs of the institutions in which such trials are being conducted, ethics committees or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the exception of NC318, all of our product candidates are still in the preclinical discovery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Lilly or our potential future collaborators over which we have no control. The commencement and rate of completion of preclinical studies and clinical trials for a product candidate may be delayed by many factors, including but not limited to:</w:t>
      </w:r>
    </w:p>
    <w:p>
      <w:pPr>
        <w:spacing w:after="0" w:line="187" w:lineRule="exact"/>
        <w:rPr>
          <w:sz w:val="20"/>
          <w:szCs w:val="20"/>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6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permitting the reliance on preclinical or other data from published scientific literature.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We have only recently initiated our first-in-human clinical trial of NC318 and do not expect to complete the Phase 1 portion of that trial until the fourth quarter of 2019. Initial success in our ongoing clinical trial may not be indicative of results obtained when these trials are completed or in later stage trials.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using our FIND-IO platform is unproven and may not result in marketable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 or meet our obligations under the Lilly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prevent their marketing approval, limit their commercial potential or result in significant negative consequences.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 Immune-related adverse events that represent immune effects on normal tissue that can result from misdirected stimulation of the immune system are the most likely class of toxicity, and additional adverse side effects could develop.</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only recently initiated a Phase 1/2 clinical trial of NC318, and it is likely that there will be side effects associated with its use. NC318 is an immunomedicine, and although no specific toxicities were identified during preclinical testing, it is possible that immune-related adverse events associated with other immunotherapies may occur in patients treated with NC318. Possible adverse side effects that could occur with treatment with immunotherapeutic products include an immunologic reaction early after administration which, while not necessarily adverse to the patient’s health, could substantially limit the effectiveness of the treatment. In addition to any potential side effects caused by the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product candidate, the administration process or related procedures also can cause adverse side effects. If any such adverse events occur, our clinical trials or any future marketing authorization could be suspended or terminated.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pivotal clinical trials. See “—Risks Related to Reliance on Third Parties—We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 Consequently, we may be unable to successfully and efficiently execute and complete necessary clinical trials in a way that leads to BLA submission and approval of NC318, NC410 or future product candidates. We may require more time and incur greater costs than our competitors and may not succeed in obtaining regulatory approvals of product candidates that we develop.</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180" w:lineRule="exact"/>
        <w:rPr>
          <w:sz w:val="20"/>
          <w:szCs w:val="20"/>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size of the patient population required for analysis of the trial’s primary endpoints and the process for identifying patients;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clinical sites or patients;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6"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for participation in our clinical trials; 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number of subjects in our Phase 1/2 clinical trial of NC318 is small, the results from this trial, once completed, may be less reliable than results achieved in larger clinical trials.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 of NC318, can be disproportionately influenced by the impact the treatment had on a few individuals, which limits the ability to generalize the results across a broader community, thus making the study results less reliable than studies with a larger number of subjects. As a result, there may be less certainty that NC318 would achieve a statistically significant effect in any future clinical trials. If we conduct any future clinical trials of NC318, we may not achieve a statistically significant result or the same level of statistical significance seen, if any, in our Phase 1/2 clinical trial. Similarly, if we conduct a clinical trial of any other product candidate we develop, including NC410, with a smaller sample size, the results of any such trial may be less reliable than results achieved in larger clinical trials and may provide less certainty of achieving statistically significant effects in any future clinical trials.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FDA’s current good clinical practices requirements, or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produced in accordance with applicable cGMP. Clinical trials may be suspended by the FDA, other foreign regulatory authorities, us, or by an IRB or ethics committee with respect to a particular clinical trial site, for various reasons, including:</w:t>
      </w:r>
    </w:p>
    <w:p>
      <w:pPr>
        <w:spacing w:after="0" w:line="188" w:lineRule="exact"/>
        <w:rPr>
          <w:sz w:val="20"/>
          <w:szCs w:val="20"/>
          <w:color w:val="auto"/>
        </w:rPr>
      </w:pPr>
    </w:p>
    <w:p>
      <w:pPr>
        <w:ind w:left="980" w:hanging="329"/>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study protocols;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study subjects;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appear to offer benefits over current therapies;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may fall below acceptable standards.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chosen to prioritize development of NC318 and NC410.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we have strategically determined to prioritize development of NC318 and NC410 rather than other product candidates based, in part, on the significant resources required for developing and manufacturing immunomedicines. To date, no regulatory authority has granted approval for an immunomedicine targeting S15 or the LAIR pathway.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such complementary or companion diagnostics, or experience significant delays in doing so, we may not realize the full commercial potential of our current or future product candidates.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key elements of our product development strategy is to identify cancer patient populations that may derive meaningful benefit from our current or future product candidates. Because predictive biomarkers may be used to identify the right patients for current or future product candidates, we believe that our success may depend, in part, on our ability to develop complementary or companion diagnostics in collaboration with partners.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development of diagnostics and, as such, we expect to rely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Complementary or companion diagnostics are subject to regulation by the FDA and similar comparable foreign regulatory authorities as medical devices and require separate regulatory approval or clearance prior to commercialization. If we, our collaborators, or any third parties that we engage to assist us, are unable to successfully develop complementary or companion diagnostics for our current or future product candidates or experience delays in doing so:</w:t>
      </w:r>
    </w:p>
    <w:p>
      <w:pPr>
        <w:spacing w:after="0" w:line="180" w:lineRule="exact"/>
        <w:rPr>
          <w:sz w:val="20"/>
          <w:szCs w:val="20"/>
          <w:color w:val="auto"/>
        </w:rPr>
      </w:pPr>
    </w:p>
    <w:p>
      <w:pPr>
        <w:ind w:left="980" w:hanging="32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current or future product candidates may be adversely affected if we are unable to appropriately select patients for enrollment in our clinical trials; and</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could be materially harmed.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Regulatory Approval and Commercialization of Product Candidates and Other Legal Compliance Matters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gain approval to market our product candidates in the United States, we must provide the FDA with clinical data that adequately demonstrate the safety, purity and potency, including efficacy, of the product candidate for the intended indication applied for in the applicable regulatory filing.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our product candidates for many reasons, including:</w:t>
      </w:r>
    </w:p>
    <w:p>
      <w:pPr>
        <w:spacing w:after="0" w:line="162" w:lineRule="exact"/>
        <w:rPr>
          <w:sz w:val="20"/>
          <w:szCs w:val="20"/>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a comparable foreign regulatory authority that our product candidates are safe and effective for the requested indication;</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disagreement with our trial protocol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our product candidates outweigh any safety or other perceived risks;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requirement for additional preclinical studies or clinical trials;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non-approval of the formulation, labeling, or specifications of our product candidates;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regulatory authority’s failure to approve our manufacturing processes and facilities or the manufacturing processes and facilities of third-party manufacturers upon which we rely; or</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approval policies or regulations of the FDA or a comparable foreign regulatory authority to significantly change in a manner rendering our clinical data insufficient for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76" w:lineRule="exact"/>
        <w:rPr>
          <w:sz w:val="20"/>
          <w:szCs w:val="20"/>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those that are not yet approved;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and adoption of a companion or complementary diagnostic, if needed;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and any other product candidates we develop as a therapy for patients who have received one or more prior treatments. If we do so, for those products that prove to be sufficiently beneficial, if any, we would expect to seek approval potentially as a first-line therapy, but there is no guarantee that any product candidate we develop, even if approved, would be approved for first-line therapy, and, prior to any such approvals, we may have to conduct additional clinical trials.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NC318, NC410 and future product candidates in combination with other therapies, which exposes us to additional regulatory risks.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develop NC318, NC410 and future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evaluate NC318, NC410, or any future product candidate in combination with one or more other cancer therapies that have not yet been approved for marketing by the FDA or comparable foreign regulatory authorities. We will not be able to market and sell NC318, NC410 or any product candidate we develop in combination with any such unapproved cancer therapies that do not ultimately obtain marketing approval.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or any product candidate we develop, we may be unable to obtain approval of or market any such product candidate.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We may be subject to penalties if we fail to comply with regulatory requirements or experience unanticipated problems with our products, if approved.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186" w:lineRule="exact"/>
        <w:rPr>
          <w:sz w:val="20"/>
          <w:szCs w:val="20"/>
          <w:color w:val="auto"/>
        </w:rPr>
      </w:pPr>
    </w:p>
    <w:p>
      <w:pPr>
        <w:ind w:left="980" w:hanging="329"/>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or holds on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we file, or suspension or revocation of approved biologics licenses;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monetary penalties, refusal to permit the import or export of the product, or placement on Import Alert;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policies of the Trump Administration may impact our business and industry. President Trump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especially novel products like our immunomedicines. To date, no regulatory authority has granted approval for an immunomedicine targeting S15 or the LAIR pathway. The Medicare and Medicaid programs are increasingly used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or collectively, the ACA, was passed, which substantially changes the way healthcare is financed by both governmental and private insurers, and significantly impacts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now agree to offer 70% point-of-sale discounts off negotiated prices of applicable brand drugs to eligible beneficiaries during their coverage gap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while certain provisions have been subject to judicial and Congressional challenges, as well as efforts by President Trump’s administration to repeal or replace certain aspects of the ACA, and to alter the implementation of the ACA and related laws. For example, Congress has considered legislation that would repeal or repeal and replace all or part of the ACA. While Congress has not passed comprehensive repeal legislation, bills affecting the implementation of certain taxes under the ACA have been signed into law. The Tax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Cuts and Jobs Act of 2017, or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among other things, amends the ACA, effective January 1, 2019, to reduce the coverage gap in most Medicare drug plans, commonly referred to as the “donut hole.” Also, in July 2018, the Centers for Medicare and Medicaid Services, or CMS, issued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December 2018, a United States District Court Judge for the Northern District of Texas ruled that the entire ACA is unconstitutional because the tax penalty associated with the “individual mandate” was repealed by Congress as part of the Tax Act. This ruling is under appeal and stayed pending appeal. While the United States District Court Judge for the Northern District of Texas, as well as the Trump Administration and CMS, have stated that the ruling will have no effect while this appeal is pending, it is unclear how this decision, subsequent appeals and other efforts to invalidate the ACA, regulations promulgated under the ACA and related laws, or portions thereof will impact the ACA, its implementation and our business.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effective January 1, 2014, CMS began bundling into the hospital outpatient prospective payment rate the Medicare payments for most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that legislators intend to, among other things, bring more transparency to drug pricing, reduce the cost of prescription drugs under government payor programs, and review the relationship between pricing and manufacturer patient programs.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January 31, 2019, the Department of Health and Human Services, HHS Office of Inspector General, proposed modifications to the federal Anti-Kickback Statute discount safe harbor for the purpose of reducing the cost of drug products to consumers which, among other things, if finalized, will remove safe harbor protection from rebates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have each indicated that they will continue to seek new legislative and/or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will pay for healthcare products and services. This could result in reduced demand for our product candidates or additional pricing pressures.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w:t>
      </w:r>
    </w:p>
    <w:p>
      <w:pPr>
        <w:spacing w:after="0" w:line="189" w:lineRule="exact"/>
        <w:rPr>
          <w:sz w:val="20"/>
          <w:szCs w:val="20"/>
          <w:color w:val="auto"/>
        </w:rPr>
      </w:pPr>
    </w:p>
    <w:p>
      <w:pPr>
        <w:jc w:val="both"/>
        <w:ind w:left="980" w:hanging="329"/>
        <w:spacing w:after="0" w:line="25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harbors for many common practices, such as educational and research grants or patient or product assistance programs.</w:t>
      </w:r>
    </w:p>
    <w:p>
      <w:pPr>
        <w:spacing w:after="0" w:line="162" w:lineRule="exact"/>
        <w:rPr>
          <w:sz w:val="20"/>
          <w:szCs w:val="20"/>
          <w:color w:val="auto"/>
        </w:rPr>
      </w:pPr>
    </w:p>
    <w:p>
      <w:pPr>
        <w:jc w:val="both"/>
        <w:ind w:left="980" w:hanging="329"/>
        <w:spacing w:after="0" w:line="253"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civil False Claims Act, or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qui tam actions, on behalf of the government and such individuals 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90" w:lineRule="exact"/>
        <w:rPr>
          <w:rFonts w:ascii="Times New Roman" w:cs="Times New Roman" w:eastAsia="Times New Roman" w:hAnsi="Times New Roman"/>
          <w:sz w:val="18"/>
          <w:szCs w:val="18"/>
          <w:color w:val="auto"/>
        </w:rPr>
      </w:pPr>
    </w:p>
    <w:p>
      <w:pPr>
        <w:jc w:val="both"/>
        <w:ind w:left="980" w:hanging="329"/>
        <w:spacing w:after="0" w:line="25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provisions, which prohibit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statutes or specific intent to violate them.</w:t>
      </w:r>
    </w:p>
    <w:p>
      <w:pPr>
        <w:spacing w:after="0" w:line="185" w:lineRule="exact"/>
        <w:rPr>
          <w:rFonts w:ascii="Times New Roman" w:cs="Times New Roman" w:eastAsia="Times New Roman" w:hAnsi="Times New Roman"/>
          <w:sz w:val="18"/>
          <w:szCs w:val="18"/>
          <w:color w:val="auto"/>
        </w:rPr>
      </w:pPr>
    </w:p>
    <w:p>
      <w:pPr>
        <w:jc w:val="both"/>
        <w:ind w:left="980" w:hanging="329"/>
        <w:spacing w:after="0" w:line="254"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also impose specified requirements relating to the privacy, security and transmission of individually identifiable health information held by covered entities, which include health plans, healthcare clearinghouses and certain healthcare providers, and their business associates, individuals or entities that perform certain services on behalf of a covered entity that involve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89" w:lineRule="exact"/>
        <w:rPr>
          <w:rFonts w:ascii="Times New Roman" w:cs="Times New Roman" w:eastAsia="Times New Roman" w:hAnsi="Times New Roman"/>
          <w:sz w:val="18"/>
          <w:szCs w:val="18"/>
          <w:color w:val="auto"/>
        </w:rPr>
      </w:pPr>
    </w:p>
    <w:p>
      <w:pPr>
        <w:jc w:val="both"/>
        <w:ind w:left="980" w:hanging="329"/>
        <w:spacing w:after="0" w:line="25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85" w:lineRule="exact"/>
        <w:rPr>
          <w:rFonts w:ascii="Times New Roman" w:cs="Times New Roman" w:eastAsia="Times New Roman" w:hAnsi="Times New Roman"/>
          <w:sz w:val="18"/>
          <w:szCs w:val="18"/>
          <w:color w:val="auto"/>
        </w:rPr>
      </w:pPr>
    </w:p>
    <w:p>
      <w:pPr>
        <w:jc w:val="both"/>
        <w:ind w:left="980" w:hanging="329"/>
        <w:spacing w:after="0" w:line="254"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limited operating history, our manufacturing experience as an organization and with our manufacturing facility is limited.</w:t>
      </w:r>
    </w:p>
    <w:p>
      <w:pPr>
        <w:spacing w:after="0" w:line="15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We are currently the sole manufacturer of NC318 and NC410 and if anything were to interfere with our continuing manufacturing operations in our facility, it could materially adversely affect our business and financial condition.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fail to develop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or filing our IND for NC410. Any such delays could materially adversely affect our business and financial condition.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and any future product candidates may be manufactured at a CMO or CMOs.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 of manufacturing immunomedicines, including our product candidates, is complex, time-consuming, highly regulated and subject to several risks, including:</w:t>
      </w:r>
    </w:p>
    <w:p>
      <w:pPr>
        <w:spacing w:after="0" w:line="162" w:lineRule="exact"/>
        <w:rPr>
          <w:sz w:val="20"/>
          <w:szCs w:val="20"/>
          <w:color w:val="auto"/>
        </w:rPr>
      </w:pPr>
    </w:p>
    <w:p>
      <w:pPr>
        <w:jc w:val="both"/>
        <w:ind w:left="980" w:hanging="329"/>
        <w:spacing w:after="0" w:line="25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7"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adversely affected by equipment failures, labor and raw material shortages, natural disasters, power failures and numerous other factors;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If one or more of our product candidates progress to late-stage development, we may incur significant expenses in the expansion and/or construction of manufacturing facilities and increases in personnel in order to manufacture product candidates. Currently, our product candidates are manufactured in small quantities for use in various preclinical studies and our ongoing Phase 1/2 clinical trial of NC318. We cannot assure you that we will be able to successfully manufacture additional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We and our licensors have sought, and intend to seek, to protect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proprietary position by filing patent applications in the United States and abroad related to our product candidates and technology that are important to our business. No patent has yet issued from our patent applications.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 Patent and Trademark Office, or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Such proceedings could result in the revocation or cancellation of or amendment to our patents in such a way that they no longer cover our product candidates.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and/or other forms of compensation to third parties.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are presently unaware of any claims or assertions by third parties with respect to our patents or other intellectual property, we cannot guarantee that a third party will not assert a claim or an interest in any of such patents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license or may own in the future;</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make the inventions covered by the issued patent or pending patent application that we license or may own in the future;</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preclinical studies that comply with the regulatory requirements known as current good laboratory practice, or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depend on Lilly,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the Lilly Agreement, which is focused on using our FIND-IO platform to identify novel oncology targets for additional research and drug discovery by ourselves and Lilly. Pursuant to the Lilly Agreement, we granted Lilly the exclusive right to obtain worldwide exclusive licenses to research, develop, manufacture and commercialize compounds and products directed to oncology targets identified through our research collaboration. Lilly will have the exclusive ability to control the development and commercialization of any targets it chooses to license on a global basis. Our lack of control over the clinical development of certain programs under the Lilly Agreement could result in delays or other difficulties in the development and commercialization of product candidates. Our right to receive certain milestone and royalty payments may be subsequently delayed, if we receive any at all. In the event Lilly terminates the Lilly Agreement, we would be prevented from receiving any milestone payments, royalty payments and other benefits under that agreement, which would have a materially adverse effect on our results of operations. Furthermore, in the event Lilly does not purchase and exercise any of its options, we will not be eligible to receive any future milestone payments under the Lilly Agreement, which could require us to seek additional funding in order to avoid delaying, reducing the scope of, or suspending, one or more of our research and development programs or clinical trials.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entered into the SRA with Yale in which we agreed to provide funding for a research program aimed at discovering new targets for immunomedicines. We have and would expect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collaborations pose, and potential future collaborations involving our product candidates may pose, the following risks to us:</w:t>
      </w:r>
    </w:p>
    <w:p>
      <w:pPr>
        <w:spacing w:after="0" w:line="162" w:lineRule="exact"/>
        <w:rPr>
          <w:sz w:val="20"/>
          <w:szCs w:val="20"/>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0"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only have “key person” insurance on Michael Richman, our President and Chief Executive Officer, and on Dr. Lieping Chen, our scientific founder, in his role as consultant to us. The loss of the services of Mr. Richman, Dr. Chen or one or more of our other executive officers could impede the achievement of our research, development and commercialization objectives.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work with Dr. Chen on discovering novel immunomedicines through his consulting agreement and our SRA with Yale. If we are no longer able to leverage our relationships with Dr. Chen and Yale, our ability to discover additional targets for immunomedicines may be impeded, which may adversely impact the achievement of our objectives.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In addition, numerous compounds are in clinical development for cancer treatment. In addition, numerous compounds are in clinical development for cancer treatment. Many of these companies are well-capitalized and have significant clinical experience.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we had 44 full-time employees, including 35 employees engaged in research and development. As our development plans and strategies develop, and as we transition into operating as a public company, we expect to need additional managerial, operational, marketing, sales, financial and other personnel. Future growth would impose significant added responsibilities on members of management, including:</w:t>
      </w:r>
    </w:p>
    <w:p>
      <w:pPr>
        <w:spacing w:after="0" w:line="180" w:lineRule="exact"/>
        <w:rPr>
          <w:sz w:val="20"/>
          <w:szCs w:val="20"/>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NC318, NC410 and any future product candidates we develop, while complying with our contractual obligations to contractors and other third parties; and</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NC318, NC410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and any future product candidates we develop and, accordingly, may not achieve our research, development and commercialization goals.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marketing, sales and distribution capabilities for NC318, NC410 or any other product candidate that may receive regulatory approval, we may not be successful in commercializing those product candidates if and when they are approved.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NC318, NC410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980" w:hanging="329"/>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4" w:lineRule="exact"/>
        <w:rPr>
          <w:sz w:val="20"/>
          <w:szCs w:val="20"/>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we may develop;</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March 31, 2019, we had federal and state net operating loss carryforwards of $43.5 million and $43.0 million, respectively. The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sell your shares at or above a recently reported market price, or at 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IPO, there was no public market for shares of our common stock. Although our common stock is listed on the Nasdaq Global Select Market, or Nasdaq, an active, liquid trading market for our shares may not be sustained. In the absence of an active trading market for our common stock, you may not be able to sell your common stock at or above a recently reported market price or at the time that you would like to sell.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a recently reported price, or at all. The market price for our common stock may be influenced by many factors, including:</w:t>
      </w:r>
    </w:p>
    <w:p>
      <w:pPr>
        <w:spacing w:after="0" w:line="180" w:lineRule="exact"/>
        <w:rPr>
          <w:sz w:val="20"/>
          <w:szCs w:val="20"/>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or future clinical trials, or changes in the development status of our product candidates;</w:t>
      </w:r>
    </w:p>
    <w:p>
      <w:pPr>
        <w:spacing w:after="0" w:line="161"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target markets;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or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applicable to our product candidates, including but not limited to clinical trial requirements for approvals;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or publications of research reports about us or our industry;</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annual or quarterly financial results or those of companies that are perceived by investors to be similar to us;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directors, officers or their affiliated funds or our other stockholders;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As a newly public company, we have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 As of May 13, 2019, we had outstanding a total of 22,714,765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pre-IPO stockholders are subject to lock-up agreements that will expire on November 5, 2019, subject to earlier release of all or a portion of the shares subject to such agreements by Morgan Stanley &amp; Co. LLC, Merrill Lynch, Pierce, Fenner &amp; Smith Incorporated and Piper Jaffray &amp; Co. in their joint discretion, on behalf of the underwriters in our IPO. After the lock-up agreements expire, substantially all of the shares of common stock outstanding prior to our IPO will be eligible for sale in the public market, subject to the applicable volume, manner of sale and other limitations imposed under the federal securities laws.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registered on Registration Statements on Form S-8 5,167,502 shares of common stock that are either subject to outstanding options or reserved for future issuance under our existing equity incentive plans as of May 13, 2019, and as a result these shares will become eligible for sale in the public market to the extent permitted by the provisions of various vesting schedules and the lock-up agreements. If these additional shares of common stock are sold, or if it is perceived that they will be sold, in the public market, the market price of our common stock could decline.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holders of 15,560,569 shares, or approximately 68.5%, of our common stock outstanding as of May 13, 2019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exercise significant influence over our company, which limits your ability to influence corporate matters and could delay or prevent a change in corporate control.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88" w:lineRule="exact"/>
        <w:rPr>
          <w:sz w:val="20"/>
          <w:szCs w:val="20"/>
          <w:color w:val="auto"/>
        </w:rPr>
      </w:pPr>
    </w:p>
    <w:p>
      <w:pPr>
        <w:ind w:left="980" w:hanging="329"/>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earliest of (i) December 31, 2024, (ii) the last day of the first fiscal year in which we have total annual gross revenues of at least $1.07 billion, (iii) the last day of the first fiscal year in which the market value of our common stock that is held by non-affiliates exceeds $700.0 million on June 30th and</w:t>
      </w:r>
    </w:p>
    <w:p>
      <w:pPr>
        <w:spacing w:after="0" w:line="7" w:lineRule="exact"/>
        <w:rPr>
          <w:sz w:val="20"/>
          <w:szCs w:val="20"/>
          <w:color w:val="auto"/>
        </w:rPr>
      </w:pPr>
    </w:p>
    <w:p>
      <w:pPr>
        <w:jc w:val="both"/>
        <w:ind w:firstLine="3"/>
        <w:spacing w:after="0" w:line="254" w:lineRule="auto"/>
        <w:tabs>
          <w:tab w:leader="none" w:pos="3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will be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 other effective control systems required of public companies, could also restrict our future access to the capital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expect to continue to incur significant legal, accounting, investor relations and other expenses that we did not incur as a private company, which we anticipate could be between $2.0 million and $3.0 million annually.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officers and employees,</w:t>
      </w:r>
    </w:p>
    <w:p>
      <w:pPr>
        <w:spacing w:after="0" w:line="3" w:lineRule="exact"/>
        <w:rPr>
          <w:sz w:val="20"/>
          <w:szCs w:val="20"/>
          <w:color w:val="auto"/>
        </w:rPr>
      </w:pPr>
    </w:p>
    <w:p>
      <w:pPr>
        <w:jc w:val="both"/>
        <w:ind w:firstLine="3"/>
        <w:spacing w:after="0" w:line="252" w:lineRule="auto"/>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actions arising under the Securities Act or the Exchange Act. These choice of forum provisions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the IPO. The net offering proceeds to us were approximately $77.0 million after deducting underwriting discounts and commissions of $6.0 million and offering expenses of approximately $3.2 million. No offering expenses were paid directly or indirectly to any of our directors or officers (or their associates) or persons owning ten percent or more of any class of our equity securities or to any other affiliates. We had not received any of the net proceeds as of March 31, 2019 and therefore, had not used any of the net proceeds as of that date. There has been no material change in the planned use of proceeds from our IPO from those disclosed in the Prospectus.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on the Exhibit Index,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77"/>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80" w:type="dxa"/>
            <w:vAlign w:val="bottom"/>
          </w:tcPr>
          <w:p>
            <w:pPr>
              <w:spacing w:after="0"/>
              <w:rPr>
                <w:sz w:val="24"/>
                <w:szCs w:val="24"/>
                <w:color w:val="auto"/>
              </w:rPr>
            </w:pPr>
          </w:p>
        </w:tc>
        <w:tc>
          <w:tcPr>
            <w:tcW w:w="7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and Restated Certificate of Incorporation (incorporated by reference to Exhibit 3.1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Registrant’s Current Report on 8-K filed with the Commission on May 13, 2019 (File No. 001-38905)).</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and Restated Bylaws (incorporated by reference to Exhibit 3.2 filed with Registrant’s Current</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Report on 8-K filed with the Commission on May 13, 2019 (File No. 001-38905)).</w:t>
              </w:r>
            </w:hyperlink>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Sublease Agreement, dated as of March 15, 2019, by and between the Company</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and Lupin, Inc. (incorporated by reference to Exhibit 10.4 filed with Registrant’s Registration Statement</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on Form S-1 filed with the Commission on April 12, 2019 (File No. 333-230837)).</w:t>
              </w:r>
            </w:hyperlink>
          </w:p>
        </w:tc>
        <w:tc>
          <w:tcPr>
            <w:tcW w:w="1620" w:type="dxa"/>
            <w:vAlign w:val="bottom"/>
            <w:gridSpan w:val="3"/>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Lease  Agreement,  dated  as  of  January  30,  2019,  by  and  between  the  Company  and  ARE-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8000/9000/10000  Virginia  Manor,  LLC.  (incorporated  by  reference  to  Exhibit  10.14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Registrant’s Registration Statement on Form S-1 filed with the Commission on April 12, 2019 (File No.</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333-230837)).</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Indemnification Agreement by and between the Company and each of its directors and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executive officers (incorporated by reference to Exhibit 10.5 filed with Registrant’s Registration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Statement on Form S-1 filed with the Commission on April 12, 2019 (File No. 333-230837)).</w:t>
              </w:r>
            </w:hyperlink>
          </w:p>
        </w:tc>
        <w:tc>
          <w:tcPr>
            <w:tcW w:w="860" w:type="dxa"/>
            <w:vAlign w:val="bottom"/>
            <w:gridSpan w:val="2"/>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NextCure, Inc. 2019 Omnibus Incentive Plan (incorporated by reference to Exhibit 10.8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Registrant’s Registration Statement on Form S-1/A filed with the Commission on April 29, 2019 (File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No. 333-230837)).</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Forms of Stock Option Agreement under the NextCure, Inc. 2019 Omnibus Incentive Plan (incorporated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by reference to Exhibit 10.9 filed with Registrant’s Registration Statement on Form S-1/A filed with the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Commission on April 29, 2019 (File No. 333-230837)).</w:t>
              </w:r>
            </w:hyperlink>
          </w:p>
        </w:tc>
        <w:tc>
          <w:tcPr>
            <w:tcW w:w="3580" w:type="dxa"/>
            <w:vAlign w:val="bottom"/>
            <w:gridSpan w:val="7"/>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Restricted  Stock  Agreement  under  the  NextCure,  Inc.  2019  Omnibus  Incentive  Plan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(incorporated by reference to Exhibit 10.10 filed with Registrant’s Registration Statement on Form S-1/A</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filed with the Commission on April 29, 2019 (File No. 333-230837)).</w:t>
              </w:r>
            </w:hyperlink>
          </w:p>
        </w:tc>
        <w:tc>
          <w:tcPr>
            <w:tcW w:w="2580" w:type="dxa"/>
            <w:vAlign w:val="bottom"/>
            <w:gridSpan w:val="6"/>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Restricted Stock Unit Agreement under the NextCure, Inc. 2019 Omnibus Incentive Plan</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(incorporated by reference to Exhibit 10.11 filed with Registrant’s Registration Statement on Form S-1/A</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filed with the Commission on April 29, 2019 (File No. 333-230837)).</w:t>
              </w:r>
            </w:hyperlink>
          </w:p>
        </w:tc>
        <w:tc>
          <w:tcPr>
            <w:tcW w:w="2580" w:type="dxa"/>
            <w:vAlign w:val="bottom"/>
            <w:gridSpan w:val="6"/>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NextCure, Inc. 2019 Employee Stock Purchase Plan (incorporated by reference to Exhibit 10.12 filed</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with Registrant’s Registration Statement on Form S-1/A filed with the Commission on April 29, 2019</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(File No. 333-230837)).</w:t>
              </w:r>
            </w:hyperlink>
          </w:p>
        </w:tc>
        <w:tc>
          <w:tcPr>
            <w:tcW w:w="5860" w:type="dxa"/>
            <w:vAlign w:val="bottom"/>
            <w:gridSpan w:val="8"/>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Non-Employee Director Compensation Program (incorporated by reference to Exhibit 10.13 filed with</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Registrant’s Registration Statement on Form S-1/A filed with the Commission on April 29, 2019 (File</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No. 333-230837)).</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Certification of Michael Richman pursuant to Rule 13a-14(a) under the Securities Exchange Act of 1934</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as adopted pursuant to Section 302 of the Sarbanes-Oxley Act of 2002.</w:t>
              </w:r>
            </w:hyperlink>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7"/>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Certification of Steven P. Cobourn pursuant to Rule 13a-14(a) under the Securities Exchange Act of 1934</w:t>
              </w:r>
            </w:hyperlink>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gridSpan w:val="12"/>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as adopted pursuant to Section 302 of the Sarbanes-Oxley Act of 2002.</w:t>
              </w:r>
            </w:hyperlink>
          </w:p>
        </w:tc>
      </w:tr>
      <w:tr>
        <w:trPr>
          <w:trHeight w:val="885"/>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Borders>
              <w:top w:val="single" w:sz="8" w:color="0000EE"/>
            </w:tcBorders>
            <w:gridSpan w:val="5"/>
          </w:tcPr>
          <w:p>
            <w:pPr>
              <w:ind w:left="2980"/>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1"/>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1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7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7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Certification of Michael Richman and Steven P. Cobourn pursuant to 18 U.S.C. Section 1350 as adopted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pursuant to Section 906 of the Sarbanes-Oxley Act of 2002.</w:t>
              </w:r>
            </w:hyperlink>
          </w:p>
        </w:tc>
        <w:tc>
          <w:tcPr>
            <w:tcW w:w="3200" w:type="dxa"/>
            <w:vAlign w:val="bottom"/>
          </w:tcPr>
          <w:p>
            <w:pPr>
              <w:spacing w:after="0"/>
              <w:rPr>
                <w:sz w:val="17"/>
                <w:szCs w:val="17"/>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EX-101.INS</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EX-101.SCH</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EX-101.CAL</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EX-101.DEF</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EX-101.LAB</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EX-101.PRE</w:t>
            </w:r>
          </w:p>
        </w:tc>
        <w:tc>
          <w:tcPr>
            <w:tcW w:w="18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1" w:lineRule="exact"/>
        <w:rPr>
          <w:sz w:val="20"/>
          <w:szCs w:val="20"/>
          <w:color w:val="auto"/>
        </w:rPr>
      </w:pPr>
    </w:p>
    <w:p>
      <w:pPr>
        <w:ind w:left="760" w:hanging="757"/>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ind w:left="740" w:hanging="737"/>
        <w:spacing w:after="0"/>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compliance with Item 601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1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36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2019</w:t>
            </w:r>
          </w:p>
        </w:tc>
        <w:tc>
          <w:tcPr>
            <w:tcW w:w="2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Richman</w:t>
            </w:r>
          </w:p>
        </w:tc>
      </w:tr>
      <w:tr>
        <w:trPr>
          <w:trHeight w:val="178"/>
        </w:trPr>
        <w:tc>
          <w:tcPr>
            <w:tcW w:w="2940" w:type="dxa"/>
            <w:vAlign w:val="bottom"/>
          </w:tcPr>
          <w:p>
            <w:pPr>
              <w:spacing w:after="0"/>
              <w:rPr>
                <w:sz w:val="15"/>
                <w:szCs w:val="15"/>
                <w:color w:val="auto"/>
              </w:rPr>
            </w:pPr>
          </w:p>
        </w:tc>
        <w:tc>
          <w:tcPr>
            <w:tcW w:w="2280" w:type="dxa"/>
            <w:vAlign w:val="bottom"/>
          </w:tcPr>
          <w:p>
            <w:pPr>
              <w:ind w:left="164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Michael Richman</w:t>
            </w:r>
          </w:p>
        </w:tc>
      </w:tr>
      <w:tr>
        <w:trPr>
          <w:trHeight w:val="234"/>
        </w:trPr>
        <w:tc>
          <w:tcPr>
            <w:tcW w:w="2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2019</w:t>
            </w:r>
          </w:p>
        </w:tc>
        <w:tc>
          <w:tcPr>
            <w:tcW w:w="2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P. Cobourn</w:t>
            </w:r>
          </w:p>
        </w:tc>
      </w:tr>
      <w:tr>
        <w:trPr>
          <w:trHeight w:val="178"/>
        </w:trPr>
        <w:tc>
          <w:tcPr>
            <w:tcW w:w="2940" w:type="dxa"/>
            <w:vAlign w:val="bottom"/>
          </w:tcPr>
          <w:p>
            <w:pPr>
              <w:spacing w:after="0"/>
              <w:rPr>
                <w:sz w:val="15"/>
                <w:szCs w:val="15"/>
                <w:color w:val="auto"/>
              </w:rPr>
            </w:pPr>
          </w:p>
        </w:tc>
        <w:tc>
          <w:tcPr>
            <w:tcW w:w="2280" w:type="dxa"/>
            <w:vAlign w:val="bottom"/>
          </w:tcPr>
          <w:p>
            <w:pPr>
              <w:ind w:left="164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Steven P. Cobourn</w:t>
            </w:r>
          </w:p>
        </w:tc>
      </w:tr>
      <w:tr>
        <w:trPr>
          <w:trHeight w:val="234"/>
        </w:trPr>
        <w:tc>
          <w:tcPr>
            <w:tcW w:w="2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51"/>
        </w:trPr>
        <w:tc>
          <w:tcPr>
            <w:tcW w:w="2940" w:type="dxa"/>
            <w:vAlign w:val="bottom"/>
          </w:tcPr>
          <w:p>
            <w:pPr>
              <w:spacing w:after="0"/>
              <w:rPr>
                <w:sz w:val="24"/>
                <w:szCs w:val="24"/>
                <w:color w:val="auto"/>
              </w:rPr>
            </w:pPr>
          </w:p>
        </w:tc>
        <w:tc>
          <w:tcPr>
            <w:tcW w:w="22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73</w:t>
            </w:r>
          </w:p>
        </w:tc>
        <w:tc>
          <w:tcPr>
            <w:tcW w:w="3840" w:type="dxa"/>
            <w:vAlign w:val="bottom"/>
          </w:tcPr>
          <w:p>
            <w:pPr>
              <w:spacing w:after="0"/>
              <w:rPr>
                <w:sz w:val="24"/>
                <w:szCs w:val="24"/>
                <w:color w:val="auto"/>
              </w:rPr>
            </w:pPr>
          </w:p>
        </w:tc>
      </w:tr>
      <w:tr>
        <w:trPr>
          <w:trHeight w:val="561"/>
        </w:trPr>
        <w:tc>
          <w:tcPr>
            <w:tcW w:w="2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Richman, certify that:</w:t>
      </w:r>
    </w:p>
    <w:p>
      <w:pPr>
        <w:spacing w:after="0" w:line="225" w:lineRule="exact"/>
        <w:rPr>
          <w:sz w:val="20"/>
          <w:szCs w:val="20"/>
          <w:color w:val="auto"/>
        </w:rPr>
      </w:pPr>
    </w:p>
    <w:p>
      <w:pPr>
        <w:ind w:left="640" w:hanging="317"/>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40" w:right="360" w:hanging="317"/>
        <w:spacing w:after="0" w:line="266" w:lineRule="auto"/>
        <w:tabs>
          <w:tab w:leader="none" w:pos="6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80" w:hanging="317"/>
        <w:spacing w:after="0" w:line="266" w:lineRule="auto"/>
        <w:tabs>
          <w:tab w:leader="none" w:pos="6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180" w:hanging="317"/>
        <w:spacing w:after="0" w:line="282" w:lineRule="auto"/>
        <w:tabs>
          <w:tab w:leader="none" w:pos="6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40" w:hanging="8"/>
        <w:spacing w:after="0" w:line="266" w:lineRule="auto"/>
        <w:tabs>
          <w:tab w:leader="none" w:pos="132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40" w:hanging="317"/>
        <w:spacing w:after="0" w:line="266" w:lineRule="auto"/>
        <w:tabs>
          <w:tab w:leader="none" w:pos="6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80" w:right="20" w:hanging="8"/>
        <w:spacing w:after="0" w:line="266" w:lineRule="auto"/>
        <w:tabs>
          <w:tab w:leader="none" w:pos="130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80" w:right="400" w:hanging="8"/>
        <w:spacing w:after="0" w:line="282" w:lineRule="auto"/>
        <w:tabs>
          <w:tab w:leader="none" w:pos="131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Richman</w:t>
            </w:r>
          </w:p>
        </w:tc>
        <w:tc>
          <w:tcPr>
            <w:tcW w:w="50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020" w:type="dxa"/>
            <w:vAlign w:val="bottom"/>
          </w:tcPr>
          <w:p>
            <w:pPr>
              <w:spacing w:after="0"/>
              <w:rPr>
                <w:sz w:val="20"/>
                <w:szCs w:val="20"/>
                <w:color w:val="auto"/>
              </w:rPr>
            </w:pPr>
          </w:p>
        </w:tc>
      </w:tr>
      <w:tr>
        <w:trPr>
          <w:trHeight w:val="777"/>
        </w:trPr>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Cobourn, certify that:</w:t>
      </w:r>
    </w:p>
    <w:p>
      <w:pPr>
        <w:spacing w:after="0" w:line="225" w:lineRule="exact"/>
        <w:rPr>
          <w:sz w:val="20"/>
          <w:szCs w:val="20"/>
          <w:color w:val="auto"/>
        </w:rPr>
      </w:pPr>
    </w:p>
    <w:p>
      <w:pPr>
        <w:ind w:left="640" w:hanging="317"/>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40" w:right="360" w:hanging="317"/>
        <w:spacing w:after="0" w:line="266" w:lineRule="auto"/>
        <w:tabs>
          <w:tab w:leader="none" w:pos="6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80" w:hanging="317"/>
        <w:spacing w:after="0" w:line="266" w:lineRule="auto"/>
        <w:tabs>
          <w:tab w:leader="none" w:pos="6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180" w:hanging="317"/>
        <w:spacing w:after="0" w:line="282" w:lineRule="auto"/>
        <w:tabs>
          <w:tab w:leader="none" w:pos="6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40" w:hanging="8"/>
        <w:spacing w:after="0" w:line="266" w:lineRule="auto"/>
        <w:tabs>
          <w:tab w:leader="none" w:pos="13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80" w:right="120" w:hanging="8"/>
        <w:spacing w:after="0" w:line="266" w:lineRule="auto"/>
        <w:tabs>
          <w:tab w:leader="none" w:pos="13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40" w:hanging="317"/>
        <w:spacing w:after="0" w:line="266" w:lineRule="auto"/>
        <w:tabs>
          <w:tab w:leader="none" w:pos="6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80" w:right="20" w:hanging="8"/>
        <w:spacing w:after="0" w:line="266" w:lineRule="auto"/>
        <w:tabs>
          <w:tab w:leader="none" w:pos="130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80" w:right="400" w:hanging="8"/>
        <w:spacing w:after="0" w:line="282" w:lineRule="auto"/>
        <w:tabs>
          <w:tab w:leader="none" w:pos="13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NextCure, Inc. (the “Company”) for the quarter ended March 31, 2019,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0" w:lineRule="exact"/>
        <w:rPr>
          <w:sz w:val="20"/>
          <w:szCs w:val="20"/>
          <w:color w:val="auto"/>
        </w:rPr>
      </w:pPr>
    </w:p>
    <w:p>
      <w:pPr>
        <w:ind w:left="1000" w:hanging="35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720" w:hanging="332"/>
        <w:spacing w:after="0" w:line="282" w:lineRule="auto"/>
        <w:tabs>
          <w:tab w:leader="none" w:pos="10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2019</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7"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tab/>
        <w:t>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2019</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7"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lowerRoman"/>
      <w:start w:val="4"/>
    </w:lvl>
  </w:abstractNum>
  <w:abstractNum w:abstractNumId="46">
    <w:nsid w:val="579478FE"/>
    <w:multiLevelType w:val="hybridMultilevel"/>
    <w:lvl w:ilvl="0">
      <w:lvlJc w:val="left"/>
      <w:lvlText w:val="(%1)"/>
      <w:numFmt w:val="lowerRoman"/>
      <w:start w:val="3"/>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91" Type="http://schemas.openxmlformats.org/officeDocument/2006/relationships/hyperlink" Target="http://www.sec.gov/Archives/edgar/data/1661059/000104746919003060/a2238817zex-3_1.htm" TargetMode="External"/><Relationship Id="rId92" Type="http://schemas.openxmlformats.org/officeDocument/2006/relationships/hyperlink" Target="http://www.sec.gov/Archives/edgar/data/1661059/000104746919003060/a2238817zex-3_2.htm" TargetMode="External"/><Relationship Id="rId93" Type="http://schemas.openxmlformats.org/officeDocument/2006/relationships/hyperlink" Target="http://www.sec.gov/Archives/edgar/data/1661059/000104746919002203/a2238441zex-10_4.htm" TargetMode="External"/><Relationship Id="rId94" Type="http://schemas.openxmlformats.org/officeDocument/2006/relationships/hyperlink" Target="http://www.sec.gov/Archives/edgar/data/1661059/000104746919002203/a2238441zex-10_14.htm" TargetMode="External"/><Relationship Id="rId95" Type="http://schemas.openxmlformats.org/officeDocument/2006/relationships/hyperlink" Target="http://www.sec.gov/Archives/edgar/data/1661059/000104746919002203/a2238441zex-10_5.htm" TargetMode="External"/><Relationship Id="rId96" Type="http://schemas.openxmlformats.org/officeDocument/2006/relationships/hyperlink" Target="http://www.sec.gov/Archives/edgar/data/1661059/000104746919002652/a2238596zex-10_8.htm" TargetMode="External"/><Relationship Id="rId97" Type="http://schemas.openxmlformats.org/officeDocument/2006/relationships/hyperlink" Target="http://www.sec.gov/Archives/edgar/data/1661059/000104746919002652/a2238596zex-10_9.htm" TargetMode="External"/><Relationship Id="rId98" Type="http://schemas.openxmlformats.org/officeDocument/2006/relationships/hyperlink" Target="http://www.sec.gov/Archives/edgar/data/1661059/000104746919002652/a2238596zex-10_10.htm" TargetMode="External"/><Relationship Id="rId99" Type="http://schemas.openxmlformats.org/officeDocument/2006/relationships/hyperlink" Target="http://www.sec.gov/Archives/edgar/data/1661059/000104746919002652/a2238596zex-10_11.htm" TargetMode="External"/><Relationship Id="rId100" Type="http://schemas.openxmlformats.org/officeDocument/2006/relationships/hyperlink" Target="http://www.sec.gov/Archives/edgar/data/1661059/000104746919002652/a2238596zex-10_12.htm" TargetMode="External"/><Relationship Id="rId101" Type="http://schemas.openxmlformats.org/officeDocument/2006/relationships/hyperlink" Target="http://www.sec.gov/Archives/edgar/data/1661059/000104746919002652/a2238596zex-10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2019-12-28T11:13:18Z</dcterms:created>
  <dcterms:modified xsi:type="dcterms:W3CDTF">2019-12-28T11:13:18Z</dcterms:modified>
</cp:coreProperties>
</file>