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nxtc-20230331x10q.htm"/>
        <w:bookmarkStart w:id="1" w:name="ksnxtc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spacing w:lineRule="atLeast" w:line="141" w:before="0" w:after="0"/>
        <w:ind w:left="0" w:right="0" w:hanging="0"/>
        <w:jc w:val="center"/>
        <w:rPr/>
      </w:pPr>
      <w:r>
        <w:rPr/>
        <w:t>​</w:t>
      </w:r>
    </w:p>
    <w:p>
      <w:pPr>
        <w:pStyle w:val="TextBody"/>
        <w:spacing w:before="0" w:after="0"/>
        <w:ind w:left="0" w:right="0" w:hanging="0"/>
        <w:jc w:val="center"/>
        <w:rPr/>
      </w:pPr>
      <w:bookmarkStart w:id="2" w:name="_3d92f4a2_e583_463d_a5af_d4fd0f7c8236"/>
      <w:bookmarkEnd w:id="2"/>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spacing w:before="0" w:after="8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spacing w:before="0" w:after="0"/>
        <w:ind w:left="0" w:right="0" w:hanging="0"/>
        <w:rPr>
          <w:rFonts w:ascii="Times New Roman;Times;serif" w:hAnsi="Times New Roman;Times;serif"/>
          <w:b/>
          <w:sz w:val="16"/>
        </w:rPr>
      </w:pPr>
      <w:r>
        <w:rPr>
          <w:rFonts w:ascii="Times New Roman;Times;serif" w:hAnsi="Times New Roman;Times;serif"/>
          <w:b/>
          <w:sz w:val="16"/>
        </w:rPr>
        <w:t>(Mark One)</w:t>
      </w:r>
    </w:p>
    <w:p>
      <w:pPr>
        <w:pStyle w:val="TextBody"/>
        <w:spacing w:before="0" w:after="0"/>
        <w:ind w:left="0" w:right="0" w:hanging="0"/>
        <w:rPr/>
      </w:pPr>
      <w:r>
        <w:rPr/>
        <w:t>​</w:t>
      </w:r>
    </w:p>
    <w:p>
      <w:pPr>
        <w:pStyle w:val="Normal"/>
        <w:spacing w:before="0" w:after="0"/>
        <w:rPr>
          <w:sz w:val="4"/>
          <w:szCs w:val="4"/>
        </w:rPr>
      </w:pPr>
      <w:r>
        <w:rPr>
          <w:sz w:val="4"/>
          <w:szCs w:val="4"/>
        </w:rPr>
      </w:r>
      <w:bookmarkStart w:id="3" w:name="Tc_4d_uWHJk-EqIxT4mtRCisQ_1_1"/>
      <w:bookmarkStart w:id="4" w:name="_dabe6e60_9f46_492a_8d8b_3c510b5e2982"/>
      <w:bookmarkStart w:id="5" w:name="Tc_4d_uWHJk-EqIxT4mtRCisQ_1_1"/>
      <w:bookmarkStart w:id="6" w:name="_dabe6e60_9f46_492a_8d8b_3c510b5e2982"/>
      <w:bookmarkEnd w:id="5"/>
      <w:bookmarkEnd w:id="6"/>
    </w:p>
    <w:tbl>
      <w:tblPr>
        <w:tblW w:w="9782" w:type="dxa"/>
        <w:jc w:val="left"/>
        <w:tblInd w:w="0" w:type="dxa"/>
        <w:tblCellMar>
          <w:top w:w="0" w:type="dxa"/>
          <w:left w:w="0" w:type="dxa"/>
          <w:bottom w:w="0" w:type="dxa"/>
          <w:right w:w="0" w:type="dxa"/>
        </w:tblCellMar>
      </w:tblPr>
      <w:tblGrid>
        <w:gridCol w:w="331"/>
        <w:gridCol w:w="945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945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lineRule="auto" w:line="304" w:before="0" w:after="0"/>
              <w:ind w:left="0" w:right="0" w:hanging="0"/>
              <w:jc w:val="center"/>
              <w:rPr/>
            </w:pPr>
            <w:r>
              <w:rPr/>
              <w:t>☒</w:t>
            </w:r>
          </w:p>
        </w:tc>
        <w:tc>
          <w:tcPr>
            <w:tcW w:w="9451" w:type="dxa"/>
            <w:tcBorders/>
            <w:shd w:fill="auto" w:val="clear"/>
            <w:vAlign w:val="center"/>
          </w:tcPr>
          <w:p>
            <w:pPr>
              <w:pStyle w:val="TableContents"/>
              <w:spacing w:lineRule="auto" w:line="304" w:before="0" w:after="0"/>
              <w:ind w:left="0" w:right="0" w:hanging="0"/>
              <w:rPr>
                <w:rFonts w:ascii="Times New Roman;Times;serif" w:hAnsi="Times New Roman;Times;serif"/>
                <w:b/>
                <w:caps/>
                <w:sz w:val="18"/>
              </w:rPr>
            </w:pPr>
            <w:r>
              <w:rPr>
                <w:rFonts w:ascii="Times New Roman;Times;serif" w:hAnsi="Times New Roman;Times;serif"/>
                <w:b/>
                <w:caps/>
                <w:sz w:val="18"/>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March 31, 2023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7" w:name="Tc_vbm1phhNBUGDuEFuEcW0Iw_1_1"/>
      <w:bookmarkStart w:id="8" w:name="_708522db_da3f_43a6_bb4b_30ee113e556c"/>
      <w:bookmarkStart w:id="9" w:name="Tc_vbm1phhNBUGDuEFuEcW0Iw_1_1"/>
      <w:bookmarkStart w:id="10" w:name="_708522db_da3f_43a6_bb4b_30ee113e556c"/>
      <w:bookmarkEnd w:id="9"/>
      <w:bookmarkEnd w:id="10"/>
    </w:p>
    <w:tbl>
      <w:tblPr>
        <w:tblW w:w="9782" w:type="dxa"/>
        <w:jc w:val="left"/>
        <w:tblInd w:w="0" w:type="dxa"/>
        <w:tblCellMar>
          <w:top w:w="0" w:type="dxa"/>
          <w:left w:w="0" w:type="dxa"/>
          <w:bottom w:w="0" w:type="dxa"/>
          <w:right w:w="0" w:type="dxa"/>
        </w:tblCellMar>
      </w:tblPr>
      <w:tblGrid>
        <w:gridCol w:w="331"/>
        <w:gridCol w:w="9451"/>
      </w:tblGrid>
      <w:tr>
        <w:trPr/>
        <w:tc>
          <w:tcPr>
            <w:tcW w:w="331" w:type="dxa"/>
            <w:tcBorders/>
            <w:shd w:fill="auto" w:val="clear"/>
            <w:vAlign w:val="center"/>
          </w:tcPr>
          <w:p>
            <w:pPr>
              <w:pStyle w:val="TableContents"/>
              <w:spacing w:before="0" w:after="283"/>
              <w:ind w:left="0" w:right="0" w:hanging="0"/>
              <w:rPr>
                <w:sz w:val="4"/>
                <w:szCs w:val="4"/>
              </w:rPr>
            </w:pPr>
            <w:r>
              <w:rPr>
                <w:sz w:val="4"/>
                <w:szCs w:val="4"/>
              </w:rPr>
            </w:r>
          </w:p>
        </w:tc>
        <w:tc>
          <w:tcPr>
            <w:tcW w:w="9451" w:type="dxa"/>
            <w:tcBorders/>
            <w:shd w:fill="auto" w:val="clear"/>
            <w:vAlign w:val="center"/>
          </w:tcPr>
          <w:p>
            <w:pPr>
              <w:pStyle w:val="TableContents"/>
              <w:spacing w:before="0" w:after="283"/>
              <w:ind w:left="0" w:right="0" w:hanging="0"/>
              <w:rPr>
                <w:sz w:val="4"/>
                <w:szCs w:val="4"/>
              </w:rPr>
            </w:pPr>
            <w:r>
              <w:rPr>
                <w:sz w:val="4"/>
                <w:szCs w:val="4"/>
              </w:rPr>
            </w:r>
          </w:p>
        </w:tc>
      </w:tr>
      <w:tr>
        <w:trPr/>
        <w:tc>
          <w:tcPr>
            <w:tcW w:w="331" w:type="dxa"/>
            <w:tcBorders/>
            <w:shd w:fill="auto" w:val="clear"/>
            <w:vAlign w:val="center"/>
          </w:tcPr>
          <w:p>
            <w:pPr>
              <w:pStyle w:val="TableContents"/>
              <w:spacing w:lineRule="auto" w:line="304" w:before="0" w:after="0"/>
              <w:ind w:left="0" w:right="0" w:hanging="0"/>
              <w:jc w:val="center"/>
              <w:rPr/>
            </w:pPr>
            <w:r>
              <w:rPr/>
              <w:t>☐</w:t>
            </w:r>
          </w:p>
        </w:tc>
        <w:tc>
          <w:tcPr>
            <w:tcW w:w="9451" w:type="dxa"/>
            <w:tcBorders/>
            <w:shd w:fill="auto" w:val="clear"/>
            <w:vAlign w:val="center"/>
          </w:tcPr>
          <w:p>
            <w:pPr>
              <w:pStyle w:val="TableContents"/>
              <w:spacing w:lineRule="auto" w:line="304" w:before="0" w:after="0"/>
              <w:ind w:left="0" w:right="0" w:hanging="0"/>
              <w:rPr>
                <w:rFonts w:ascii="Times New Roman;Times;serif" w:hAnsi="Times New Roman;Times;serif"/>
                <w:b/>
                <w:caps/>
                <w:sz w:val="18"/>
              </w:rPr>
            </w:pPr>
            <w:r>
              <w:rPr>
                <w:rFonts w:ascii="Times New Roman;Times;serif" w:hAnsi="Times New Roman;Times;serif"/>
                <w:b/>
                <w:caps/>
                <w:sz w:val="18"/>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spacing w:before="0" w:after="0"/>
        <w:ind w:left="0" w:right="0" w:hanging="0"/>
        <w:jc w:val="center"/>
        <w:rPr/>
      </w:pPr>
      <w:r>
        <w:rPr/>
        <w:t>​</w:t>
      </w:r>
    </w:p>
    <w:p>
      <w:pPr>
        <w:pStyle w:val="TextBody"/>
        <w:spacing w:before="0" w:after="80"/>
        <w:ind w:left="0" w:right="0" w:hanging="0"/>
        <w:jc w:val="center"/>
        <w:rPr>
          <w:rFonts w:ascii="Times New Roman;Times;serif" w:hAnsi="Times New Roman;Times;serif"/>
          <w:b/>
          <w:sz w:val="16"/>
        </w:rPr>
      </w:pPr>
      <w:r>
        <w:rPr>
          <w:rFonts w:ascii="Times New Roman;Times;serif" w:hAnsi="Times New Roman;Times;serif"/>
          <w:b/>
          <w:sz w:val="16"/>
        </w:rPr>
        <w:t>Commission File Number: 001-38905</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NextCure, Inc.</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Normal"/>
        <w:spacing w:before="0" w:after="0"/>
        <w:rPr>
          <w:sz w:val="4"/>
          <w:szCs w:val="4"/>
        </w:rPr>
      </w:pPr>
      <w:r>
        <w:rPr>
          <w:sz w:val="4"/>
          <w:szCs w:val="4"/>
        </w:rPr>
      </w:r>
      <w:bookmarkStart w:id="11" w:name="Tc_yh3NeswDXU2e6MpjuIjAHg_4_1"/>
      <w:bookmarkStart w:id="12" w:name="Tc_fRi5UUpUvUGkxEK8YGqzmQ_4_0"/>
      <w:bookmarkStart w:id="13" w:name="Tc_T_v4ACeZwUC2jG8W4_tLwQ_3_0"/>
      <w:bookmarkStart w:id="14" w:name="Tc_kd_JF1775EyDYGqiBg7rQA_1_1"/>
      <w:bookmarkStart w:id="15" w:name="Tc_bqbe1z5BS0-2MNibgkJ7HQ_1_0"/>
      <w:bookmarkStart w:id="16" w:name="_3df319e9_60b0_45d2_848d_e09901aaa47c"/>
      <w:bookmarkStart w:id="17" w:name="Tc_yh3NeswDXU2e6MpjuIjAHg_4_1"/>
      <w:bookmarkStart w:id="18" w:name="Tc_fRi5UUpUvUGkxEK8YGqzmQ_4_0"/>
      <w:bookmarkStart w:id="19" w:name="Tc_T_v4ACeZwUC2jG8W4_tLwQ_3_0"/>
      <w:bookmarkStart w:id="20" w:name="Tc_kd_JF1775EyDYGqiBg7rQA_1_1"/>
      <w:bookmarkStart w:id="21" w:name="Tc_bqbe1z5BS0-2MNibgkJ7HQ_1_0"/>
      <w:bookmarkStart w:id="22" w:name="_3df319e9_60b0_45d2_848d_e09901aaa47c"/>
      <w:bookmarkEnd w:id="17"/>
      <w:bookmarkEnd w:id="18"/>
      <w:bookmarkEnd w:id="19"/>
      <w:bookmarkEnd w:id="20"/>
      <w:bookmarkEnd w:id="21"/>
      <w:bookmarkEnd w:id="22"/>
    </w:p>
    <w:tbl>
      <w:tblPr>
        <w:tblW w:w="6962" w:type="dxa"/>
        <w:jc w:val="left"/>
        <w:tblInd w:w="0" w:type="dxa"/>
        <w:tblCellMar>
          <w:top w:w="0" w:type="dxa"/>
          <w:left w:w="0" w:type="dxa"/>
          <w:bottom w:w="0" w:type="dxa"/>
          <w:right w:w="0" w:type="dxa"/>
        </w:tblCellMar>
      </w:tblPr>
      <w:tblGrid>
        <w:gridCol w:w="4291"/>
        <w:gridCol w:w="2671"/>
      </w:tblGrid>
      <w:tr>
        <w:trPr/>
        <w:tc>
          <w:tcPr>
            <w:tcW w:w="429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47-5231247</w:t>
            </w:r>
          </w:p>
        </w:tc>
      </w:tr>
      <w:tr>
        <w:trPr/>
        <w:tc>
          <w:tcPr>
            <w:tcW w:w="429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shd w:fill="auto" w:val="clear"/>
            <w:vAlign w:val="center"/>
          </w:tcPr>
          <w:p>
            <w:pPr>
              <w:pStyle w:val="TableContents"/>
              <w:spacing w:lineRule="auto" w:line="304" w:before="0" w:after="0"/>
              <w:ind w:left="0" w:right="0" w:hanging="0"/>
              <w:jc w:val="center"/>
              <w:rPr/>
            </w:pPr>
            <w:r>
              <w:rPr/>
              <w:t>​</w:t>
            </w:r>
          </w:p>
        </w:tc>
        <w:tc>
          <w:tcPr>
            <w:tcW w:w="2671" w:type="dxa"/>
            <w:tcBorders/>
            <w:shd w:fill="auto" w:val="clear"/>
            <w:vAlign w:val="center"/>
          </w:tcPr>
          <w:p>
            <w:pPr>
              <w:pStyle w:val="TableContents"/>
              <w:spacing w:lineRule="auto" w:line="304" w:before="0" w:after="0"/>
              <w:ind w:left="0" w:right="0" w:hanging="0"/>
              <w:jc w:val="center"/>
              <w:rPr/>
            </w:pPr>
            <w:r>
              <w:rPr/>
              <w:t>​</w:t>
            </w:r>
          </w:p>
        </w:tc>
      </w:tr>
      <w:tr>
        <w:trPr/>
        <w:tc>
          <w:tcPr>
            <w:tcW w:w="429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9000 Virginia Manor Road, Suite 200</w:t>
              <w:br/>
              <w:t>Beltsville, Maryland</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20705</w:t>
            </w:r>
          </w:p>
        </w:tc>
      </w:tr>
      <w:tr>
        <w:trPr/>
        <w:tc>
          <w:tcPr>
            <w:tcW w:w="429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2671" w:type="dxa"/>
            <w:tcBorders/>
            <w:shd w:fill="auto" w:val="clear"/>
            <w:vAlign w:val="center"/>
          </w:tcPr>
          <w:p>
            <w:pPr>
              <w:pStyle w:val="TableContents"/>
              <w:spacing w:lineRule="auto" w:line="304"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16"/>
        </w:rPr>
      </w:pPr>
      <w:r>
        <w:rPr>
          <w:rFonts w:ascii="Times New Roman;Times;serif" w:hAnsi="Times New Roman;Times;serif"/>
          <w:b/>
          <w:sz w:val="16"/>
        </w:rPr>
        <w:t>(240) 399-4900</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spacing w:before="0" w:after="8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spacing w:before="0" w:after="0"/>
        <w:ind w:left="0" w:right="0" w:firstLine="720"/>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spacing w:before="0" w:after="0"/>
        <w:ind w:left="0" w:right="0" w:firstLine="720"/>
        <w:rPr/>
      </w:pPr>
      <w:r>
        <w:rPr/>
        <w:t>​</w:t>
      </w:r>
    </w:p>
    <w:p>
      <w:pPr>
        <w:pStyle w:val="Normal"/>
        <w:spacing w:before="0" w:after="0"/>
        <w:rPr>
          <w:sz w:val="4"/>
          <w:szCs w:val="4"/>
        </w:rPr>
      </w:pPr>
      <w:r>
        <w:rPr>
          <w:sz w:val="4"/>
          <w:szCs w:val="4"/>
        </w:rPr>
      </w:r>
      <w:bookmarkStart w:id="23" w:name="Tc_ppTV56qJcUCpzOr-h0wCWg_0_2"/>
      <w:bookmarkStart w:id="24" w:name="Tc_Usph2bRulU6rmUOJIALehw_0_1"/>
      <w:bookmarkStart w:id="25" w:name="Tc_cVjUv7RfqU6aaxgYcGO9Yg_0_0"/>
      <w:bookmarkStart w:id="26" w:name="_31ccb22e_4cd5_449a_b3fe_0275418db443"/>
      <w:bookmarkStart w:id="27" w:name="Tc_ppTV56qJcUCpzOr-h0wCWg_0_2"/>
      <w:bookmarkStart w:id="28" w:name="Tc_Usph2bRulU6rmUOJIALehw_0_1"/>
      <w:bookmarkStart w:id="29" w:name="Tc_cVjUv7RfqU6aaxgYcGO9Yg_0_0"/>
      <w:bookmarkStart w:id="30" w:name="_31ccb22e_4cd5_449a_b3fe_0275418db443"/>
      <w:bookmarkEnd w:id="27"/>
      <w:bookmarkEnd w:id="28"/>
      <w:bookmarkEnd w:id="29"/>
      <w:bookmarkEnd w:id="30"/>
    </w:p>
    <w:tbl>
      <w:tblPr>
        <w:tblW w:w="7893" w:type="dxa"/>
        <w:jc w:val="left"/>
        <w:tblInd w:w="0" w:type="dxa"/>
        <w:tblCellMar>
          <w:top w:w="28" w:type="dxa"/>
          <w:left w:w="28" w:type="dxa"/>
          <w:bottom w:w="28" w:type="dxa"/>
          <w:right w:w="28" w:type="dxa"/>
        </w:tblCellMar>
      </w:tblPr>
      <w:tblGrid>
        <w:gridCol w:w="3196"/>
        <w:gridCol w:w="1426"/>
        <w:gridCol w:w="3271"/>
      </w:tblGrid>
      <w:tr>
        <w:trPr/>
        <w:tc>
          <w:tcPr>
            <w:tcW w:w="319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19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pBdr/>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$0.001 par value per share</w:t>
            </w:r>
          </w:p>
        </w:tc>
        <w:tc>
          <w:tcPr>
            <w:tcW w:w="142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NXTC</w:t>
            </w:r>
          </w:p>
        </w:tc>
        <w:tc>
          <w:tcPr>
            <w:tcW w:w="3271"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rPr/>
      </w:pPr>
      <w:r>
        <w:rPr/>
        <w:t>​</w:t>
      </w:r>
    </w:p>
    <w:tbl>
      <w:tblPr>
        <w:tblW w:w="4187" w:type="dxa"/>
        <w:jc w:val="left"/>
        <w:tblInd w:w="0" w:type="dxa"/>
        <w:tblCellMar>
          <w:top w:w="0" w:type="dxa"/>
          <w:left w:w="0" w:type="dxa"/>
          <w:bottom w:w="0" w:type="dxa"/>
          <w:right w:w="0" w:type="dxa"/>
        </w:tblCellMar>
      </w:tblPr>
      <w:tblGrid>
        <w:gridCol w:w="1876"/>
        <w:gridCol w:w="2311"/>
      </w:tblGrid>
      <w:tr>
        <w:trPr/>
        <w:tc>
          <w:tcPr>
            <w:tcW w:w="1876" w:type="dxa"/>
            <w:tcBorders/>
            <w:shd w:fill="auto" w:val="clear"/>
            <w:vAlign w:val="center"/>
          </w:tcPr>
          <w:p>
            <w:pPr>
              <w:pStyle w:val="TableContents"/>
              <w:spacing w:lineRule="auto" w:line="304" w:before="0" w:after="0"/>
              <w:ind w:left="0" w:right="0" w:hanging="0"/>
              <w:rPr>
                <w:rFonts w:ascii="Times New Roman;Times;serif" w:hAnsi="Times New Roman;Times;serif"/>
                <w:sz w:val="18"/>
              </w:rPr>
            </w:pPr>
            <w:r>
              <w:rPr>
                <w:rFonts w:ascii="Times New Roman;Times;serif" w:hAnsi="Times New Roman;Times;serif"/>
                <w:sz w:val="18"/>
              </w:rPr>
              <w:t>Large accelerated filer ☐</w:t>
            </w:r>
          </w:p>
        </w:tc>
        <w:tc>
          <w:tcPr>
            <w:tcW w:w="231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18"/>
              </w:rPr>
            </w:pPr>
            <w:r>
              <w:rPr>
                <w:rFonts w:ascii="Times New Roman;Times;serif" w:hAnsi="Times New Roman;Times;serif"/>
                <w:sz w:val="18"/>
              </w:rPr>
              <w:t>Accelerated filer ☐</w:t>
            </w:r>
          </w:p>
        </w:tc>
      </w:tr>
      <w:tr>
        <w:trPr/>
        <w:tc>
          <w:tcPr>
            <w:tcW w:w="187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18"/>
              </w:rPr>
              <w:t>Non-accelerated filer</w:t>
            </w:r>
            <w:r>
              <w:rPr>
                <w:rFonts w:ascii="Times New Roman;Times;serif" w:hAnsi="Times New Roman;Times;serif"/>
                <w:sz w:val="20"/>
              </w:rPr>
              <w:t xml:space="preserve"> ☒</w:t>
            </w:r>
          </w:p>
        </w:tc>
        <w:tc>
          <w:tcPr>
            <w:tcW w:w="231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18"/>
              </w:rPr>
              <w:t xml:space="preserve">Smaller reporting company </w:t>
            </w:r>
            <w:r>
              <w:rPr>
                <w:rFonts w:ascii="Times New Roman;Times;serif" w:hAnsi="Times New Roman;Times;serif"/>
                <w:sz w:val="20"/>
              </w:rPr>
              <w:t>☒</w:t>
            </w:r>
          </w:p>
        </w:tc>
      </w:tr>
      <w:tr>
        <w:trPr/>
        <w:tc>
          <w:tcPr>
            <w:tcW w:w="1876" w:type="dxa"/>
            <w:tcBorders/>
            <w:shd w:fill="auto" w:val="clear"/>
            <w:vAlign w:val="center"/>
          </w:tcPr>
          <w:p>
            <w:pPr>
              <w:pStyle w:val="TableContents"/>
              <w:spacing w:before="0" w:after="283"/>
              <w:ind w:left="0" w:right="0" w:hanging="0"/>
              <w:rPr>
                <w:sz w:val="4"/>
                <w:szCs w:val="4"/>
              </w:rPr>
            </w:pPr>
            <w:r>
              <w:rPr>
                <w:sz w:val="4"/>
                <w:szCs w:val="4"/>
              </w:rPr>
            </w:r>
          </w:p>
        </w:tc>
        <w:tc>
          <w:tcPr>
            <w:tcW w:w="2311"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18"/>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8"/>
        </w:rPr>
        <w:t>No </w:t>
      </w:r>
      <w:r>
        <w:rPr>
          <w:rFonts w:ascii="Times New Roman;Times;serif" w:hAnsi="Times New Roman;Times;serif"/>
          <w:sz w:val="20"/>
        </w:rPr>
        <w:t>☒</w:t>
      </w:r>
    </w:p>
    <w:p>
      <w:pPr>
        <w:pStyle w:val="TextBody"/>
        <w:spacing w:before="0" w:after="0"/>
        <w:ind w:left="0" w:right="0" w:firstLine="720"/>
        <w:rPr/>
      </w:pPr>
      <w:r>
        <w:rPr/>
        <w:t>​</w:t>
      </w:r>
    </w:p>
    <w:p>
      <w:pPr>
        <w:pStyle w:val="TextBody"/>
        <w:spacing w:before="0" w:after="0"/>
        <w:ind w:left="0" w:right="0" w:firstLine="720"/>
        <w:rPr>
          <w:rFonts w:ascii="Times New Roman;Times;serif" w:hAnsi="Times New Roman;Times;serif"/>
          <w:sz w:val="18"/>
        </w:rPr>
      </w:pPr>
      <w:r>
        <w:rPr>
          <w:rFonts w:ascii="Times New Roman;Times;serif" w:hAnsi="Times New Roman;Times;serif"/>
          <w:sz w:val="18"/>
        </w:rPr>
        <w:t>As of May 1, 2023, the registrant had 27,834,911 shares of common stock, par value $0.001 per share, issued and outstanding.</w:t>
      </w:r>
    </w:p>
    <w:p>
      <w:pPr>
        <w:pStyle w:val="TextBody"/>
        <w:spacing w:before="0" w:after="0"/>
        <w:ind w:left="0" w:right="0" w:firstLine="720"/>
        <w:rPr/>
      </w:pPr>
      <w:r>
        <w:rPr/>
        <w:t>​</w:t>
      </w:r>
    </w:p>
    <w:p>
      <w:pPr>
        <w:pStyle w:val="TextBody"/>
        <w:pBdr>
          <w:top w:val="single" w:sz="8" w:space="1" w:color="000000"/>
          <w:bottom w:val="single" w:sz="24" w:space="1" w:color="000000"/>
        </w:pBdr>
        <w:spacing w:lineRule="atLeast" w:line="141" w:before="0" w:after="0"/>
        <w:ind w:left="0" w:right="0" w:firstLine="72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1" w:name="TOC"/>
      <w:bookmarkStart w:id="32" w:name="_0ca2ab36_b85a_4586_b537_4c9952ace938"/>
      <w:bookmarkEnd w:id="31"/>
      <w:bookmarkEnd w:id="32"/>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Form 10-Q</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 Ended March 31, 2023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3"/>
        <w:gridCol w:w="8940"/>
        <w:gridCol w:w="512"/>
      </w:tblGrid>
      <w:tr>
        <w:trPr/>
        <w:tc>
          <w:tcPr>
            <w:tcW w:w="7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78155" cy="175260"/>
                      <wp:effectExtent l="0" t="0" r="0" b="0"/>
                      <wp:wrapNone/>
                      <wp:docPr id="1" name="Frame1"/>
                      <a:graphic xmlns:a="http://schemas.openxmlformats.org/drawingml/2006/main">
                        <a:graphicData uri="http://schemas.microsoft.com/office/word/2010/wordprocessingShape">
                          <wps:wsp>
                            <wps:cNvSpPr txBox="1"/>
                            <wps:spPr>
                              <a:xfrm>
                                <a:off x="0" y="0"/>
                                <a:ext cx="4781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676900" cy="175260"/>
                      <wp:effectExtent l="0" t="0" r="0" b="0"/>
                      <wp:wrapNone/>
                      <wp:docPr id="2" name="Frame2"/>
                      <a:graphic xmlns:a="http://schemas.openxmlformats.org/drawingml/2006/main">
                        <a:graphicData uri="http://schemas.microsoft.com/office/word/2010/wordprocessingShape">
                          <wps:wsp>
                            <wps:cNvSpPr txBox="1"/>
                            <wps:spPr>
                              <a:xfrm>
                                <a:off x="0" y="0"/>
                                <a:ext cx="5676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25120" cy="29210"/>
                      <wp:effectExtent l="0" t="0" r="0" b="0"/>
                      <wp:wrapNone/>
                      <wp:docPr id="3" name="Frame3"/>
                      <a:graphic xmlns:a="http://schemas.openxmlformats.org/drawingml/2006/main">
                        <a:graphicData uri="http://schemas.microsoft.com/office/word/2010/wordprocessingShape">
                          <wps:wsp>
                            <wps:cNvSpPr txBox="1"/>
                            <wps:spPr>
                              <a:xfrm>
                                <a:off x="0" y="0"/>
                                <a:ext cx="32512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6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753" w:type="dxa"/>
            <w:tcBorders/>
            <w:shd w:fill="auto" w:val="clear"/>
            <w:vAlign w:val="center"/>
          </w:tcPr>
          <w:p>
            <w:pPr>
              <w:pStyle w:val="TableContents"/>
              <w:spacing w:lineRule="auto" w:line="304" w:before="0" w:after="0"/>
              <w:ind w:left="0" w:right="0" w:hanging="0"/>
              <w:jc w:val="center"/>
              <w:rPr/>
            </w:pPr>
            <w:r>
              <w:rPr/>
              <w:t>​</w:t>
            </w:r>
          </w:p>
        </w:tc>
        <w:tc>
          <w:tcPr>
            <w:tcW w:w="8940" w:type="dxa"/>
            <w:tcBorders/>
            <w:shd w:fill="auto" w:val="clear"/>
            <w:vAlign w:val="center"/>
          </w:tcPr>
          <w:p>
            <w:pPr>
              <w:pStyle w:val="TableContents"/>
              <w:spacing w:lineRule="auto" w:line="304" w:before="0" w:after="0"/>
              <w:ind w:left="0" w:right="0" w:hanging="0"/>
              <w:jc w:val="center"/>
              <w:rPr/>
            </w:pPr>
            <w:r>
              <w:rPr/>
              <w:t>​</w:t>
            </w:r>
          </w:p>
        </w:tc>
        <w:tc>
          <w:tcPr>
            <w:tcW w:w="512" w:type="dxa"/>
            <w:tcBorders>
              <w:bottom w:val="single" w:sz="2" w:space="0" w:color="000000"/>
            </w:tcBorders>
            <w:shd w:fill="auto" w:val="clear"/>
            <w:tcMar>
              <w:bottom w:w="28" w:type="dxa"/>
            </w:tcMar>
            <w:vAlign w:val="center"/>
          </w:tcPr>
          <w:p>
            <w:pPr>
              <w:pStyle w:val="TableContents"/>
              <w:spacing w:lineRule="auto" w:line="304"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9693" w:type="dxa"/>
            <w:gridSpan w:val="2"/>
            <w:tcBorders/>
            <w:shd w:fill="auto" w:val="clear"/>
            <w:vAlign w:val="center"/>
          </w:tcPr>
          <w:p>
            <w:pPr>
              <w:pStyle w:val="TableContents"/>
              <w:pBdr/>
              <w:spacing w:lineRule="auto" w:line="304" w:before="0" w:after="0"/>
              <w:ind w:left="0" w:right="0" w:hanging="0"/>
              <w:rPr/>
            </w:pPr>
            <w:hyperlink w:anchor="Part1">
              <w:r>
                <w:rPr>
                  <w:rStyle w:val="InternetLink"/>
                  <w:rFonts w:ascii="Times New Roman;Times;serif" w:hAnsi="Times New Roman;Times;serif"/>
                  <w:b/>
                  <w:i w:val="false"/>
                  <w:caps w:val="false"/>
                  <w:smallCaps w:val="false"/>
                  <w:sz w:val="20"/>
                </w:rPr>
                <w:t>PART I. FINANCIAL INFORMATION</w:t>
              </w:r>
            </w:hyperlink>
          </w:p>
        </w:tc>
        <w:tc>
          <w:tcPr>
            <w:tcW w:w="512" w:type="dxa"/>
            <w:tcBorders/>
            <w:shd w:fill="auto" w:val="clear"/>
            <w:vAlign w:val="center"/>
          </w:tcPr>
          <w:p>
            <w:pPr>
              <w:pStyle w:val="TableContents"/>
              <w:spacing w:before="0" w:after="283"/>
              <w:ind w:left="0" w:right="0" w:hanging="0"/>
              <w:rPr>
                <w:sz w:val="4"/>
                <w:szCs w:val="4"/>
              </w:rPr>
            </w:pPr>
            <w:r>
              <w:rPr>
                <w:sz w:val="4"/>
                <w:szCs w:val="4"/>
              </w:rPr>
            </w:r>
          </w:p>
        </w:tc>
      </w:tr>
      <w:tr>
        <w:trPr/>
        <w:tc>
          <w:tcPr>
            <w:tcW w:w="753" w:type="dxa"/>
            <w:tcBorders/>
            <w:shd w:fill="auto" w:val="clear"/>
            <w:vAlign w:val="center"/>
          </w:tcPr>
          <w:p>
            <w:pPr>
              <w:pStyle w:val="TableContents"/>
              <w:pBdr/>
              <w:spacing w:lineRule="auto" w:line="304" w:before="0" w:after="0"/>
              <w:ind w:left="0" w:right="0" w:hanging="0"/>
              <w:rPr/>
            </w:pPr>
            <w:hyperlink w:anchor="Item1_FinancialStatements">
              <w:r>
                <w:rPr>
                  <w:rStyle w:val="InternetLink"/>
                  <w:rFonts w:ascii="Times New Roman;Times;serif" w:hAnsi="Times New Roman;Times;serif"/>
                  <w:b w:val="false"/>
                  <w:i w:val="false"/>
                  <w:caps w:val="false"/>
                  <w:smallCaps w:val="false"/>
                  <w:sz w:val="20"/>
                </w:rPr>
                <w:t>Item 1.</w:t>
              </w:r>
            </w:hyperlink>
          </w:p>
        </w:tc>
        <w:tc>
          <w:tcPr>
            <w:tcW w:w="8940" w:type="dxa"/>
            <w:tcBorders/>
            <w:shd w:fill="auto" w:val="clear"/>
            <w:vAlign w:val="center"/>
          </w:tcPr>
          <w:p>
            <w:pPr>
              <w:pStyle w:val="TableContents"/>
              <w:spacing w:lineRule="auto" w:line="304" w:before="0" w:after="0"/>
              <w:ind w:left="0" w:right="0" w:hanging="0"/>
              <w:rPr/>
            </w:pPr>
            <w:hyperlink w:anchor="Item1_FinancialStatements">
              <w:r>
                <w:rPr>
                  <w:rStyle w:val="InternetLink"/>
                  <w:rFonts w:ascii="Times New Roman;Times;serif" w:hAnsi="Times New Roman;Times;serif"/>
                  <w:b w:val="false"/>
                  <w:i w:val="false"/>
                  <w:caps w:val="false"/>
                  <w:smallCaps w:val="false"/>
                  <w:sz w:val="20"/>
                </w:rPr>
                <w:t>Financial Statements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53" w:type="dxa"/>
            <w:tcBorders/>
            <w:shd w:fill="auto" w:val="clear"/>
            <w:vAlign w:val="center"/>
          </w:tcPr>
          <w:p>
            <w:pPr>
              <w:pStyle w:val="TableContents"/>
              <w:pBdr/>
              <w:spacing w:lineRule="auto" w:line="304" w:before="0" w:after="0"/>
              <w:ind w:left="0" w:right="0" w:hanging="0"/>
              <w:rPr/>
            </w:pPr>
            <w:r>
              <w:rPr/>
              <w:t>​</w:t>
            </w:r>
          </w:p>
        </w:tc>
        <w:tc>
          <w:tcPr>
            <w:tcW w:w="8940" w:type="dxa"/>
            <w:tcBorders/>
            <w:shd w:fill="auto" w:val="clear"/>
            <w:vAlign w:val="center"/>
          </w:tcPr>
          <w:p>
            <w:pPr>
              <w:pStyle w:val="TableContents"/>
              <w:spacing w:lineRule="auto" w:line="304" w:before="0" w:after="0"/>
              <w:ind w:left="0" w:right="0" w:hanging="0"/>
              <w:rPr/>
            </w:pPr>
            <w:hyperlink w:anchor="CONDENSEDBALANCESHEETS_592220">
              <w:r>
                <w:rPr>
                  <w:rStyle w:val="InternetLink"/>
                  <w:rFonts w:ascii="Times New Roman;Times;serif" w:hAnsi="Times New Roman;Times;serif"/>
                  <w:b w:val="false"/>
                  <w:i w:val="false"/>
                  <w:caps w:val="false"/>
                  <w:smallCaps w:val="false"/>
                  <w:sz w:val="20"/>
                </w:rPr>
                <w:t>Condensed Balance Sheets as of March 31, 2023 (unaudited) and December 31, 2022</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753" w:type="dxa"/>
            <w:tcBorders/>
            <w:shd w:fill="auto" w:val="clear"/>
            <w:vAlign w:val="center"/>
          </w:tcPr>
          <w:p>
            <w:pPr>
              <w:pStyle w:val="TableContents"/>
              <w:spacing w:lineRule="auto" w:line="304" w:before="0" w:after="0"/>
              <w:ind w:left="0" w:right="0" w:hanging="0"/>
              <w:rPr/>
            </w:pPr>
            <w:r>
              <w:rPr/>
              <w:t>​</w:t>
            </w:r>
          </w:p>
        </w:tc>
        <w:tc>
          <w:tcPr>
            <w:tcW w:w="8940" w:type="dxa"/>
            <w:tcBorders/>
            <w:shd w:fill="auto" w:val="clear"/>
            <w:vAlign w:val="center"/>
          </w:tcPr>
          <w:p>
            <w:pPr>
              <w:pStyle w:val="TableContents"/>
              <w:spacing w:lineRule="auto" w:line="304" w:before="0" w:after="0"/>
              <w:ind w:left="0" w:right="0" w:hanging="0"/>
              <w:rPr/>
            </w:pPr>
            <w:hyperlink w:anchor="CONDENSEDSTATEMENTSOFOPERATIONSANDCOMPRE">
              <w:r>
                <w:rPr>
                  <w:rStyle w:val="InternetLink"/>
                  <w:rFonts w:ascii="Times New Roman;Times;serif" w:hAnsi="Times New Roman;Times;serif"/>
                  <w:b w:val="false"/>
                  <w:i w:val="false"/>
                  <w:caps w:val="false"/>
                  <w:smallCaps w:val="false"/>
                  <w:sz w:val="20"/>
                </w:rPr>
                <w:t>Unaudited Condensed Statements of Operations and Comprehensive Loss for the Three Months Ended March 31, 2023 and 2022</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53" w:type="dxa"/>
            <w:tcBorders/>
            <w:shd w:fill="auto" w:val="clear"/>
            <w:vAlign w:val="center"/>
          </w:tcPr>
          <w:p>
            <w:pPr>
              <w:pStyle w:val="TableContents"/>
              <w:spacing w:lineRule="auto" w:line="304" w:before="0" w:after="0"/>
              <w:ind w:left="0" w:right="0" w:hanging="0"/>
              <w:rPr/>
            </w:pPr>
            <w:r>
              <w:rPr/>
              <w:t>​</w:t>
            </w:r>
          </w:p>
        </w:tc>
        <w:tc>
          <w:tcPr>
            <w:tcW w:w="8940" w:type="dxa"/>
            <w:tcBorders/>
            <w:shd w:fill="auto" w:val="clear"/>
            <w:vAlign w:val="center"/>
          </w:tcPr>
          <w:p>
            <w:pPr>
              <w:pStyle w:val="TableContents"/>
              <w:spacing w:lineRule="auto" w:line="304" w:before="0" w:after="0"/>
              <w:ind w:left="0" w:right="0" w:hanging="0"/>
              <w:rPr/>
            </w:pPr>
            <w:hyperlink w:anchor="CONDENSEDSTATEMENTSOFPREFERREDSTOCKANDST">
              <w:r>
                <w:rPr>
                  <w:rStyle w:val="InternetLink"/>
                  <w:rFonts w:ascii="Times New Roman;Times;serif" w:hAnsi="Times New Roman;Times;serif"/>
                  <w:b w:val="false"/>
                  <w:i w:val="false"/>
                  <w:caps w:val="false"/>
                  <w:smallCaps w:val="false"/>
                  <w:sz w:val="20"/>
                </w:rPr>
                <w:t>Unaudited Condensed Statements of Stockholders’ Equity for the Three Months Ended March 31, 2023 and 2022</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3" w:type="dxa"/>
            <w:tcBorders/>
            <w:shd w:fill="auto" w:val="clear"/>
            <w:vAlign w:val="center"/>
          </w:tcPr>
          <w:p>
            <w:pPr>
              <w:pStyle w:val="TableContents"/>
              <w:spacing w:lineRule="auto" w:line="304" w:before="0" w:after="0"/>
              <w:ind w:left="0" w:right="0" w:hanging="0"/>
              <w:rPr/>
            </w:pPr>
            <w:r>
              <w:rPr/>
              <w:t>​</w:t>
            </w:r>
          </w:p>
        </w:tc>
        <w:tc>
          <w:tcPr>
            <w:tcW w:w="8940" w:type="dxa"/>
            <w:tcBorders/>
            <w:shd w:fill="auto" w:val="clear"/>
            <w:vAlign w:val="center"/>
          </w:tcPr>
          <w:p>
            <w:pPr>
              <w:pStyle w:val="TableContents"/>
              <w:spacing w:lineRule="auto" w:line="304" w:before="0" w:after="0"/>
              <w:ind w:left="0" w:right="0" w:hanging="0"/>
              <w:rPr/>
            </w:pPr>
            <w:hyperlink w:anchor="CONDENSEDSTATEMENTSOFCASHFLOWS_178014">
              <w:r>
                <w:rPr>
                  <w:rStyle w:val="InternetLink"/>
                  <w:rFonts w:ascii="Times New Roman;Times;serif" w:hAnsi="Times New Roman;Times;serif"/>
                  <w:b w:val="false"/>
                  <w:i w:val="false"/>
                  <w:caps w:val="false"/>
                  <w:smallCaps w:val="false"/>
                  <w:sz w:val="20"/>
                </w:rPr>
                <w:t>Unaudited Condensed Statements of Cash Flows for the Three Months Ended March 31, 2023 and 2022</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3" w:type="dxa"/>
            <w:tcBorders/>
            <w:shd w:fill="auto" w:val="clear"/>
            <w:vAlign w:val="center"/>
          </w:tcPr>
          <w:p>
            <w:pPr>
              <w:pStyle w:val="TableContents"/>
              <w:spacing w:lineRule="auto" w:line="304" w:before="0" w:after="0"/>
              <w:ind w:left="0" w:right="0" w:hanging="0"/>
              <w:rPr/>
            </w:pPr>
            <w:r>
              <w:rPr/>
              <w:t>​</w:t>
            </w:r>
          </w:p>
        </w:tc>
        <w:tc>
          <w:tcPr>
            <w:tcW w:w="8940" w:type="dxa"/>
            <w:tcBorders/>
            <w:shd w:fill="auto" w:val="clear"/>
            <w:vAlign w:val="center"/>
          </w:tcPr>
          <w:p>
            <w:pPr>
              <w:pStyle w:val="TableContents"/>
              <w:spacing w:lineRule="auto" w:line="304" w:before="0" w:after="0"/>
              <w:ind w:left="0" w:right="0" w:hanging="0"/>
              <w:rPr/>
            </w:pPr>
            <w:hyperlink w:anchor="a1NatureoftheBusinessandBasisofPresentat">
              <w:r>
                <w:rPr>
                  <w:rStyle w:val="InternetLink"/>
                  <w:rFonts w:ascii="Times New Roman;Times;serif" w:hAnsi="Times New Roman;Times;serif"/>
                  <w:b w:val="false"/>
                  <w:i w:val="false"/>
                  <w:caps w:val="false"/>
                  <w:smallCaps w:val="false"/>
                  <w:sz w:val="20"/>
                </w:rPr>
                <w:t>Notes to Unaudited Condensed Financial Statements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3" w:type="dxa"/>
            <w:tcBorders/>
            <w:shd w:fill="auto" w:val="clear"/>
            <w:vAlign w:val="center"/>
          </w:tcPr>
          <w:p>
            <w:pPr>
              <w:pStyle w:val="TableContents"/>
              <w:spacing w:lineRule="auto" w:line="304"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940" w:type="dxa"/>
            <w:tcBorders/>
            <w:shd w:fill="auto" w:val="clear"/>
            <w:vAlign w:val="center"/>
          </w:tcPr>
          <w:p>
            <w:pPr>
              <w:pStyle w:val="TableContents"/>
              <w:spacing w:lineRule="auto" w:line="304"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753" w:type="dxa"/>
            <w:tcBorders/>
            <w:shd w:fill="auto" w:val="clear"/>
            <w:vAlign w:val="center"/>
          </w:tcPr>
          <w:p>
            <w:pPr>
              <w:pStyle w:val="TableContents"/>
              <w:spacing w:lineRule="auto" w:line="304"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940" w:type="dxa"/>
            <w:tcBorders/>
            <w:shd w:fill="auto" w:val="clear"/>
            <w:vAlign w:val="center"/>
          </w:tcPr>
          <w:p>
            <w:pPr>
              <w:pStyle w:val="TableContents"/>
              <w:spacing w:lineRule="auto" w:line="304"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53" w:type="dxa"/>
            <w:tcBorders/>
            <w:shd w:fill="auto" w:val="clear"/>
            <w:vAlign w:val="center"/>
          </w:tcPr>
          <w:p>
            <w:pPr>
              <w:pStyle w:val="TableContents"/>
              <w:spacing w:lineRule="auto" w:line="304" w:before="0" w:after="0"/>
              <w:ind w:left="0" w:right="0" w:hanging="0"/>
              <w:rPr/>
            </w:pPr>
            <w:hyperlink w:anchor="Item4ControlsandProcedures_238918">
              <w:r>
                <w:rPr>
                  <w:rStyle w:val="InternetLink"/>
                  <w:rFonts w:ascii="Times New Roman;Times;serif" w:hAnsi="Times New Roman;Times;serif"/>
                  <w:b w:val="false"/>
                  <w:i w:val="false"/>
                  <w:caps w:val="false"/>
                  <w:smallCaps w:val="false"/>
                  <w:sz w:val="20"/>
                </w:rPr>
                <w:t>Item 4.</w:t>
              </w:r>
            </w:hyperlink>
          </w:p>
        </w:tc>
        <w:tc>
          <w:tcPr>
            <w:tcW w:w="8940" w:type="dxa"/>
            <w:tcBorders/>
            <w:shd w:fill="auto" w:val="clear"/>
            <w:vAlign w:val="center"/>
          </w:tcPr>
          <w:p>
            <w:pPr>
              <w:pStyle w:val="TableContents"/>
              <w:spacing w:lineRule="auto" w:line="304" w:before="0" w:after="0"/>
              <w:ind w:left="0" w:right="0" w:hanging="0"/>
              <w:rPr/>
            </w:pPr>
            <w:hyperlink w:anchor="Item4ControlsandProcedures_238918">
              <w:r>
                <w:rPr>
                  <w:rStyle w:val="InternetLink"/>
                  <w:rFonts w:ascii="Times New Roman;Times;serif" w:hAnsi="Times New Roman;Times;serif"/>
                  <w:b w:val="false"/>
                  <w:i w:val="false"/>
                  <w:caps w:val="false"/>
                  <w:smallCaps w:val="false"/>
                  <w:sz w:val="20"/>
                </w:rPr>
                <w:t>Controls and Procedures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9693" w:type="dxa"/>
            <w:gridSpan w:val="2"/>
            <w:tcBorders/>
            <w:shd w:fill="auto" w:val="clear"/>
            <w:vAlign w:val="center"/>
          </w:tcPr>
          <w:p>
            <w:pPr>
              <w:pStyle w:val="TableContents"/>
              <w:spacing w:lineRule="auto" w:line="304" w:before="0" w:after="0"/>
              <w:ind w:left="0" w:right="0" w:hanging="0"/>
              <w:rPr/>
            </w:pPr>
            <w:hyperlink w:anchor="PARTIIOTHERINFORMATION_389335">
              <w:r>
                <w:rPr>
                  <w:rStyle w:val="InternetLink"/>
                  <w:rFonts w:ascii="Times New Roman;Times;serif" w:hAnsi="Times New Roman;Times;serif"/>
                  <w:b/>
                  <w:i w:val="false"/>
                  <w:caps w:val="false"/>
                  <w:smallCaps w:val="false"/>
                  <w:sz w:val="20"/>
                </w:rPr>
                <w:t>Part II. OTHER INFORMATION</w:t>
              </w:r>
            </w:hyperlink>
          </w:p>
        </w:tc>
        <w:tc>
          <w:tcPr>
            <w:tcW w:w="512" w:type="dxa"/>
            <w:tcBorders/>
            <w:shd w:fill="auto" w:val="clear"/>
            <w:vAlign w:val="center"/>
          </w:tcPr>
          <w:p>
            <w:pPr>
              <w:pStyle w:val="TableContents"/>
              <w:spacing w:before="0" w:after="283"/>
              <w:ind w:left="0" w:right="0" w:hanging="0"/>
              <w:rPr>
                <w:sz w:val="4"/>
                <w:szCs w:val="4"/>
              </w:rPr>
            </w:pPr>
            <w:r>
              <w:rPr>
                <w:sz w:val="4"/>
                <w:szCs w:val="4"/>
              </w:rPr>
            </w:r>
          </w:p>
        </w:tc>
      </w:tr>
      <w:tr>
        <w:trPr/>
        <w:tc>
          <w:tcPr>
            <w:tcW w:w="753" w:type="dxa"/>
            <w:tcBorders/>
            <w:shd w:fill="auto" w:val="clear"/>
            <w:vAlign w:val="center"/>
          </w:tcPr>
          <w:p>
            <w:pPr>
              <w:pStyle w:val="TableContents"/>
              <w:spacing w:lineRule="auto" w:line="304" w:before="0" w:after="0"/>
              <w:ind w:left="0" w:right="0" w:hanging="0"/>
              <w:rPr/>
            </w:pPr>
            <w:hyperlink w:anchor="Item1LegalProceedings_501881">
              <w:r>
                <w:rPr>
                  <w:rStyle w:val="InternetLink"/>
                  <w:rFonts w:ascii="Times New Roman;Times;serif" w:hAnsi="Times New Roman;Times;serif"/>
                  <w:b w:val="false"/>
                  <w:i w:val="false"/>
                  <w:caps w:val="false"/>
                  <w:smallCaps w:val="false"/>
                  <w:sz w:val="20"/>
                </w:rPr>
                <w:t>Item 1.</w:t>
              </w:r>
            </w:hyperlink>
          </w:p>
        </w:tc>
        <w:tc>
          <w:tcPr>
            <w:tcW w:w="8940" w:type="dxa"/>
            <w:tcBorders/>
            <w:shd w:fill="auto" w:val="clear"/>
            <w:vAlign w:val="center"/>
          </w:tcPr>
          <w:p>
            <w:pPr>
              <w:pStyle w:val="TableContents"/>
              <w:spacing w:lineRule="auto" w:line="304" w:before="0" w:after="0"/>
              <w:ind w:left="0" w:right="0" w:hanging="0"/>
              <w:rPr/>
            </w:pPr>
            <w:hyperlink w:anchor="Item1LegalProceedings_501881">
              <w:r>
                <w:rPr>
                  <w:rStyle w:val="InternetLink"/>
                  <w:rFonts w:ascii="Times New Roman;Times;serif" w:hAnsi="Times New Roman;Times;serif"/>
                  <w:b w:val="false"/>
                  <w:i w:val="false"/>
                  <w:caps w:val="false"/>
                  <w:smallCaps w:val="false"/>
                  <w:sz w:val="20"/>
                </w:rPr>
                <w:t>Legal Proceedings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1ARiskFactors_504818">
              <w:r>
                <w:rPr>
                  <w:rStyle w:val="InternetLink"/>
                  <w:rFonts w:ascii="Times New Roman;Times;serif" w:hAnsi="Times New Roman;Times;serif"/>
                  <w:b w:val="false"/>
                  <w:i w:val="false"/>
                  <w:caps w:val="false"/>
                  <w:smallCaps w:val="false"/>
                  <w:sz w:val="20"/>
                </w:rPr>
                <w:t>Item 1A.</w:t>
              </w:r>
            </w:hyperlink>
          </w:p>
        </w:tc>
        <w:tc>
          <w:tcPr>
            <w:tcW w:w="8940" w:type="dxa"/>
            <w:tcBorders/>
            <w:shd w:fill="auto" w:val="clear"/>
            <w:vAlign w:val="center"/>
          </w:tcPr>
          <w:p>
            <w:pPr>
              <w:pStyle w:val="TableContents"/>
              <w:spacing w:lineRule="auto" w:line="304" w:before="0" w:after="0"/>
              <w:ind w:left="0" w:right="0" w:hanging="0"/>
              <w:rPr/>
            </w:pPr>
            <w:hyperlink w:anchor="Item1ARiskFactors_504818">
              <w:r>
                <w:rPr>
                  <w:rStyle w:val="InternetLink"/>
                  <w:rFonts w:ascii="Times New Roman;Times;serif" w:hAnsi="Times New Roman;Times;serif"/>
                  <w:b w:val="false"/>
                  <w:i w:val="false"/>
                  <w:caps w:val="false"/>
                  <w:smallCaps w:val="false"/>
                  <w:sz w:val="20"/>
                </w:rPr>
                <w:t>Risk Factors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r>
              <w:rPr>
                <w:rFonts w:ascii="Times New Roman;Times;serif" w:hAnsi="Times New Roman;Times;serif"/>
                <w:sz w:val="20"/>
              </w:rPr>
              <w:t xml:space="preserve"> </w:t>
            </w:r>
          </w:p>
        </w:tc>
        <w:tc>
          <w:tcPr>
            <w:tcW w:w="8940" w:type="dxa"/>
            <w:tcBorders/>
            <w:shd w:fill="auto" w:val="clear"/>
            <w:vAlign w:val="center"/>
          </w:tcPr>
          <w:p>
            <w:pPr>
              <w:pStyle w:val="TableContents"/>
              <w:spacing w:lineRule="auto" w:line="304"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r>
              <w:rPr>
                <w:rFonts w:ascii="Times New Roman;Times;serif" w:hAnsi="Times New Roman;Times;serif"/>
                <w:sz w:val="20"/>
              </w:rPr>
              <w:t xml:space="preserve"> </w:t>
            </w:r>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3DefaultsUponSeniorSecurities_191585">
              <w:r>
                <w:rPr>
                  <w:rStyle w:val="InternetLink"/>
                  <w:rFonts w:ascii="Times New Roman;Times;serif" w:hAnsi="Times New Roman;Times;serif"/>
                  <w:b w:val="false"/>
                  <w:i w:val="false"/>
                  <w:caps w:val="false"/>
                  <w:smallCaps w:val="false"/>
                  <w:sz w:val="20"/>
                </w:rPr>
                <w:t>Item 3.</w:t>
              </w:r>
            </w:hyperlink>
          </w:p>
        </w:tc>
        <w:tc>
          <w:tcPr>
            <w:tcW w:w="8940" w:type="dxa"/>
            <w:tcBorders/>
            <w:shd w:fill="auto" w:val="clear"/>
            <w:vAlign w:val="center"/>
          </w:tcPr>
          <w:p>
            <w:pPr>
              <w:pStyle w:val="TableContents"/>
              <w:spacing w:lineRule="auto" w:line="304" w:before="0" w:after="0"/>
              <w:ind w:left="0" w:right="0" w:hanging="0"/>
              <w:rPr/>
            </w:pPr>
            <w:hyperlink w:anchor="Item3DefaultsUponSeniorSecurities_191585">
              <w:r>
                <w:rPr>
                  <w:rStyle w:val="InternetLink"/>
                  <w:rFonts w:ascii="Times New Roman;Times;serif" w:hAnsi="Times New Roman;Times;serif"/>
                  <w:b w:val="false"/>
                  <w:i w:val="false"/>
                  <w:caps w:val="false"/>
                  <w:smallCaps w:val="false"/>
                  <w:sz w:val="20"/>
                </w:rPr>
                <w:t>Defaults Upon Senior Securities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4MineSafetyDisclosures_21766">
              <w:r>
                <w:rPr>
                  <w:rStyle w:val="InternetLink"/>
                  <w:rFonts w:ascii="Times New Roman;Times;serif" w:hAnsi="Times New Roman;Times;serif"/>
                  <w:b w:val="false"/>
                  <w:i w:val="false"/>
                  <w:caps w:val="false"/>
                  <w:smallCaps w:val="false"/>
                  <w:sz w:val="20"/>
                </w:rPr>
                <w:t>Item 4.</w:t>
              </w:r>
            </w:hyperlink>
          </w:p>
        </w:tc>
        <w:tc>
          <w:tcPr>
            <w:tcW w:w="8940" w:type="dxa"/>
            <w:tcBorders/>
            <w:shd w:fill="auto" w:val="clear"/>
            <w:vAlign w:val="center"/>
          </w:tcPr>
          <w:p>
            <w:pPr>
              <w:pStyle w:val="TableContents"/>
              <w:spacing w:lineRule="auto" w:line="304" w:before="0" w:after="0"/>
              <w:ind w:left="0" w:right="0" w:hanging="0"/>
              <w:rPr/>
            </w:pPr>
            <w:hyperlink w:anchor="Item4MineSafetyDisclosures_21766">
              <w:r>
                <w:rPr>
                  <w:rStyle w:val="InternetLink"/>
                  <w:rFonts w:ascii="Times New Roman;Times;serif" w:hAnsi="Times New Roman;Times;serif"/>
                  <w:b w:val="false"/>
                  <w:i w:val="false"/>
                  <w:caps w:val="false"/>
                  <w:smallCaps w:val="false"/>
                  <w:sz w:val="20"/>
                </w:rPr>
                <w:t>Mine Safety Disclosures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5OtherInformation_899953">
              <w:r>
                <w:rPr>
                  <w:rStyle w:val="InternetLink"/>
                  <w:rFonts w:ascii="Times New Roman;Times;serif" w:hAnsi="Times New Roman;Times;serif"/>
                  <w:b w:val="false"/>
                  <w:i w:val="false"/>
                  <w:caps w:val="false"/>
                  <w:smallCaps w:val="false"/>
                  <w:sz w:val="20"/>
                </w:rPr>
                <w:t>Item 5.</w:t>
              </w:r>
            </w:hyperlink>
          </w:p>
        </w:tc>
        <w:tc>
          <w:tcPr>
            <w:tcW w:w="8940" w:type="dxa"/>
            <w:tcBorders/>
            <w:shd w:fill="auto" w:val="clear"/>
            <w:vAlign w:val="center"/>
          </w:tcPr>
          <w:p>
            <w:pPr>
              <w:pStyle w:val="TableContents"/>
              <w:spacing w:lineRule="auto" w:line="304" w:before="0" w:after="0"/>
              <w:ind w:left="0" w:right="0" w:hanging="0"/>
              <w:rPr/>
            </w:pPr>
            <w:hyperlink w:anchor="Item5OtherInformation_899953">
              <w:r>
                <w:rPr>
                  <w:rStyle w:val="InternetLink"/>
                  <w:rFonts w:ascii="Times New Roman;Times;serif" w:hAnsi="Times New Roman;Times;serif"/>
                  <w:b w:val="false"/>
                  <w:i w:val="false"/>
                  <w:caps w:val="false"/>
                  <w:smallCaps w:val="false"/>
                  <w:sz w:val="20"/>
                </w:rPr>
                <w:t>Other Information</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753" w:type="dxa"/>
            <w:tcBorders/>
            <w:shd w:fill="auto" w:val="clear"/>
            <w:vAlign w:val="center"/>
          </w:tcPr>
          <w:p>
            <w:pPr>
              <w:pStyle w:val="TableContents"/>
              <w:spacing w:lineRule="auto" w:line="304" w:before="0" w:after="0"/>
              <w:ind w:left="0" w:right="0" w:hanging="0"/>
              <w:rPr/>
            </w:pPr>
            <w:hyperlink w:anchor="Item6Exhibits_48299">
              <w:r>
                <w:rPr>
                  <w:rStyle w:val="InternetLink"/>
                  <w:rFonts w:ascii="Times New Roman;Times;serif" w:hAnsi="Times New Roman;Times;serif"/>
                  <w:b w:val="false"/>
                  <w:i w:val="false"/>
                  <w:caps w:val="false"/>
                  <w:smallCaps w:val="false"/>
                  <w:sz w:val="20"/>
                </w:rPr>
                <w:t>Item 6.</w:t>
              </w:r>
            </w:hyperlink>
          </w:p>
        </w:tc>
        <w:tc>
          <w:tcPr>
            <w:tcW w:w="8940" w:type="dxa"/>
            <w:tcBorders/>
            <w:shd w:fill="auto" w:val="clear"/>
            <w:vAlign w:val="center"/>
          </w:tcPr>
          <w:p>
            <w:pPr>
              <w:pStyle w:val="TableContents"/>
              <w:spacing w:lineRule="auto" w:line="304" w:before="0" w:after="0"/>
              <w:ind w:left="0" w:right="0" w:hanging="0"/>
              <w:rPr/>
            </w:pPr>
            <w:hyperlink w:anchor="Item6Exhibits_48299">
              <w:r>
                <w:rPr>
                  <w:rStyle w:val="InternetLink"/>
                  <w:rFonts w:ascii="Times New Roman;Times;serif" w:hAnsi="Times New Roman;Times;serif"/>
                  <w:b w:val="false"/>
                  <w:i w:val="false"/>
                  <w:caps w:val="false"/>
                  <w:smallCaps w:val="false"/>
                  <w:sz w:val="20"/>
                </w:rPr>
                <w:t>Exhibits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693" w:type="dxa"/>
            <w:gridSpan w:val="2"/>
            <w:tcBorders/>
            <w:shd w:fill="auto" w:val="clear"/>
            <w:vAlign w:val="center"/>
          </w:tcPr>
          <w:p>
            <w:pPr>
              <w:pStyle w:val="TableContents"/>
              <w:spacing w:lineRule="auto" w:line="304" w:before="0" w:after="0"/>
              <w:ind w:left="0" w:right="0" w:hanging="0"/>
              <w:rPr/>
            </w:pPr>
            <w:hyperlink w:anchor="SIGNATURES_917919">
              <w:r>
                <w:rPr>
                  <w:rStyle w:val="InternetLink"/>
                  <w:rFonts w:ascii="Times New Roman;Times;serif" w:hAnsi="Times New Roman;Times;serif"/>
                  <w:b w:val="false"/>
                  <w:i w:val="false"/>
                  <w:caps w:val="false"/>
                  <w:smallCaps w:val="false"/>
                  <w:sz w:val="20"/>
                </w:rPr>
                <w:t>SIGNATURES</w:t>
              </w:r>
            </w:hyperlink>
          </w:p>
        </w:tc>
        <w:tc>
          <w:tcPr>
            <w:tcW w:w="512" w:type="dxa"/>
            <w:tcBorders/>
            <w:shd w:fill="auto" w:val="clear"/>
            <w:vAlign w:val="center"/>
          </w:tcPr>
          <w:p>
            <w:pPr>
              <w:pStyle w:val="TableContents"/>
              <w:spacing w:lineRule="auto" w:line="304" w:before="0" w:after="0"/>
              <w:ind w:left="0" w:right="0" w:hanging="0"/>
              <w:jc w:val="right"/>
              <w:rPr>
                <w:rFonts w:ascii="Times New Roman;Times;serif" w:hAnsi="Times New Roman;Times;serif"/>
                <w:sz w:val="20"/>
              </w:rPr>
            </w:pPr>
            <w:r>
              <w:rPr>
                <w:rFonts w:ascii="Times New Roman;Times;serif" w:hAnsi="Times New Roman;Times;serif"/>
                <w:sz w:val="20"/>
              </w:rPr>
              <w:t>24</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33" w:name="Part1"/>
      <w:bookmarkStart w:id="34" w:name="REPORTOFINDEPENDENTREGISTEREDPUBLICACCOU"/>
      <w:bookmarkStart w:id="35" w:name="_cae93fec_e4f2_4e3e_99c1_6159746afcf5"/>
      <w:bookmarkEnd w:id="33"/>
      <w:bookmarkEnd w:id="34"/>
      <w:bookmarkEnd w:id="35"/>
      <w:r>
        <w:rPr>
          <w:rFonts w:ascii="Times New Roman;Times;serif" w:hAnsi="Times New Roman;Times;serif"/>
          <w:b/>
          <w:sz w:val="20"/>
        </w:rPr>
        <w:t>PART I. FINANCIAL INFORMATION</w:t>
      </w:r>
    </w:p>
    <w:p>
      <w:pPr>
        <w:pStyle w:val="TextBody"/>
        <w:spacing w:before="0" w:after="240"/>
        <w:ind w:left="0" w:right="0" w:hanging="0"/>
        <w:rPr>
          <w:rFonts w:ascii="Times New Roman;Times;serif" w:hAnsi="Times New Roman;Times;serif"/>
          <w:b/>
          <w:sz w:val="20"/>
        </w:rPr>
      </w:pPr>
      <w:bookmarkStart w:id="36" w:name="Item1_FinancialStatements"/>
      <w:bookmarkEnd w:id="36"/>
      <w:r>
        <w:rPr>
          <w:rFonts w:ascii="Times New Roman;Times;serif" w:hAnsi="Times New Roman;Times;serif"/>
          <w:b/>
          <w:sz w:val="20"/>
        </w:rPr>
        <w:t>Item 1. Financial Statements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bookmarkStart w:id="37" w:name="CONDENSEDBALANCESHEETS_592220"/>
      <w:bookmarkEnd w:id="37"/>
      <w:r>
        <w:rPr>
          <w:rFonts w:ascii="Times New Roman;Times;serif" w:hAnsi="Times New Roman;Times;serif"/>
          <w:b/>
          <w:sz w:val="20"/>
        </w:rPr>
        <w:t>CONDENSED BALANCE SHEETS</w:t>
      </w:r>
    </w:p>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 in thousands, except share and per share amounts)</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38" w:name="Tc_ouHL_5bL1UCEqfS-hdUzfw_28_5"/>
      <w:bookmarkStart w:id="39" w:name="Tc_c4KeF4a_OU2FY8nABOOAfw_28_2"/>
      <w:bookmarkStart w:id="40" w:name="Tc_TqeRAx1ilUutA10HxAX5MA_28_0"/>
      <w:bookmarkStart w:id="41" w:name="Tc_jhcoBlEHB0i0rrh84y5vQQ_27_0"/>
      <w:bookmarkStart w:id="42" w:name="Tc_nYurWBQtfUqFo9Mf963YUw_26_0"/>
      <w:bookmarkStart w:id="43" w:name="Tc__JWA0Tq_c0W9GSf1HIxN6A_25_0"/>
      <w:bookmarkStart w:id="44" w:name="Tc_kGEDeekjpkmseT7UmP-f1A_24_0"/>
      <w:bookmarkStart w:id="45" w:name="Tc_3mjwliS_hkqGUXyGe_lqpQ_23_0"/>
      <w:bookmarkStart w:id="46" w:name="_4d726368_3366_46f9_841a_7d1ac639a1f9_3"/>
      <w:bookmarkStart w:id="47" w:name="_4d726368_3366_46f9_841a_7d1ac639a1f9_2"/>
      <w:bookmarkStart w:id="48" w:name="_4d726368_3366_46f9_841a_7d1ac639a1f9"/>
      <w:bookmarkStart w:id="49" w:name="Tc_JYhlqENoREaLkrLHC_EkXw_22_0"/>
      <w:bookmarkStart w:id="50" w:name="Tc_wqHeSu0b0UG1bhzXc51Nlw_21_0"/>
      <w:bookmarkStart w:id="51" w:name="Tc_92g9t5HYbUOpu4DO8hKN7A_20_0"/>
      <w:bookmarkStart w:id="52" w:name="Tc_5SPu_fgz0kS5XH4H86Kkzg_19_0"/>
      <w:bookmarkStart w:id="53" w:name="Tc_ydwsZNGgZEeqo5cxKKQjGg_18_0"/>
      <w:bookmarkStart w:id="54" w:name="Tc_x9kMeOAIRUaHavp-WU9yZw_17_0"/>
      <w:bookmarkStart w:id="55" w:name="Tc_xiKSOz3e-Um7SRlsmfKHFg_16_0"/>
      <w:bookmarkStart w:id="56" w:name="Tc_iqA8686XIUy8ihZ760RKAg_15_5"/>
      <w:bookmarkStart w:id="57" w:name="Tc_I4ZpL7tvrU6bAz0h6ZRzTA_15_2"/>
      <w:bookmarkStart w:id="58" w:name="Tc_vYGMRhviCkiiYBuZjkNvvw_15_0"/>
      <w:bookmarkStart w:id="59" w:name="Tc_zGn1yJ55YUK0HalppsN5VA_14_0"/>
      <w:bookmarkStart w:id="60" w:name="Tc_kEUz98lV6UKZvKzZH6IRRg_13_0"/>
      <w:bookmarkStart w:id="61" w:name="Tc_Q9Pkci3qjkCm8vMrx-ad7g_12_5"/>
      <w:bookmarkStart w:id="62" w:name="Tc_VXxfLKyM_kq78rC5kI-3og_12_2"/>
      <w:bookmarkStart w:id="63" w:name="Tc_rM0uA-n5ik-BChlMg5vXdg_12_0"/>
      <w:bookmarkStart w:id="64" w:name="Tc_zfa04JWRMkOx0pTLl-6ZjA_11_0"/>
      <w:bookmarkStart w:id="65" w:name="Tc_UF9ztlJUz0qNJ14OlXSnuQ_10_0"/>
      <w:bookmarkStart w:id="66" w:name="Tc_IZ66zvbfJkalQvj1KGrS2g_9_0"/>
      <w:bookmarkStart w:id="67" w:name="Tc_NBEB_bbfpUacClWKHbx-SQ_8_0"/>
      <w:bookmarkStart w:id="68" w:name="Tc_DoKG-_F48kqkbqyGOrfxNA_7_0"/>
      <w:bookmarkStart w:id="69" w:name="Tc_ldU-cYQW40SCdIy9f-LEEg_6_0"/>
      <w:bookmarkStart w:id="70" w:name="Tc_qdFAP5s2AUacsiXedkJAdg_5_5"/>
      <w:bookmarkStart w:id="71" w:name="Tc_Q_HsSH8C_UKAlOFdvfA9Ug_5_2"/>
      <w:bookmarkStart w:id="72" w:name="Tc_gOAKLkqV6ECBzzOGA5ZJcw_5_0"/>
      <w:bookmarkStart w:id="73" w:name="Tc_0GJIf6cZA0S_KivV4JozFA_4_0"/>
      <w:bookmarkStart w:id="74" w:name="Tc_mLBlE8cqrkyp3Qt3DX1ypw_3_0"/>
      <w:bookmarkStart w:id="75" w:name="Tc_PP-sGh90xEqBji5LjquGnQ_2_5"/>
      <w:bookmarkStart w:id="76" w:name="Tc_Td0BQNwLBUaZWiooeEImoQ_2_2"/>
      <w:bookmarkStart w:id="77" w:name="Tc_yCu1mBKRh0285piOQbZUnA_1_5"/>
      <w:bookmarkStart w:id="78" w:name="Tc_DoQNyHt1L0etgxTpUN2fhw_1_2"/>
      <w:bookmarkStart w:id="79" w:name="_13f5efca_f111_4d2f_89e5_2b0952f0e94d"/>
      <w:bookmarkStart w:id="80" w:name="Tc_ouHL_5bL1UCEqfS-hdUzfw_28_5"/>
      <w:bookmarkStart w:id="81" w:name="Tc_c4KeF4a_OU2FY8nABOOAfw_28_2"/>
      <w:bookmarkStart w:id="82" w:name="Tc_TqeRAx1ilUutA10HxAX5MA_28_0"/>
      <w:bookmarkStart w:id="83" w:name="Tc_jhcoBlEHB0i0rrh84y5vQQ_27_0"/>
      <w:bookmarkStart w:id="84" w:name="Tc_nYurWBQtfUqFo9Mf963YUw_26_0"/>
      <w:bookmarkStart w:id="85" w:name="Tc__JWA0Tq_c0W9GSf1HIxN6A_25_0"/>
      <w:bookmarkStart w:id="86" w:name="Tc_kGEDeekjpkmseT7UmP-f1A_24_0"/>
      <w:bookmarkStart w:id="87" w:name="Tc_3mjwliS_hkqGUXyGe_lqpQ_23_0"/>
      <w:bookmarkStart w:id="88" w:name="_4d726368_3366_46f9_841a_7d1ac639a1f9_3"/>
      <w:bookmarkStart w:id="89" w:name="_4d726368_3366_46f9_841a_7d1ac639a1f9_2"/>
      <w:bookmarkStart w:id="90" w:name="_4d726368_3366_46f9_841a_7d1ac639a1f9"/>
      <w:bookmarkStart w:id="91" w:name="Tc_JYhlqENoREaLkrLHC_EkXw_22_0"/>
      <w:bookmarkStart w:id="92" w:name="Tc_wqHeSu0b0UG1bhzXc51Nlw_21_0"/>
      <w:bookmarkStart w:id="93" w:name="Tc_92g9t5HYbUOpu4DO8hKN7A_20_0"/>
      <w:bookmarkStart w:id="94" w:name="Tc_5SPu_fgz0kS5XH4H86Kkzg_19_0"/>
      <w:bookmarkStart w:id="95" w:name="Tc_ydwsZNGgZEeqo5cxKKQjGg_18_0"/>
      <w:bookmarkStart w:id="96" w:name="Tc_x9kMeOAIRUaHavp-WU9yZw_17_0"/>
      <w:bookmarkStart w:id="97" w:name="Tc_xiKSOz3e-Um7SRlsmfKHFg_16_0"/>
      <w:bookmarkStart w:id="98" w:name="Tc_iqA8686XIUy8ihZ760RKAg_15_5"/>
      <w:bookmarkStart w:id="99" w:name="Tc_I4ZpL7tvrU6bAz0h6ZRzTA_15_2"/>
      <w:bookmarkStart w:id="100" w:name="Tc_vYGMRhviCkiiYBuZjkNvvw_15_0"/>
      <w:bookmarkStart w:id="101" w:name="Tc_zGn1yJ55YUK0HalppsN5VA_14_0"/>
      <w:bookmarkStart w:id="102" w:name="Tc_kEUz98lV6UKZvKzZH6IRRg_13_0"/>
      <w:bookmarkStart w:id="103" w:name="Tc_Q9Pkci3qjkCm8vMrx-ad7g_12_5"/>
      <w:bookmarkStart w:id="104" w:name="Tc_VXxfLKyM_kq78rC5kI-3og_12_2"/>
      <w:bookmarkStart w:id="105" w:name="Tc_rM0uA-n5ik-BChlMg5vXdg_12_0"/>
      <w:bookmarkStart w:id="106" w:name="Tc_zfa04JWRMkOx0pTLl-6ZjA_11_0"/>
      <w:bookmarkStart w:id="107" w:name="Tc_UF9ztlJUz0qNJ14OlXSnuQ_10_0"/>
      <w:bookmarkStart w:id="108" w:name="Tc_IZ66zvbfJkalQvj1KGrS2g_9_0"/>
      <w:bookmarkStart w:id="109" w:name="Tc_NBEB_bbfpUacClWKHbx-SQ_8_0"/>
      <w:bookmarkStart w:id="110" w:name="Tc_DoKG-_F48kqkbqyGOrfxNA_7_0"/>
      <w:bookmarkStart w:id="111" w:name="Tc_ldU-cYQW40SCdIy9f-LEEg_6_0"/>
      <w:bookmarkStart w:id="112" w:name="Tc_qdFAP5s2AUacsiXedkJAdg_5_5"/>
      <w:bookmarkStart w:id="113" w:name="Tc_Q_HsSH8C_UKAlOFdvfA9Ug_5_2"/>
      <w:bookmarkStart w:id="114" w:name="Tc_gOAKLkqV6ECBzzOGA5ZJcw_5_0"/>
      <w:bookmarkStart w:id="115" w:name="Tc_0GJIf6cZA0S_KivV4JozFA_4_0"/>
      <w:bookmarkStart w:id="116" w:name="Tc_mLBlE8cqrkyp3Qt3DX1ypw_3_0"/>
      <w:bookmarkStart w:id="117" w:name="Tc_PP-sGh90xEqBji5LjquGnQ_2_5"/>
      <w:bookmarkStart w:id="118" w:name="Tc_Td0BQNwLBUaZWiooeEImoQ_2_2"/>
      <w:bookmarkStart w:id="119" w:name="Tc_yCu1mBKRh0285piOQbZUnA_1_5"/>
      <w:bookmarkStart w:id="120" w:name="Tc_DoQNyHt1L0etgxTpUN2fhw_1_2"/>
      <w:bookmarkStart w:id="121" w:name="_13f5efca_f111_4d2f_89e5_2b0952f0e94d"/>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tbl>
      <w:tblPr>
        <w:tblW w:w="10205" w:type="dxa"/>
        <w:jc w:val="left"/>
        <w:tblInd w:w="0" w:type="dxa"/>
        <w:tblCellMar>
          <w:top w:w="0" w:type="dxa"/>
          <w:left w:w="0" w:type="dxa"/>
          <w:bottom w:w="0" w:type="dxa"/>
          <w:right w:w="0" w:type="dxa"/>
        </w:tblCellMar>
      </w:tblPr>
      <w:tblGrid>
        <w:gridCol w:w="7130"/>
        <w:gridCol w:w="326"/>
        <w:gridCol w:w="196"/>
        <w:gridCol w:w="772"/>
        <w:gridCol w:w="326"/>
        <w:gridCol w:w="223"/>
        <w:gridCol w:w="859"/>
        <w:gridCol w:w="373"/>
      </w:tblGrid>
      <w:tr>
        <w:trPr/>
        <w:tc>
          <w:tcPr>
            <w:tcW w:w="71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27550" cy="175260"/>
                      <wp:effectExtent l="0" t="0" r="0" b="0"/>
                      <wp:wrapNone/>
                      <wp:docPr id="4" name="Frame4"/>
                      <a:graphic xmlns:a="http://schemas.openxmlformats.org/drawingml/2006/main">
                        <a:graphicData uri="http://schemas.microsoft.com/office/word/2010/wordprocessingShape">
                          <wps:wsp>
                            <wps:cNvSpPr txBox="1"/>
                            <wps:spPr>
                              <a:xfrm>
                                <a:off x="0" y="0"/>
                                <a:ext cx="4527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0220" cy="175260"/>
                      <wp:effectExtent l="0" t="0" r="0" b="0"/>
                      <wp:wrapNone/>
                      <wp:docPr id="7" name="Frame7"/>
                      <a:graphic xmlns:a="http://schemas.openxmlformats.org/drawingml/2006/main">
                        <a:graphicData uri="http://schemas.microsoft.com/office/word/2010/wordprocessingShape">
                          <wps:wsp>
                            <wps:cNvSpPr txBox="1"/>
                            <wps:spPr>
                              <a:xfrm>
                                <a:off x="0" y="0"/>
                                <a:ext cx="4902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1605" cy="175260"/>
                      <wp:effectExtent l="0" t="0" r="0" b="0"/>
                      <wp:wrapNone/>
                      <wp:docPr id="9" name="Frame9"/>
                      <a:graphic xmlns:a="http://schemas.openxmlformats.org/drawingml/2006/main">
                        <a:graphicData uri="http://schemas.microsoft.com/office/word/2010/wordprocessingShape">
                          <wps:wsp>
                            <wps:cNvSpPr txBox="1"/>
                            <wps:spPr>
                              <a:xfrm>
                                <a:off x="0" y="0"/>
                                <a:ext cx="1416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5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45465" cy="175260"/>
                      <wp:effectExtent l="0" t="0" r="0" b="0"/>
                      <wp:wrapNone/>
                      <wp:docPr id="10" name="Frame10"/>
                      <a:graphic xmlns:a="http://schemas.openxmlformats.org/drawingml/2006/main">
                        <a:graphicData uri="http://schemas.microsoft.com/office/word/2010/wordprocessingShape">
                          <wps:wsp>
                            <wps:cNvSpPr txBox="1"/>
                            <wps:spPr>
                              <a:xfrm>
                                <a:off x="0" y="0"/>
                                <a:ext cx="5454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36855" cy="175260"/>
                      <wp:effectExtent l="0" t="0" r="0" b="0"/>
                      <wp:wrapNone/>
                      <wp:docPr id="11" name="Frame11"/>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1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68"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68"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3" w:type="dxa"/>
            <w:tcBorders/>
            <w:shd w:fill="auto" w:val="clear"/>
            <w:vAlign w:val="center"/>
          </w:tcPr>
          <w:p>
            <w:pPr>
              <w:pStyle w:val="TableContents"/>
              <w:spacing w:before="0" w:after="0"/>
              <w:ind w:left="0" w:right="0" w:hanging="0"/>
              <w:rPr/>
            </w:pPr>
            <w:r>
              <w:rPr/>
              <w:t>    </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spacing w:before="0" w:after="0"/>
              <w:ind w:left="0" w:right="0" w:hanging="0"/>
              <w:rPr/>
            </w:pPr>
            <w:r>
              <w:rPr/>
              <w:t> </w:t>
            </w:r>
          </w:p>
        </w:tc>
        <w:tc>
          <w:tcPr>
            <w:tcW w:w="968" w:type="dxa"/>
            <w:gridSpan w:val="2"/>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859" w:type="dxa"/>
            <w:tcBorders/>
            <w:shd w:fill="CCEEFF" w:val="clear"/>
            <w:vAlign w:val="center"/>
          </w:tcPr>
          <w:p>
            <w:pPr>
              <w:pStyle w:val="TableContents"/>
              <w:spacing w:before="0" w:after="0"/>
              <w:ind w:left="0" w:right="0" w:hanging="0"/>
              <w:jc w:val="right"/>
              <w:rPr/>
            </w:pPr>
            <w:r>
              <w:rPr/>
              <w:t>  </w:t>
            </w:r>
          </w:p>
        </w:tc>
        <w:tc>
          <w:tcPr>
            <w:tcW w:w="373" w:type="dxa"/>
            <w:tcBorders/>
            <w:shd w:fill="CCEEFF" w:val="clear"/>
            <w:vAlign w:val="center"/>
          </w:tcPr>
          <w:p>
            <w:pPr>
              <w:pStyle w:val="TableContents"/>
              <w:spacing w:before="0" w:after="0"/>
              <w:ind w:left="0" w:right="0" w:hanging="0"/>
              <w:rPr/>
            </w:pPr>
            <w:r>
              <w:rPr/>
              <w:t> </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assets:</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rPr/>
            </w:pPr>
            <w:r>
              <w:rPr/>
              <w:t> </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29,973</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26,630</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Marketable securities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115,520</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133,281</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3,425</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4,072</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148,918</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163,983</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11,185</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11,897</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Right of use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4,865</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5,016</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2,823</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3,265</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167,791</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184,161</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pPr>
            <w:r>
              <w:rPr/>
              <w:t>  </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pPr>
            <w:r>
              <w:rPr/>
              <w:t>  </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59" w:type="dxa"/>
            <w:tcBorders/>
            <w:shd w:fill="auto" w:val="clear"/>
            <w:vAlign w:val="center"/>
          </w:tcPr>
          <w:p>
            <w:pPr>
              <w:pStyle w:val="TableContents"/>
              <w:spacing w:before="0" w:after="0"/>
              <w:ind w:left="0" w:right="0" w:hanging="0"/>
              <w:jc w:val="right"/>
              <w:rPr/>
            </w:pPr>
            <w:r>
              <w:rPr/>
              <w:t>  </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1,919</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4,270</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liabilities and other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4,347</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4,857</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6,266</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9,127</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Lease liabilities, long term</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6,450</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6,605</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872</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899</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13,588</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16,631</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pPr>
            <w:r>
              <w:rPr/>
              <w:t>  </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Preferred stock, par value of $0.001 per share; 10,000,000 shares authorized at March 31, 2023 and December 31, 2022; No shares issued and outstanding at March 31, 2023 and December 31, 2022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772"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w:t>
            </w:r>
          </w:p>
        </w:tc>
        <w:tc>
          <w:tcPr>
            <w:tcW w:w="859"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Common stock, par value of $0.001</w:t>
            </w:r>
            <w:r>
              <w:rPr>
                <w:rFonts w:ascii="Times New Roman;Times;serif" w:hAnsi="Times New Roman;Times;serif"/>
                <w:sz w:val="20"/>
              </w:rPr>
              <w:t xml:space="preserve"> </w:t>
            </w:r>
            <w:r>
              <w:rPr>
                <w:rFonts w:ascii="Times New Roman;Times;serif" w:hAnsi="Times New Roman;Times;serif"/>
                <w:sz w:val="18"/>
              </w:rPr>
              <w:t>per share; 100,000,000</w:t>
            </w:r>
            <w:r>
              <w:rPr>
                <w:rFonts w:ascii="Times New Roman;Times;serif" w:hAnsi="Times New Roman;Times;serif"/>
                <w:sz w:val="20"/>
              </w:rPr>
              <w:t xml:space="preserve"> </w:t>
            </w:r>
            <w:r>
              <w:rPr>
                <w:rFonts w:ascii="Times New Roman;Times;serif" w:hAnsi="Times New Roman;Times;serif"/>
                <w:sz w:val="18"/>
              </w:rPr>
              <w:t>shares authorized at March 31, 2023 and December 31, 2022; 27,774,536</w:t>
            </w:r>
            <w:r>
              <w:rPr>
                <w:rFonts w:ascii="Times New Roman;Times;serif" w:hAnsi="Times New Roman;Times;serif"/>
                <w:sz w:val="20"/>
              </w:rPr>
              <w:t xml:space="preserve"> </w:t>
            </w:r>
            <w:r>
              <w:rPr>
                <w:rFonts w:ascii="Times New Roman;Times;serif" w:hAnsi="Times New Roman;Times;serif"/>
                <w:sz w:val="18"/>
              </w:rPr>
              <w:t>and 27,774,536</w:t>
            </w:r>
            <w:r>
              <w:rPr>
                <w:rFonts w:ascii="Times New Roman;Times;serif" w:hAnsi="Times New Roman;Times;serif"/>
                <w:sz w:val="20"/>
              </w:rPr>
              <w:t xml:space="preserve"> </w:t>
            </w:r>
            <w:r>
              <w:rPr>
                <w:rFonts w:ascii="Times New Roman;Times;serif" w:hAnsi="Times New Roman;Times;serif"/>
                <w:sz w:val="18"/>
              </w:rPr>
              <w:t xml:space="preserve">shares </w:t>
            </w: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at March 31, 2023 and December 31, 2022, respectively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 </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28</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Additional paid-in capital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772"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432,833</w:t>
            </w:r>
          </w:p>
        </w:tc>
        <w:tc>
          <w:tcPr>
            <w:tcW w:w="326" w:type="dxa"/>
            <w:tcBorders/>
            <w:shd w:fill="auto" w:val="clear"/>
            <w:vAlign w:val="center"/>
          </w:tcPr>
          <w:p>
            <w:pPr>
              <w:pStyle w:val="TableContents"/>
              <w:spacing w:before="0" w:after="0"/>
              <w:ind w:left="0" w:right="0" w:hanging="0"/>
              <w:rPr/>
            </w:pPr>
            <w:r>
              <w:rPr/>
              <w:t>​</w:t>
            </w:r>
          </w:p>
        </w:tc>
        <w:tc>
          <w:tcPr>
            <w:tcW w:w="223" w:type="dxa"/>
            <w:tcBorders/>
            <w:shd w:fill="auto" w:val="clear"/>
            <w:vAlign w:val="center"/>
          </w:tcPr>
          <w:p>
            <w:pPr>
              <w:pStyle w:val="TableContents"/>
              <w:spacing w:before="0" w:after="0"/>
              <w:ind w:left="0" w:right="0" w:hanging="0"/>
              <w:rPr/>
            </w:pPr>
            <w:r>
              <w:rPr/>
              <w:t> </w:t>
            </w:r>
          </w:p>
        </w:tc>
        <w:tc>
          <w:tcPr>
            <w:tcW w:w="859"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430,755</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772"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(803)</w:t>
            </w:r>
          </w:p>
        </w:tc>
        <w:tc>
          <w:tcPr>
            <w:tcW w:w="326" w:type="dxa"/>
            <w:tcBorders/>
            <w:shd w:fill="CCEEFF" w:val="clear"/>
            <w:vAlign w:val="center"/>
          </w:tcPr>
          <w:p>
            <w:pPr>
              <w:pStyle w:val="TableContents"/>
              <w:spacing w:before="0" w:after="0"/>
              <w:ind w:left="0" w:right="0" w:hanging="0"/>
              <w:rPr/>
            </w:pPr>
            <w:r>
              <w:rPr/>
              <w:t>​</w:t>
            </w:r>
          </w:p>
        </w:tc>
        <w:tc>
          <w:tcPr>
            <w:tcW w:w="223" w:type="dxa"/>
            <w:tcBorders/>
            <w:shd w:fill="CCEEFF" w:val="clear"/>
            <w:vAlign w:val="center"/>
          </w:tcPr>
          <w:p>
            <w:pPr>
              <w:pStyle w:val="TableContents"/>
              <w:spacing w:before="0" w:after="0"/>
              <w:ind w:left="0" w:right="0" w:hanging="0"/>
              <w:rPr/>
            </w:pPr>
            <w:r>
              <w:rPr/>
              <w:t>​</w:t>
            </w:r>
          </w:p>
        </w:tc>
        <w:tc>
          <w:tcPr>
            <w:tcW w:w="859"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(1,494)</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Accumulated deficit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(277,855)</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(261,759)</w:t>
            </w:r>
          </w:p>
        </w:tc>
        <w:tc>
          <w:tcPr>
            <w:tcW w:w="373" w:type="dxa"/>
            <w:tcBorders/>
            <w:shd w:fill="auto" w:val="clear"/>
            <w:vAlign w:val="center"/>
          </w:tcPr>
          <w:p>
            <w:pPr>
              <w:pStyle w:val="TableContents"/>
              <w:spacing w:before="0" w:after="0"/>
              <w:ind w:left="0" w:right="0" w:hanging="0"/>
              <w:rPr/>
            </w:pPr>
            <w:r>
              <w:rPr/>
              <w:t>​</w:t>
            </w:r>
          </w:p>
        </w:tc>
      </w:tr>
      <w:tr>
        <w:trPr/>
        <w:tc>
          <w:tcPr>
            <w:tcW w:w="7130"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72"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154,203</w:t>
            </w:r>
          </w:p>
        </w:tc>
        <w:tc>
          <w:tcPr>
            <w:tcW w:w="326" w:type="dxa"/>
            <w:tcBorders/>
            <w:shd w:fill="CCEEFF" w:val="clear"/>
            <w:vAlign w:val="center"/>
          </w:tcPr>
          <w:p>
            <w:pPr>
              <w:pStyle w:val="TableContents"/>
              <w:spacing w:before="0" w:after="0"/>
              <w:ind w:left="0" w:right="0" w:hanging="0"/>
              <w:rPr/>
            </w:pPr>
            <w:r>
              <w:rPr/>
              <w:t>​</w:t>
            </w:r>
          </w:p>
        </w:tc>
        <w:tc>
          <w:tcPr>
            <w:tcW w:w="22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5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167,530</w:t>
            </w:r>
          </w:p>
        </w:tc>
        <w:tc>
          <w:tcPr>
            <w:tcW w:w="373" w:type="dxa"/>
            <w:tcBorders/>
            <w:shd w:fill="CCEEFF" w:val="clear"/>
            <w:vAlign w:val="center"/>
          </w:tcPr>
          <w:p>
            <w:pPr>
              <w:pStyle w:val="TableContents"/>
              <w:spacing w:before="0" w:after="0"/>
              <w:ind w:left="0" w:right="0" w:hanging="0"/>
              <w:rPr/>
            </w:pPr>
            <w:r>
              <w:rPr/>
              <w:t>​</w:t>
            </w:r>
          </w:p>
        </w:tc>
      </w:tr>
      <w:tr>
        <w:trPr/>
        <w:tc>
          <w:tcPr>
            <w:tcW w:w="7130"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77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167,791</w:t>
            </w:r>
          </w:p>
        </w:tc>
        <w:tc>
          <w:tcPr>
            <w:tcW w:w="326" w:type="dxa"/>
            <w:tcBorders/>
            <w:shd w:fill="auto" w:val="clear"/>
            <w:vAlign w:val="center"/>
          </w:tcPr>
          <w:p>
            <w:pPr>
              <w:pStyle w:val="TableContents"/>
              <w:spacing w:before="0" w:after="0"/>
              <w:ind w:left="0" w:right="0" w:hanging="0"/>
              <w:rPr/>
            </w:pPr>
            <w:r>
              <w:rPr/>
              <w:t>​</w:t>
            </w:r>
          </w:p>
        </w:tc>
        <w:tc>
          <w:tcPr>
            <w:tcW w:w="2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5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184,161</w:t>
            </w:r>
          </w:p>
        </w:tc>
        <w:tc>
          <w:tcPr>
            <w:tcW w:w="373"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122" w:name="_2937624a_b84d_407b_ad24_0e62074ee65a"/>
      <w:bookmarkEnd w:id="122"/>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sz w:val="20"/>
        </w:rPr>
      </w:pPr>
      <w:bookmarkStart w:id="123" w:name="CONDENSEDSTATEMENTSOFOPERATIONSANDCOMPRE"/>
      <w:bookmarkEnd w:id="123"/>
      <w:r>
        <w:rPr>
          <w:rFonts w:ascii="Times New Roman;Times;serif" w:hAnsi="Times New Roman;Times;serif"/>
          <w:b/>
          <w:sz w:val="20"/>
        </w:rPr>
        <w:t>CONDENSED STATEMENTS OF OPERATIONS</w:t>
      </w:r>
      <w:r>
        <w:rPr>
          <w:rFonts w:ascii="Times New Roman;Times;serif" w:hAnsi="Times New Roman;Times;serif"/>
          <w:sz w:val="20"/>
        </w:rPr>
        <w:t xml:space="preserve"> </w:t>
      </w:r>
      <w:r>
        <w:rPr>
          <w:rFonts w:ascii="Times New Roman;Times;serif" w:hAnsi="Times New Roman;Times;serif"/>
          <w:b/>
          <w:sz w:val="20"/>
        </w:rPr>
        <w:t>AND COMPREHENSIVE LOSS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b/>
          <w:i/>
          <w:sz w:val="20"/>
        </w:rPr>
        <w:t>(unaudited, in thousands, except share</w:t>
      </w:r>
      <w:r>
        <w:rPr>
          <w:rFonts w:ascii="Times New Roman;Times;serif" w:hAnsi="Times New Roman;Times;serif"/>
          <w:sz w:val="20"/>
        </w:rPr>
        <w:t xml:space="preserve"> </w:t>
      </w:r>
      <w:r>
        <w:rPr>
          <w:rFonts w:ascii="Times New Roman;Times;serif" w:hAnsi="Times New Roman;Times;serif"/>
          <w:b/>
          <w:i/>
          <w:sz w:val="20"/>
        </w:rPr>
        <w:t>and per share amounts)</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24" w:name="Tc_UR1jRrIy-k6CytGnliVWwA_16_5"/>
      <w:bookmarkStart w:id="125" w:name="Tc_wY5C_m32PECpeRdh6WMpdw_16_2"/>
      <w:bookmarkStart w:id="126" w:name="Tc_HOmKyXmu6kyOwqMTUzyAbQ_16_0"/>
      <w:bookmarkStart w:id="127" w:name="Tc_47YcpzGyhUWETslIR9muwA_15_0"/>
      <w:bookmarkStart w:id="128" w:name="Tc_UzrswSenzEeuEQm5ZRk1Jw_14_5"/>
      <w:bookmarkStart w:id="129" w:name="Tc_8dY5dKmaz0-yF8quT4rHgw_14_2"/>
      <w:bookmarkStart w:id="130" w:name="Tc_jFr8K5DxuESilLCKcHKF7A_14_0"/>
      <w:bookmarkStart w:id="131" w:name="Tc_6xZ_67x9_0GiT2DC16HqzQ_13_0"/>
      <w:bookmarkStart w:id="132" w:name="Tc_yIAh5WIalU-r1kCNWYwOkg_12_0"/>
      <w:bookmarkStart w:id="133" w:name="Tc_qZ1EX1h8DU2TB8N-ZdqZMg_11_0"/>
      <w:bookmarkStart w:id="134" w:name="Tc_Z0TyF2hvJEmJ3LTkODePJA_10_5"/>
      <w:bookmarkStart w:id="135" w:name="Tc_9V_8hzmlRkiZ9EAYg4BqyQ_10_2"/>
      <w:bookmarkStart w:id="136" w:name="Tc_rzqS5WzVSEuY5mEZzVhmgQ_10_0"/>
      <w:bookmarkStart w:id="137" w:name="Tc_Xc20TN1zbUG4i9lc4OeZwQ_9_0"/>
      <w:bookmarkStart w:id="138" w:name="Tc_V-a7mCFOpkG9RcGar2aQZQ_8_0"/>
      <w:bookmarkStart w:id="139" w:name="Tc_0Wfb1uDyzE-4_cnFVk4mBA_7_0"/>
      <w:bookmarkStart w:id="140" w:name="Tc_pJvDBbLE90mNjjgqQk176w_6_0"/>
      <w:bookmarkStart w:id="141" w:name="Tc_4Gak5bCRJUe7f6cV7NcrHg_5_5"/>
      <w:bookmarkStart w:id="142" w:name="Tc_QDV51pNoQEO6hxrtLlEmUA_5_2"/>
      <w:bookmarkStart w:id="143" w:name="Tc_kZlTeAUOs0KEsGeJ7MMjIg_5_0"/>
      <w:bookmarkStart w:id="144" w:name="Tc_6ODqdGsuXk2EXdhj0lWf3Q_4_0"/>
      <w:bookmarkStart w:id="145" w:name="Tc_y_IbnL9NxEWEla3iOt_1pA_3_5"/>
      <w:bookmarkStart w:id="146" w:name="Tc_eLPSvpWcyU2GTgODVYDxlQ_3_2"/>
      <w:bookmarkStart w:id="147" w:name="Tc_RxGZPc8gUUaHsL27msE_HQ_2_2"/>
      <w:bookmarkStart w:id="148" w:name="Tc_H3mymVmEskyrVioMH3ADcw_1_2"/>
      <w:bookmarkStart w:id="149" w:name="_7e556cb2_401c_4401_8c64_53c08a9fb7f0"/>
      <w:bookmarkStart w:id="150" w:name="Tc_UR1jRrIy-k6CytGnliVWwA_16_5"/>
      <w:bookmarkStart w:id="151" w:name="Tc_wY5C_m32PECpeRdh6WMpdw_16_2"/>
      <w:bookmarkStart w:id="152" w:name="Tc_HOmKyXmu6kyOwqMTUzyAbQ_16_0"/>
      <w:bookmarkStart w:id="153" w:name="Tc_47YcpzGyhUWETslIR9muwA_15_0"/>
      <w:bookmarkStart w:id="154" w:name="Tc_UzrswSenzEeuEQm5ZRk1Jw_14_5"/>
      <w:bookmarkStart w:id="155" w:name="Tc_8dY5dKmaz0-yF8quT4rHgw_14_2"/>
      <w:bookmarkStart w:id="156" w:name="Tc_jFr8K5DxuESilLCKcHKF7A_14_0"/>
      <w:bookmarkStart w:id="157" w:name="Tc_6xZ_67x9_0GiT2DC16HqzQ_13_0"/>
      <w:bookmarkStart w:id="158" w:name="Tc_yIAh5WIalU-r1kCNWYwOkg_12_0"/>
      <w:bookmarkStart w:id="159" w:name="Tc_qZ1EX1h8DU2TB8N-ZdqZMg_11_0"/>
      <w:bookmarkStart w:id="160" w:name="Tc_Z0TyF2hvJEmJ3LTkODePJA_10_5"/>
      <w:bookmarkStart w:id="161" w:name="Tc_9V_8hzmlRkiZ9EAYg4BqyQ_10_2"/>
      <w:bookmarkStart w:id="162" w:name="Tc_rzqS5WzVSEuY5mEZzVhmgQ_10_0"/>
      <w:bookmarkStart w:id="163" w:name="Tc_Xc20TN1zbUG4i9lc4OeZwQ_9_0"/>
      <w:bookmarkStart w:id="164" w:name="Tc_V-a7mCFOpkG9RcGar2aQZQ_8_0"/>
      <w:bookmarkStart w:id="165" w:name="Tc_0Wfb1uDyzE-4_cnFVk4mBA_7_0"/>
      <w:bookmarkStart w:id="166" w:name="Tc_pJvDBbLE90mNjjgqQk176w_6_0"/>
      <w:bookmarkStart w:id="167" w:name="Tc_4Gak5bCRJUe7f6cV7NcrHg_5_5"/>
      <w:bookmarkStart w:id="168" w:name="Tc_QDV51pNoQEO6hxrtLlEmUA_5_2"/>
      <w:bookmarkStart w:id="169" w:name="Tc_kZlTeAUOs0KEsGeJ7MMjIg_5_0"/>
      <w:bookmarkStart w:id="170" w:name="Tc_6ODqdGsuXk2EXdhj0lWf3Q_4_0"/>
      <w:bookmarkStart w:id="171" w:name="Tc_y_IbnL9NxEWEla3iOt_1pA_3_5"/>
      <w:bookmarkStart w:id="172" w:name="Tc_eLPSvpWcyU2GTgODVYDxlQ_3_2"/>
      <w:bookmarkStart w:id="173" w:name="Tc_RxGZPc8gUUaHsL27msE_HQ_2_2"/>
      <w:bookmarkStart w:id="174" w:name="Tc_H3mymVmEskyrVioMH3ADcw_1_2"/>
      <w:bookmarkStart w:id="175" w:name="_7e556cb2_401c_4401_8c64_53c08a9fb7f0"/>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tbl>
      <w:tblPr>
        <w:tblW w:w="8011" w:type="dxa"/>
        <w:jc w:val="left"/>
        <w:tblInd w:w="0" w:type="dxa"/>
        <w:tblCellMar>
          <w:top w:w="0" w:type="dxa"/>
          <w:left w:w="0" w:type="dxa"/>
          <w:bottom w:w="0" w:type="dxa"/>
          <w:right w:w="0" w:type="dxa"/>
        </w:tblCellMar>
      </w:tblPr>
      <w:tblGrid>
        <w:gridCol w:w="4711"/>
        <w:gridCol w:w="326"/>
        <w:gridCol w:w="211"/>
        <w:gridCol w:w="1036"/>
        <w:gridCol w:w="326"/>
        <w:gridCol w:w="211"/>
        <w:gridCol w:w="1036"/>
        <w:gridCol w:w="154"/>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991485" cy="175260"/>
                      <wp:effectExtent l="0" t="0" r="0" b="0"/>
                      <wp:wrapNone/>
                      <wp:docPr id="12" name="Frame12"/>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57860" cy="175260"/>
                      <wp:effectExtent l="0" t="0" r="0" b="0"/>
                      <wp:wrapNone/>
                      <wp:docPr id="15" name="Frame1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97790" cy="175260"/>
                      <wp:effectExtent l="0" t="0" r="0" b="0"/>
                      <wp:wrapNone/>
                      <wp:docPr id="19" name="Frame19"/>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FFFFFF" w:val="clear"/>
            <w:vAlign w:val="center"/>
          </w:tcPr>
          <w:p>
            <w:pPr>
              <w:pStyle w:val="TableContents"/>
              <w:spacing w:before="0" w:after="0"/>
              <w:ind w:left="0" w:right="0" w:hanging="0"/>
              <w:jc w:val="center"/>
              <w:rPr/>
            </w:pPr>
            <w:r>
              <w:rPr/>
              <w:t>​</w:t>
            </w:r>
          </w:p>
        </w:tc>
        <w:tc>
          <w:tcPr>
            <w:tcW w:w="2820" w:type="dxa"/>
            <w:gridSpan w:val="5"/>
            <w:tcBorders/>
            <w:shd w:fill="FFFFFF"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20" w:type="dxa"/>
            <w:gridSpan w:val="5"/>
            <w:tcBorders>
              <w:bottom w:val="single" w:sz="2" w:space="0" w:color="000000"/>
            </w:tcBorders>
            <w:shd w:fill="FFFFFF"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FFFF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expenses: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15,024</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17,071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20,771</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(20,771)</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income, net </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(20,602)</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 per common share - basic and diluted</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shd w:fill="auto" w:val="clear"/>
            <w:vAlign w:val="center"/>
          </w:tcPr>
          <w:p>
            <w:pPr>
              <w:pStyle w:val="TableContents"/>
              <w:spacing w:before="0" w:after="0"/>
              <w:ind w:left="0" w:right="0" w:hanging="0"/>
              <w:rPr/>
            </w:pPr>
            <w:r>
              <w:rPr/>
              <w:t>​</w:t>
            </w:r>
          </w:p>
        </w:tc>
        <w:tc>
          <w:tcPr>
            <w:tcW w:w="21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27,774,536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pPr>
            <w:r>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27,708,768</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Comprehensive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(20,602)</w:t>
            </w:r>
          </w:p>
        </w:tc>
        <w:tc>
          <w:tcPr>
            <w:tcW w:w="154" w:type="dxa"/>
            <w:tcBorders/>
            <w:shd w:fill="CCEEFF" w:val="clear"/>
            <w:vAlign w:val="center"/>
          </w:tcPr>
          <w:p>
            <w:pPr>
              <w:pStyle w:val="TableContents"/>
              <w:spacing w:before="0" w:after="0"/>
              <w:ind w:left="0" w:right="0" w:hanging="0"/>
              <w:rPr/>
            </w:pPr>
            <w:r>
              <w:rPr/>
              <w:t>​</w:t>
            </w:r>
          </w:p>
        </w:tc>
      </w:tr>
      <w:tr>
        <w:trPr/>
        <w:tc>
          <w:tcPr>
            <w:tcW w:w="47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Unrealized gain (loss) on 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154" w:type="dxa"/>
            <w:tcBorders/>
            <w:shd w:fill="auto" w:val="clear"/>
            <w:vAlign w:val="center"/>
          </w:tcPr>
          <w:p>
            <w:pPr>
              <w:pStyle w:val="TableContents"/>
              <w:spacing w:before="0" w:after="0"/>
              <w:ind w:left="0" w:right="0" w:hanging="0"/>
              <w:rPr/>
            </w:pPr>
            <w:r>
              <w:rPr/>
              <w:t>​</w:t>
            </w:r>
          </w:p>
        </w:tc>
      </w:tr>
      <w:tr>
        <w:trPr/>
        <w:tc>
          <w:tcPr>
            <w:tcW w:w="47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comprehensive loss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(15,405)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(22,138)</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bookmarkStart w:id="176" w:name="_b75c1441_acb7_4f81_8c9c_39af6c844abe"/>
      <w:bookmarkEnd w:id="176"/>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bookmarkStart w:id="177" w:name="CONDENSEDSTATEMENTSOFPREFERREDSTOCKANDST"/>
      <w:bookmarkEnd w:id="177"/>
      <w:r>
        <w:rPr>
          <w:rFonts w:ascii="Times New Roman;Times;serif" w:hAnsi="Times New Roman;Times;serif"/>
          <w:b/>
          <w:sz w:val="20"/>
        </w:rPr>
        <w:t>CONDENSED STATEMENTS OF STOCKHOLDERS’ EQUITY</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share data)</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178" w:name="Tc_HhdjeomidUSirPja0RHWjw_25_16"/>
      <w:bookmarkStart w:id="179" w:name="Tc_8U9nWuWh0UKbRo5XRFG1CA_25_13"/>
      <w:bookmarkStart w:id="180" w:name="Tc_UOYobznvyUmQwOKB633s0A_25_10"/>
      <w:bookmarkStart w:id="181" w:name="Tc_jnCy10iizkemZnOyQriwUg_25_7"/>
      <w:bookmarkStart w:id="182" w:name="Tc_CgzZVuxpFUCjgGgsWLCgHg_25_4"/>
      <w:bookmarkStart w:id="183" w:name="Tc_ek0LboIr80KIejYJZ0D35A_25_0"/>
      <w:bookmarkStart w:id="184" w:name="Tc_DctSvS-gP0OiXd9ctGYgRA_24_11"/>
      <w:bookmarkStart w:id="185" w:name="Tc_R13F2gwv_0CAyDei9c8zyw_24_8"/>
      <w:bookmarkStart w:id="186" w:name="Tc_l0g2NADeaE-34eNPyqEhRw_24_5"/>
      <w:bookmarkStart w:id="187" w:name="Tc_1dWbLM_MfE2j8b7HmKH16g_24_2"/>
      <w:bookmarkStart w:id="188" w:name="Tc_mqTrXQUywUSeA_dCkNVcuQ_24_0"/>
      <w:bookmarkStart w:id="189" w:name="Tc_GMVO2Vqj_Ea_K9Og6m05yg_23_14"/>
      <w:bookmarkStart w:id="190" w:name="Tc_JAxqUz6KZUqWUlD8Dlr1Bg_23_8"/>
      <w:bookmarkStart w:id="191" w:name="Tc_p7SKdGeU40OanhYN2yYBuQ_23_5"/>
      <w:bookmarkStart w:id="192" w:name="Tc_MflNUOCY4ECwZ--pKNzkYQ_23_2"/>
      <w:bookmarkStart w:id="193" w:name="Tc_qecWqkaPIEu2j9_PG8h2Rw_23_0"/>
      <w:bookmarkStart w:id="194" w:name="Tc_RUO-gP08bkeQP7A3Ie_Htw_22_14"/>
      <w:bookmarkStart w:id="195" w:name="Tc_uBGovyn2MEKWNQnTpwTqOw_22_11"/>
      <w:bookmarkStart w:id="196" w:name="Tc_ASCqGBMSK0uRUDE03Fyhjw_22_5"/>
      <w:bookmarkStart w:id="197" w:name="Tc_qCWPXhU-WEG0UdE_3oRocg_22_0"/>
      <w:bookmarkStart w:id="198" w:name="Tc_xMjKeAYro0KJJosKZT1UrA_21_14"/>
      <w:bookmarkStart w:id="199" w:name="Tc_BJEoIz45RUWby36Lo7M1xQ_21_11"/>
      <w:bookmarkStart w:id="200" w:name="Tc_kLIhfJpIAUu9z0CARGqnrQ_21_5"/>
      <w:bookmarkStart w:id="201" w:name="Tc_DBOApXpIHUCnircK0izB5A_21_2"/>
      <w:bookmarkStart w:id="202" w:name="Tc_zDnCHYET7E2Q4jIy_o3JXA_21_0"/>
      <w:bookmarkStart w:id="203" w:name="Tc_HZ5FlnMtwkqGWWfia8jfHw_20_16"/>
      <w:bookmarkStart w:id="204" w:name="Tc_vfy3vzJwh0OgBaFP4DoCQA_20_13"/>
      <w:bookmarkStart w:id="205" w:name="Tc_ljoIgaVE50-g53-FjpIWcw_20_10"/>
      <w:bookmarkStart w:id="206" w:name="Tc_Jt-zMl5VLEqaV9VTXMXnig_20_7"/>
      <w:bookmarkStart w:id="207" w:name="Tc_nGArDIfpsE-ZU7P3Z8HuHA_20_4"/>
      <w:bookmarkStart w:id="208" w:name="Tc_n4gpghMxwEimCu1PjWt3pQ_20_0"/>
      <w:bookmarkStart w:id="209" w:name="Tc_Z3sx_fC02UKbr8sKvEuk8Q_19_16"/>
      <w:bookmarkStart w:id="210" w:name="Tc_mujZ0nclA0KJpif9sYBfIA_19_13"/>
      <w:bookmarkStart w:id="211" w:name="Tc_8blDihypvUCjRgX24AIX4Q_19_10"/>
      <w:bookmarkStart w:id="212" w:name="Tc_bFtE0mskqU2Ms1yA7SnrEw_19_7"/>
      <w:bookmarkStart w:id="213" w:name="Tc_SSlRd-7CS0CiuqfBFnvThA_19_4"/>
      <w:bookmarkStart w:id="214" w:name="Tc_4LMaMalJEUqdGh-OFb57hQ_19_2"/>
      <w:bookmarkStart w:id="215" w:name="Tc_ryk4VKlhvk2RREYyp7ksbw_18_16"/>
      <w:bookmarkStart w:id="216" w:name="Tc_CeercWw0mUOecIpne0BUMw_18_13"/>
      <w:bookmarkStart w:id="217" w:name="Tc_RjjCmm5eH0eCOMuuuB3VgQ_18_10"/>
      <w:bookmarkStart w:id="218" w:name="Tc_px9hKrOBpU2LdCaF69zRag_18_7"/>
      <w:bookmarkStart w:id="219" w:name="Tc_9Q3bugYgPE-bFAn_iM85cQ_18_2"/>
      <w:bookmarkStart w:id="220" w:name="Tc_wfMcb6_B6UmVqvGf5kC0CA_17_10"/>
      <w:bookmarkStart w:id="221" w:name="Tc_U9ygZgRqWkOGQnmwc9b38g_17_7"/>
      <w:bookmarkStart w:id="222" w:name="Tc_hsioOdNqLkS9OOArKa9jUw_16_2"/>
      <w:bookmarkStart w:id="223" w:name="Tc_9GE8xygXsEqZTcU5nfVmVA_14_2"/>
      <w:bookmarkStart w:id="224" w:name="Tc_wqs9F1eCwkO__PDBRPFshA_11_16"/>
      <w:bookmarkStart w:id="225" w:name="Tc_SL2uMWFwfUC90KgtFn1cwQ_11_13"/>
      <w:bookmarkStart w:id="226" w:name="Tc_QnBjhVjPZEyjgParDZ8brA_11_10"/>
      <w:bookmarkStart w:id="227" w:name="Tc_TyaZcGjtXUqYLX0NnvXqAA_11_7"/>
      <w:bookmarkStart w:id="228" w:name="Tc_aTKLfCu8BkK3s7qF84tDmA_11_4"/>
      <w:bookmarkStart w:id="229" w:name="Tc_6a_-25LjFECEkEJ_XiO-uQ_11_0"/>
      <w:bookmarkStart w:id="230" w:name="Tc_Om0U3P2GWk6Mn68oQPP3iQ_10_11"/>
      <w:bookmarkStart w:id="231" w:name="Tc_0U24BLkCWEGU0S_eCvZAog_10_8"/>
      <w:bookmarkStart w:id="232" w:name="Tc_gxKaq9pRa0aINFpTJv-K3Q_10_5"/>
      <w:bookmarkStart w:id="233" w:name="Tc_pVtmZ-nUsk2zkcIEpERelA_10_2"/>
      <w:bookmarkStart w:id="234" w:name="Tc_OFVhKlsMCEuasOpQzYiSQg_10_0"/>
      <w:bookmarkStart w:id="235" w:name="Tc_sC3SIWjok0GvHPOJlooXXg_9_14"/>
      <w:bookmarkStart w:id="236" w:name="Tc_qjRpeEusjkS9rK6sH8p8Lw_9_8"/>
      <w:bookmarkStart w:id="237" w:name="Tc_hJKf1pwYX0OzLPu3zWUnCA_9_5"/>
      <w:bookmarkStart w:id="238" w:name="Tc_rUwb3NW5jE6JHh_XlGM2ug_9_2"/>
      <w:bookmarkStart w:id="239" w:name="Tc_ugYpOhvDW0uqd8BQfc3vjw_9_0"/>
      <w:bookmarkStart w:id="240" w:name="Tc__u9Q-wKBp0mtQer2LhI39g_8_14"/>
      <w:bookmarkStart w:id="241" w:name="Tc_zw7YaVIsh0mtZj9hMUADBw_8_11"/>
      <w:bookmarkStart w:id="242" w:name="Tc_QEw7lR2dUE-otFYHPQxRAw_8_5"/>
      <w:bookmarkStart w:id="243" w:name="Tc_74D_FkSLo0WG4omHGdBQOw_8_2"/>
      <w:bookmarkStart w:id="244" w:name="Tc_SQhDTmk5LUuwnwVI5-jhmA_8_0"/>
      <w:bookmarkStart w:id="245" w:name="Tc_3KmqYqUISU-Yuz3kt9Dtvw_7_16"/>
      <w:bookmarkStart w:id="246" w:name="Tc_smNjfMT3vk2tDfUO5JuYPg_7_13"/>
      <w:bookmarkStart w:id="247" w:name="Tc_x4r5qDtOPk-D-i297UDfbQ_7_10"/>
      <w:bookmarkStart w:id="248" w:name="Tc_sRprJX6UsUyGgTsDWVeEQw_7_7"/>
      <w:bookmarkStart w:id="249" w:name="Tc_nJV35k1rl0qAHRtfyoCYEA_7_4"/>
      <w:bookmarkStart w:id="250" w:name="Tc_hWjgKuzHGEi71uwZGoGj7Q_7_0"/>
      <w:bookmarkStart w:id="251" w:name="Tc_mTlF_A9JDkmiHzb-VkZaoQ_6_16"/>
      <w:bookmarkStart w:id="252" w:name="Tc_7YRKqscBa0KfLl2NLjyNDA_6_13"/>
      <w:bookmarkStart w:id="253" w:name="Tc_TMj9v7eMqEaOSHI1sG7wUA_6_10"/>
      <w:bookmarkStart w:id="254" w:name="Tc_f9tKbsX5p0-qH-AyRkO9hQ_6_7"/>
      <w:bookmarkStart w:id="255" w:name="Tc_80IjUH6Tt0OMLUHznl6EIQ_6_4"/>
      <w:bookmarkStart w:id="256" w:name="Tc_t_3BivTta024eNjlVotg1w_6_2"/>
      <w:bookmarkStart w:id="257" w:name="Tc_-XuOv294U0qWm4xoF-3BZQ_5_16"/>
      <w:bookmarkStart w:id="258" w:name="Tc_d-5gItvFPU6AWfSvp_nIGQ_5_13"/>
      <w:bookmarkStart w:id="259" w:name="Tc_7RR8tj4qk0etIy-Mbb-MOA_5_10"/>
      <w:bookmarkStart w:id="260" w:name="Tc_7ZaZTj4wqUSvYAIHCtU8OQ_5_7"/>
      <w:bookmarkStart w:id="261" w:name="Tc_DAu3rXPRvUuRq5yfyqHsMQ_5_2"/>
      <w:bookmarkStart w:id="262" w:name="Tc_zyjmPxGR8k60drJ91JXqLQ_4_10"/>
      <w:bookmarkStart w:id="263" w:name="Tc_Vg03h9TqaUiF-jDlYbuavA_4_7"/>
      <w:bookmarkStart w:id="264" w:name="Tc_EaTaJaCS-kCiQFnFG-ig5w_3_2"/>
      <w:bookmarkStart w:id="265" w:name="Tc_htkP4-sVOkCz9IlUD7Cpug_1_2"/>
      <w:bookmarkStart w:id="266" w:name="_6cbf461b_2087_42ca_ba5b_ebd94191841d"/>
      <w:bookmarkStart w:id="267" w:name="Tc_HhdjeomidUSirPja0RHWjw_25_16"/>
      <w:bookmarkStart w:id="268" w:name="Tc_8U9nWuWh0UKbRo5XRFG1CA_25_13"/>
      <w:bookmarkStart w:id="269" w:name="Tc_UOYobznvyUmQwOKB633s0A_25_10"/>
      <w:bookmarkStart w:id="270" w:name="Tc_jnCy10iizkemZnOyQriwUg_25_7"/>
      <w:bookmarkStart w:id="271" w:name="Tc_CgzZVuxpFUCjgGgsWLCgHg_25_4"/>
      <w:bookmarkStart w:id="272" w:name="Tc_ek0LboIr80KIejYJZ0D35A_25_0"/>
      <w:bookmarkStart w:id="273" w:name="Tc_DctSvS-gP0OiXd9ctGYgRA_24_11"/>
      <w:bookmarkStart w:id="274" w:name="Tc_R13F2gwv_0CAyDei9c8zyw_24_8"/>
      <w:bookmarkStart w:id="275" w:name="Tc_l0g2NADeaE-34eNPyqEhRw_24_5"/>
      <w:bookmarkStart w:id="276" w:name="Tc_1dWbLM_MfE2j8b7HmKH16g_24_2"/>
      <w:bookmarkStart w:id="277" w:name="Tc_mqTrXQUywUSeA_dCkNVcuQ_24_0"/>
      <w:bookmarkStart w:id="278" w:name="Tc_GMVO2Vqj_Ea_K9Og6m05yg_23_14"/>
      <w:bookmarkStart w:id="279" w:name="Tc_JAxqUz6KZUqWUlD8Dlr1Bg_23_8"/>
      <w:bookmarkStart w:id="280" w:name="Tc_p7SKdGeU40OanhYN2yYBuQ_23_5"/>
      <w:bookmarkStart w:id="281" w:name="Tc_MflNUOCY4ECwZ--pKNzkYQ_23_2"/>
      <w:bookmarkStart w:id="282" w:name="Tc_qecWqkaPIEu2j9_PG8h2Rw_23_0"/>
      <w:bookmarkStart w:id="283" w:name="Tc_RUO-gP08bkeQP7A3Ie_Htw_22_14"/>
      <w:bookmarkStart w:id="284" w:name="Tc_uBGovyn2MEKWNQnTpwTqOw_22_11"/>
      <w:bookmarkStart w:id="285" w:name="Tc_ASCqGBMSK0uRUDE03Fyhjw_22_5"/>
      <w:bookmarkStart w:id="286" w:name="Tc_qCWPXhU-WEG0UdE_3oRocg_22_0"/>
      <w:bookmarkStart w:id="287" w:name="Tc_xMjKeAYro0KJJosKZT1UrA_21_14"/>
      <w:bookmarkStart w:id="288" w:name="Tc_BJEoIz45RUWby36Lo7M1xQ_21_11"/>
      <w:bookmarkStart w:id="289" w:name="Tc_kLIhfJpIAUu9z0CARGqnrQ_21_5"/>
      <w:bookmarkStart w:id="290" w:name="Tc_DBOApXpIHUCnircK0izB5A_21_2"/>
      <w:bookmarkStart w:id="291" w:name="Tc_zDnCHYET7E2Q4jIy_o3JXA_21_0"/>
      <w:bookmarkStart w:id="292" w:name="Tc_HZ5FlnMtwkqGWWfia8jfHw_20_16"/>
      <w:bookmarkStart w:id="293" w:name="Tc_vfy3vzJwh0OgBaFP4DoCQA_20_13"/>
      <w:bookmarkStart w:id="294" w:name="Tc_ljoIgaVE50-g53-FjpIWcw_20_10"/>
      <w:bookmarkStart w:id="295" w:name="Tc_Jt-zMl5VLEqaV9VTXMXnig_20_7"/>
      <w:bookmarkStart w:id="296" w:name="Tc_nGArDIfpsE-ZU7P3Z8HuHA_20_4"/>
      <w:bookmarkStart w:id="297" w:name="Tc_n4gpghMxwEimCu1PjWt3pQ_20_0"/>
      <w:bookmarkStart w:id="298" w:name="Tc_Z3sx_fC02UKbr8sKvEuk8Q_19_16"/>
      <w:bookmarkStart w:id="299" w:name="Tc_mujZ0nclA0KJpif9sYBfIA_19_13"/>
      <w:bookmarkStart w:id="300" w:name="Tc_8blDihypvUCjRgX24AIX4Q_19_10"/>
      <w:bookmarkStart w:id="301" w:name="Tc_bFtE0mskqU2Ms1yA7SnrEw_19_7"/>
      <w:bookmarkStart w:id="302" w:name="Tc_SSlRd-7CS0CiuqfBFnvThA_19_4"/>
      <w:bookmarkStart w:id="303" w:name="Tc_4LMaMalJEUqdGh-OFb57hQ_19_2"/>
      <w:bookmarkStart w:id="304" w:name="Tc_ryk4VKlhvk2RREYyp7ksbw_18_16"/>
      <w:bookmarkStart w:id="305" w:name="Tc_CeercWw0mUOecIpne0BUMw_18_13"/>
      <w:bookmarkStart w:id="306" w:name="Tc_RjjCmm5eH0eCOMuuuB3VgQ_18_10"/>
      <w:bookmarkStart w:id="307" w:name="Tc_px9hKrOBpU2LdCaF69zRag_18_7"/>
      <w:bookmarkStart w:id="308" w:name="Tc_9Q3bugYgPE-bFAn_iM85cQ_18_2"/>
      <w:bookmarkStart w:id="309" w:name="Tc_wfMcb6_B6UmVqvGf5kC0CA_17_10"/>
      <w:bookmarkStart w:id="310" w:name="Tc_U9ygZgRqWkOGQnmwc9b38g_17_7"/>
      <w:bookmarkStart w:id="311" w:name="Tc_hsioOdNqLkS9OOArKa9jUw_16_2"/>
      <w:bookmarkStart w:id="312" w:name="Tc_9GE8xygXsEqZTcU5nfVmVA_14_2"/>
      <w:bookmarkStart w:id="313" w:name="Tc_wqs9F1eCwkO__PDBRPFshA_11_16"/>
      <w:bookmarkStart w:id="314" w:name="Tc_SL2uMWFwfUC90KgtFn1cwQ_11_13"/>
      <w:bookmarkStart w:id="315" w:name="Tc_QnBjhVjPZEyjgParDZ8brA_11_10"/>
      <w:bookmarkStart w:id="316" w:name="Tc_TyaZcGjtXUqYLX0NnvXqAA_11_7"/>
      <w:bookmarkStart w:id="317" w:name="Tc_aTKLfCu8BkK3s7qF84tDmA_11_4"/>
      <w:bookmarkStart w:id="318" w:name="Tc_6a_-25LjFECEkEJ_XiO-uQ_11_0"/>
      <w:bookmarkStart w:id="319" w:name="Tc_Om0U3P2GWk6Mn68oQPP3iQ_10_11"/>
      <w:bookmarkStart w:id="320" w:name="Tc_0U24BLkCWEGU0S_eCvZAog_10_8"/>
      <w:bookmarkStart w:id="321" w:name="Tc_gxKaq9pRa0aINFpTJv-K3Q_10_5"/>
      <w:bookmarkStart w:id="322" w:name="Tc_pVtmZ-nUsk2zkcIEpERelA_10_2"/>
      <w:bookmarkStart w:id="323" w:name="Tc_OFVhKlsMCEuasOpQzYiSQg_10_0"/>
      <w:bookmarkStart w:id="324" w:name="Tc_sC3SIWjok0GvHPOJlooXXg_9_14"/>
      <w:bookmarkStart w:id="325" w:name="Tc_qjRpeEusjkS9rK6sH8p8Lw_9_8"/>
      <w:bookmarkStart w:id="326" w:name="Tc_hJKf1pwYX0OzLPu3zWUnCA_9_5"/>
      <w:bookmarkStart w:id="327" w:name="Tc_rUwb3NW5jE6JHh_XlGM2ug_9_2"/>
      <w:bookmarkStart w:id="328" w:name="Tc_ugYpOhvDW0uqd8BQfc3vjw_9_0"/>
      <w:bookmarkStart w:id="329" w:name="Tc__u9Q-wKBp0mtQer2LhI39g_8_14"/>
      <w:bookmarkStart w:id="330" w:name="Tc_zw7YaVIsh0mtZj9hMUADBw_8_11"/>
      <w:bookmarkStart w:id="331" w:name="Tc_QEw7lR2dUE-otFYHPQxRAw_8_5"/>
      <w:bookmarkStart w:id="332" w:name="Tc_74D_FkSLo0WG4omHGdBQOw_8_2"/>
      <w:bookmarkStart w:id="333" w:name="Tc_SQhDTmk5LUuwnwVI5-jhmA_8_0"/>
      <w:bookmarkStart w:id="334" w:name="Tc_3KmqYqUISU-Yuz3kt9Dtvw_7_16"/>
      <w:bookmarkStart w:id="335" w:name="Tc_smNjfMT3vk2tDfUO5JuYPg_7_13"/>
      <w:bookmarkStart w:id="336" w:name="Tc_x4r5qDtOPk-D-i297UDfbQ_7_10"/>
      <w:bookmarkStart w:id="337" w:name="Tc_sRprJX6UsUyGgTsDWVeEQw_7_7"/>
      <w:bookmarkStart w:id="338" w:name="Tc_nJV35k1rl0qAHRtfyoCYEA_7_4"/>
      <w:bookmarkStart w:id="339" w:name="Tc_hWjgKuzHGEi71uwZGoGj7Q_7_0"/>
      <w:bookmarkStart w:id="340" w:name="Tc_mTlF_A9JDkmiHzb-VkZaoQ_6_16"/>
      <w:bookmarkStart w:id="341" w:name="Tc_7YRKqscBa0KfLl2NLjyNDA_6_13"/>
      <w:bookmarkStart w:id="342" w:name="Tc_TMj9v7eMqEaOSHI1sG7wUA_6_10"/>
      <w:bookmarkStart w:id="343" w:name="Tc_f9tKbsX5p0-qH-AyRkO9hQ_6_7"/>
      <w:bookmarkStart w:id="344" w:name="Tc_80IjUH6Tt0OMLUHznl6EIQ_6_4"/>
      <w:bookmarkStart w:id="345" w:name="Tc_t_3BivTta024eNjlVotg1w_6_2"/>
      <w:bookmarkStart w:id="346" w:name="Tc_-XuOv294U0qWm4xoF-3BZQ_5_16"/>
      <w:bookmarkStart w:id="347" w:name="Tc_d-5gItvFPU6AWfSvp_nIGQ_5_13"/>
      <w:bookmarkStart w:id="348" w:name="Tc_7RR8tj4qk0etIy-Mbb-MOA_5_10"/>
      <w:bookmarkStart w:id="349" w:name="Tc_7ZaZTj4wqUSvYAIHCtU8OQ_5_7"/>
      <w:bookmarkStart w:id="350" w:name="Tc_DAu3rXPRvUuRq5yfyqHsMQ_5_2"/>
      <w:bookmarkStart w:id="351" w:name="Tc_zyjmPxGR8k60drJ91JXqLQ_4_10"/>
      <w:bookmarkStart w:id="352" w:name="Tc_Vg03h9TqaUiF-jDlYbuavA_4_7"/>
      <w:bookmarkStart w:id="353" w:name="Tc_EaTaJaCS-kCiQFnFG-ig5w_3_2"/>
      <w:bookmarkStart w:id="354" w:name="Tc_htkP4-sVOkCz9IlUD7Cpug_1_2"/>
      <w:bookmarkStart w:id="355" w:name="_6cbf461b_2087_42ca_ba5b_ebd94191841d"/>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tbl>
      <w:tblPr>
        <w:tblW w:w="9112" w:type="dxa"/>
        <w:jc w:val="left"/>
        <w:tblInd w:w="0" w:type="dxa"/>
        <w:tblCellMar>
          <w:top w:w="0" w:type="dxa"/>
          <w:left w:w="0" w:type="dxa"/>
          <w:bottom w:w="0" w:type="dxa"/>
          <w:right w:w="0" w:type="dxa"/>
        </w:tblCellMar>
      </w:tblPr>
      <w:tblGrid>
        <w:gridCol w:w="3226"/>
        <w:gridCol w:w="146"/>
        <w:gridCol w:w="766"/>
        <w:gridCol w:w="109"/>
        <w:gridCol w:w="196"/>
        <w:gridCol w:w="375"/>
        <w:gridCol w:w="109"/>
        <w:gridCol w:w="181"/>
        <w:gridCol w:w="586"/>
        <w:gridCol w:w="109"/>
        <w:gridCol w:w="340"/>
        <w:gridCol w:w="905"/>
        <w:gridCol w:w="109"/>
        <w:gridCol w:w="194"/>
        <w:gridCol w:w="677"/>
        <w:gridCol w:w="109"/>
        <w:gridCol w:w="205"/>
        <w:gridCol w:w="770"/>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48510" cy="175260"/>
                      <wp:effectExtent l="0" t="0" r="0" b="0"/>
                      <wp:wrapNone/>
                      <wp:docPr id="20" name="Frame20"/>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2710" cy="175260"/>
                      <wp:effectExtent l="0" t="0" r="0" b="0"/>
                      <wp:wrapNone/>
                      <wp:docPr id="21" name="Frame21"/>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486410" cy="175260"/>
                      <wp:effectExtent l="0" t="0" r="0" b="0"/>
                      <wp:wrapNone/>
                      <wp:docPr id="22" name="Frame22"/>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9215" cy="175260"/>
                      <wp:effectExtent l="0" t="0" r="0" b="0"/>
                      <wp:wrapNone/>
                      <wp:docPr id="23" name="Frame23"/>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24460" cy="175260"/>
                      <wp:effectExtent l="0" t="0" r="0" b="0"/>
                      <wp:wrapNone/>
                      <wp:docPr id="24" name="Frame24"/>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38125" cy="175260"/>
                      <wp:effectExtent l="0" t="0" r="0" b="0"/>
                      <wp:wrapNone/>
                      <wp:docPr id="25" name="Frame25"/>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9215" cy="175260"/>
                      <wp:effectExtent l="0" t="0" r="0" b="0"/>
                      <wp:wrapNone/>
                      <wp:docPr id="26" name="Frame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114935" cy="175260"/>
                      <wp:effectExtent l="0" t="0" r="0" b="0"/>
                      <wp:wrapNone/>
                      <wp:docPr id="27" name="Frame27"/>
                      <a:graphic xmlns:a="http://schemas.openxmlformats.org/drawingml/2006/main">
                        <a:graphicData uri="http://schemas.microsoft.com/office/word/2010/wordprocessingShape">
                          <wps:wsp>
                            <wps:cNvSpPr txBox="1"/>
                            <wps:spPr>
                              <a:xfrm>
                                <a:off x="0" y="0"/>
                                <a:ext cx="1149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72110" cy="175260"/>
                      <wp:effectExtent l="0" t="0" r="0" b="0"/>
                      <wp:wrapNone/>
                      <wp:docPr id="28" name="Frame2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9215" cy="175260"/>
                      <wp:effectExtent l="0" t="0" r="0" b="0"/>
                      <wp:wrapNone/>
                      <wp:docPr id="29" name="Frame29"/>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15900" cy="175260"/>
                      <wp:effectExtent l="0" t="0" r="0" b="0"/>
                      <wp:wrapNone/>
                      <wp:docPr id="30" name="Frame30"/>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574675" cy="175260"/>
                      <wp:effectExtent l="0" t="0" r="0" b="0"/>
                      <wp:wrapNone/>
                      <wp:docPr id="31" name="Frame31"/>
                      <a:graphic xmlns:a="http://schemas.openxmlformats.org/drawingml/2006/main">
                        <a:graphicData uri="http://schemas.microsoft.com/office/word/2010/wordprocessingShape">
                          <wps:wsp>
                            <wps:cNvSpPr txBox="1"/>
                            <wps:spPr>
                              <a:xfrm>
                                <a:off x="0" y="0"/>
                                <a:ext cx="5746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9215" cy="175260"/>
                      <wp:effectExtent l="0" t="0" r="0" b="0"/>
                      <wp:wrapNone/>
                      <wp:docPr id="32" name="Frame32"/>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23190" cy="175260"/>
                      <wp:effectExtent l="0" t="0" r="0" b="0"/>
                      <wp:wrapNone/>
                      <wp:docPr id="33" name="Frame33"/>
                      <a:graphic xmlns:a="http://schemas.openxmlformats.org/drawingml/2006/main">
                        <a:graphicData uri="http://schemas.microsoft.com/office/word/2010/wordprocessingShape">
                          <wps:wsp>
                            <wps:cNvSpPr txBox="1"/>
                            <wps:spPr>
                              <a:xfrm>
                                <a:off x="0" y="0"/>
                                <a:ext cx="1231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895" cy="175260"/>
                      <wp:effectExtent l="0" t="0" r="0" b="0"/>
                      <wp:wrapNone/>
                      <wp:docPr id="34" name="Frame34"/>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9215" cy="175260"/>
                      <wp:effectExtent l="0" t="0" r="0" b="0"/>
                      <wp:wrapNone/>
                      <wp:docPr id="35" name="Frame35"/>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0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0175" cy="175260"/>
                      <wp:effectExtent l="0" t="0" r="0" b="0"/>
                      <wp:wrapNone/>
                      <wp:docPr id="36" name="Frame36"/>
                      <a:graphic xmlns:a="http://schemas.openxmlformats.org/drawingml/2006/main">
                        <a:graphicData uri="http://schemas.microsoft.com/office/word/2010/wordprocessingShape">
                          <wps:wsp>
                            <wps:cNvSpPr txBox="1"/>
                            <wps:spPr>
                              <a:xfrm>
                                <a:off x="0" y="0"/>
                                <a:ext cx="13017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88950" cy="175260"/>
                      <wp:effectExtent l="0" t="0" r="0" b="0"/>
                      <wp:wrapNone/>
                      <wp:docPr id="37" name="Frame37"/>
                      <a:graphic xmlns:a="http://schemas.openxmlformats.org/drawingml/2006/main">
                        <a:graphicData uri="http://schemas.microsoft.com/office/word/2010/wordprocessingShape">
                          <wps:wsp>
                            <wps:cNvSpPr txBox="1"/>
                            <wps:spPr>
                              <a:xfrm>
                                <a:off x="0" y="0"/>
                                <a:ext cx="48895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5740" w:type="dxa"/>
            <w:gridSpan w:val="1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2023</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340" w:type="dxa"/>
            <w:tcBorders/>
            <w:shd w:fill="auto" w:val="clear"/>
            <w:vAlign w:val="center"/>
          </w:tcPr>
          <w:p>
            <w:pPr>
              <w:pStyle w:val="TableContents"/>
              <w:spacing w:before="0" w:after="1"/>
              <w:ind w:left="0" w:right="0" w:hanging="0"/>
              <w:jc w:val="center"/>
              <w:rPr/>
            </w:pPr>
            <w:r>
              <w:rPr/>
              <w:t>​</w:t>
            </w:r>
          </w:p>
        </w:tc>
        <w:tc>
          <w:tcPr>
            <w:tcW w:w="90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center"/>
              <w:rPr/>
            </w:pPr>
            <w:r>
              <w:rPr/>
              <w:t>​</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5740" w:type="dxa"/>
            <w:gridSpan w:val="1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 xml:space="preserve">Stockholders’ Equity </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shd w:fill="auto" w:val="clear"/>
            <w:vAlign w:val="center"/>
          </w:tcPr>
          <w:p>
            <w:pPr>
              <w:pStyle w:val="TableContents"/>
              <w:spacing w:before="0" w:after="1"/>
              <w:ind w:left="0" w:right="0" w:hanging="0"/>
              <w:rPr/>
            </w:pPr>
            <w:r>
              <w:rPr/>
              <w:t>​</w:t>
            </w:r>
          </w:p>
        </w:tc>
        <w:tc>
          <w:tcPr>
            <w:tcW w:w="12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center"/>
              <w:rPr/>
            </w:pPr>
            <w:r>
              <w:rPr/>
              <w:t> </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446"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shd w:fill="auto" w:val="clear"/>
            <w:vAlign w:val="center"/>
          </w:tcPr>
          <w:p>
            <w:pPr>
              <w:pStyle w:val="TableContents"/>
              <w:spacing w:before="0" w:after="1"/>
              <w:ind w:left="0" w:right="0" w:hanging="0"/>
              <w:rPr/>
            </w:pPr>
            <w:r>
              <w:rPr/>
              <w:t>​</w:t>
            </w:r>
          </w:p>
        </w:tc>
        <w:tc>
          <w:tcPr>
            <w:tcW w:w="12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shd w:fill="auto" w:val="clear"/>
            <w:vAlign w:val="center"/>
          </w:tcPr>
          <w:p>
            <w:pPr>
              <w:pStyle w:val="TableContents"/>
              <w:spacing w:before="0" w:after="1"/>
              <w:ind w:left="0" w:right="0" w:hanging="0"/>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shd w:fill="auto" w:val="clear"/>
            <w:vAlign w:val="center"/>
          </w:tcPr>
          <w:p>
            <w:pPr>
              <w:pStyle w:val="TableContents"/>
              <w:spacing w:before="0" w:after="1"/>
              <w:ind w:left="0" w:right="0" w:hanging="0"/>
              <w:rPr/>
            </w:pPr>
            <w:r>
              <w:rPr/>
              <w:t>​</w:t>
            </w:r>
          </w:p>
        </w:tc>
        <w:tc>
          <w:tcPr>
            <w:tcW w:w="97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shd w:fill="auto" w:val="clear"/>
            <w:vAlign w:val="center"/>
          </w:tcPr>
          <w:p>
            <w:pPr>
              <w:pStyle w:val="TableContents"/>
              <w:spacing w:before="0" w:after="1"/>
              <w:ind w:left="0" w:right="0" w:hanging="0"/>
              <w:rPr/>
            </w:pPr>
            <w:r>
              <w:rPr/>
              <w:t>​</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shd w:fill="auto" w:val="clear"/>
            <w:vAlign w:val="center"/>
          </w:tcPr>
          <w:p>
            <w:pPr>
              <w:pStyle w:val="TableContents"/>
              <w:spacing w:before="0" w:after="1"/>
              <w:ind w:left="0" w:right="0" w:hanging="0"/>
              <w:rPr/>
            </w:pPr>
            <w:r>
              <w:rPr/>
              <w:t>​</w:t>
            </w:r>
          </w:p>
        </w:tc>
        <w:tc>
          <w:tcPr>
            <w:tcW w:w="12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shd w:fill="auto" w:val="clear"/>
            <w:vAlign w:val="center"/>
          </w:tcPr>
          <w:p>
            <w:pPr>
              <w:pStyle w:val="TableContents"/>
              <w:spacing w:before="0" w:after="1"/>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shd w:fill="auto" w:val="clear"/>
            <w:vAlign w:val="center"/>
          </w:tcPr>
          <w:p>
            <w:pPr>
              <w:pStyle w:val="TableContents"/>
              <w:spacing w:before="0" w:after="1"/>
              <w:ind w:left="0" w:right="0" w:hanging="0"/>
              <w:rPr/>
            </w:pPr>
            <w:r>
              <w:rPr/>
              <w:t>​</w:t>
            </w:r>
          </w:p>
        </w:tc>
        <w:tc>
          <w:tcPr>
            <w:tcW w:w="97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Balance as of December 31, 2022</w:t>
            </w:r>
          </w:p>
        </w:tc>
        <w:tc>
          <w:tcPr>
            <w:tcW w:w="14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27,774,536</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430,755</w:t>
            </w:r>
          </w:p>
        </w:tc>
        <w:tc>
          <w:tcPr>
            <w:tcW w:w="109" w:type="dxa"/>
            <w:tcBorders/>
            <w:shd w:fill="CCEEFF" w:val="clear"/>
            <w:vAlign w:val="center"/>
          </w:tcPr>
          <w:p>
            <w:pPr>
              <w:pStyle w:val="TableContents"/>
              <w:spacing w:before="0" w:after="1"/>
              <w:ind w:left="0" w:right="0" w:hanging="0"/>
              <w:rPr/>
            </w:pPr>
            <w:r>
              <w:rPr/>
              <w:t>​</w:t>
            </w:r>
          </w:p>
        </w:tc>
        <w:tc>
          <w:tcPr>
            <w:tcW w:w="340"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5"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(1,494)</w:t>
            </w:r>
          </w:p>
        </w:tc>
        <w:tc>
          <w:tcPr>
            <w:tcW w:w="109" w:type="dxa"/>
            <w:tcBorders/>
            <w:shd w:fill="CCEEFF" w:val="clear"/>
            <w:vAlign w:val="center"/>
          </w:tcPr>
          <w:p>
            <w:pPr>
              <w:pStyle w:val="TableContents"/>
              <w:spacing w:before="0" w:after="1"/>
              <w:ind w:left="0" w:right="0" w:hanging="0"/>
              <w:rPr/>
            </w:pPr>
            <w:r>
              <w:rPr/>
              <w:t>​</w:t>
            </w:r>
          </w:p>
        </w:tc>
        <w:tc>
          <w:tcPr>
            <w:tcW w:w="194"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(261,759)</w:t>
            </w:r>
          </w:p>
        </w:tc>
        <w:tc>
          <w:tcPr>
            <w:tcW w:w="109"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167,530</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Stock-based compensation</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2,078</w:t>
            </w:r>
          </w:p>
        </w:tc>
        <w:tc>
          <w:tcPr>
            <w:tcW w:w="109" w:type="dxa"/>
            <w:tcBorders/>
            <w:shd w:fill="auto" w:val="clear"/>
            <w:vAlign w:val="center"/>
          </w:tcPr>
          <w:p>
            <w:pPr>
              <w:pStyle w:val="TableContents"/>
              <w:spacing w:before="0" w:after="1"/>
              <w:ind w:left="0" w:right="0" w:hanging="0"/>
              <w:rPr/>
            </w:pPr>
            <w:r>
              <w:rPr/>
              <w:t>​</w:t>
            </w:r>
          </w:p>
        </w:tc>
        <w:tc>
          <w:tcPr>
            <w:tcW w:w="340" w:type="dxa"/>
            <w:tcBorders/>
            <w:shd w:fill="auto" w:val="clear"/>
            <w:vAlign w:val="center"/>
          </w:tcPr>
          <w:p>
            <w:pPr>
              <w:pStyle w:val="TableContents"/>
              <w:spacing w:before="0" w:after="1"/>
              <w:ind w:left="0" w:right="0" w:hanging="0"/>
              <w:rPr/>
            </w:pPr>
            <w:r>
              <w:rPr/>
              <w:t>​</w:t>
            </w:r>
          </w:p>
        </w:tc>
        <w:tc>
          <w:tcPr>
            <w:tcW w:w="905"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2,078</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Unrealized gain on marketable securities, net of tax $0</w:t>
            </w:r>
          </w:p>
        </w:tc>
        <w:tc>
          <w:tcPr>
            <w:tcW w:w="14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0" w:type="dxa"/>
            <w:tcBorders/>
            <w:shd w:fill="CCEEFF" w:val="clear"/>
            <w:vAlign w:val="center"/>
          </w:tcPr>
          <w:p>
            <w:pPr>
              <w:pStyle w:val="TableContents"/>
              <w:spacing w:before="0" w:after="1"/>
              <w:ind w:left="0" w:right="0" w:hanging="0"/>
              <w:rPr/>
            </w:pPr>
            <w:r>
              <w:rPr/>
              <w:t>​</w:t>
            </w:r>
          </w:p>
        </w:tc>
        <w:tc>
          <w:tcPr>
            <w:tcW w:w="905"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691</w:t>
            </w:r>
          </w:p>
        </w:tc>
        <w:tc>
          <w:tcPr>
            <w:tcW w:w="109" w:type="dxa"/>
            <w:tcBorders/>
            <w:shd w:fill="CCEEFF" w:val="clear"/>
            <w:vAlign w:val="center"/>
          </w:tcPr>
          <w:p>
            <w:pPr>
              <w:pStyle w:val="TableContents"/>
              <w:spacing w:before="0" w:after="1"/>
              <w:ind w:left="0" w:right="0" w:hanging="0"/>
              <w:rPr/>
            </w:pPr>
            <w:r>
              <w:rPr/>
              <w:t>​</w:t>
            </w:r>
          </w:p>
        </w:tc>
        <w:tc>
          <w:tcPr>
            <w:tcW w:w="194" w:type="dxa"/>
            <w:tcBorders/>
            <w:shd w:fill="CCEEFF" w:val="clear"/>
            <w:vAlign w:val="center"/>
          </w:tcPr>
          <w:p>
            <w:pPr>
              <w:pStyle w:val="TableContents"/>
              <w:spacing w:before="0" w:after="1"/>
              <w:ind w:left="0" w:right="0" w:hanging="0"/>
              <w:rPr/>
            </w:pPr>
            <w:r>
              <w:rPr/>
              <w:t>​</w:t>
            </w:r>
          </w:p>
        </w:tc>
        <w:tc>
          <w:tcPr>
            <w:tcW w:w="677"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691</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Net loss</w:t>
            </w:r>
          </w:p>
        </w:tc>
        <w:tc>
          <w:tcPr>
            <w:tcW w:w="146" w:type="dxa"/>
            <w:tcBorders/>
            <w:shd w:fill="auto" w:val="clear"/>
            <w:vAlign w:val="center"/>
          </w:tcPr>
          <w:p>
            <w:pPr>
              <w:pStyle w:val="TableContents"/>
              <w:spacing w:before="0" w:after="1"/>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37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40"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905"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(16,096)</w:t>
            </w:r>
          </w:p>
        </w:tc>
        <w:tc>
          <w:tcPr>
            <w:tcW w:w="109" w:type="dxa"/>
            <w:tcBorders/>
            <w:shd w:fill="auto" w:val="clear"/>
            <w:vAlign w:val="center"/>
          </w:tcPr>
          <w:p>
            <w:pPr>
              <w:pStyle w:val="TableContents"/>
              <w:spacing w:before="0" w:after="1"/>
              <w:ind w:left="0" w:right="0" w:hanging="0"/>
              <w:rPr/>
            </w:pPr>
            <w:r>
              <w:rPr/>
              <w:t>​</w:t>
            </w:r>
          </w:p>
        </w:tc>
        <w:tc>
          <w:tcPr>
            <w:tcW w:w="205"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770"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(16,096)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Balance as of March 31, 2023</w:t>
            </w:r>
          </w:p>
        </w:tc>
        <w:tc>
          <w:tcPr>
            <w:tcW w:w="146" w:type="dxa"/>
            <w:tcBorders/>
            <w:shd w:fill="CCEEFF" w:val="clear"/>
            <w:vAlign w:val="center"/>
          </w:tcPr>
          <w:p>
            <w:pPr>
              <w:pStyle w:val="TableContents"/>
              <w:spacing w:before="0" w:after="1"/>
              <w:ind w:left="0" w:right="0" w:hanging="0"/>
              <w:rPr/>
            </w:pPr>
            <w:r>
              <w:rPr/>
              <w:t>​</w:t>
            </w:r>
          </w:p>
        </w:tc>
        <w:tc>
          <w:tcPr>
            <w:tcW w:w="76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27,774,536</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spacing w:before="0" w:after="1"/>
              <w:ind w:left="0" w:right="0" w:hanging="0"/>
              <w:rPr/>
            </w:pPr>
            <w:r>
              <w:rPr/>
              <w:t>​</w:t>
            </w:r>
          </w:p>
        </w:tc>
        <w:tc>
          <w:tcPr>
            <w:tcW w:w="18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432,833</w:t>
            </w:r>
          </w:p>
        </w:tc>
        <w:tc>
          <w:tcPr>
            <w:tcW w:w="109" w:type="dxa"/>
            <w:tcBorders/>
            <w:shd w:fill="CCEEFF" w:val="clear"/>
            <w:vAlign w:val="center"/>
          </w:tcPr>
          <w:p>
            <w:pPr>
              <w:pStyle w:val="TableContents"/>
              <w:spacing w:before="0" w:after="1"/>
              <w:ind w:left="0" w:right="0" w:hanging="0"/>
              <w:rPr/>
            </w:pPr>
            <w:r>
              <w:rPr/>
              <w:t>​</w:t>
            </w:r>
          </w:p>
        </w:tc>
        <w:tc>
          <w:tcPr>
            <w:tcW w:w="340"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5"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(803)</w:t>
            </w:r>
          </w:p>
        </w:tc>
        <w:tc>
          <w:tcPr>
            <w:tcW w:w="109" w:type="dxa"/>
            <w:tcBorders/>
            <w:shd w:fill="CCEEFF" w:val="clear"/>
            <w:vAlign w:val="center"/>
          </w:tcPr>
          <w:p>
            <w:pPr>
              <w:pStyle w:val="TableContents"/>
              <w:spacing w:before="0" w:after="1"/>
              <w:ind w:left="0" w:right="0" w:hanging="0"/>
              <w:rPr/>
            </w:pPr>
            <w:r>
              <w:rPr/>
              <w:t>​</w:t>
            </w:r>
          </w:p>
        </w:tc>
        <w:tc>
          <w:tcPr>
            <w:tcW w:w="19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(277,855)</w:t>
            </w:r>
          </w:p>
        </w:tc>
        <w:tc>
          <w:tcPr>
            <w:tcW w:w="109" w:type="dxa"/>
            <w:tcBorders/>
            <w:shd w:fill="CCEEFF" w:val="clear"/>
            <w:vAlign w:val="center"/>
          </w:tcPr>
          <w:p>
            <w:pPr>
              <w:pStyle w:val="TableContents"/>
              <w:spacing w:before="0" w:after="1"/>
              <w:ind w:left="0" w:right="0" w:hanging="0"/>
              <w:rPr/>
            </w:pPr>
            <w:r>
              <w:rPr/>
              <w:t>​</w:t>
            </w:r>
          </w:p>
        </w:tc>
        <w:tc>
          <w:tcPr>
            <w:tcW w:w="205"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70"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154,203</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0" w:type="dxa"/>
            <w:tcBorders/>
            <w:shd w:fill="auto" w:val="clear"/>
            <w:vAlign w:val="center"/>
          </w:tcPr>
          <w:p>
            <w:pPr>
              <w:pStyle w:val="TableContents"/>
              <w:spacing w:before="0" w:after="1"/>
              <w:ind w:left="0" w:right="0" w:hanging="0"/>
              <w:rPr/>
            </w:pPr>
            <w:r>
              <w:rPr/>
              <w:t>​</w:t>
            </w:r>
          </w:p>
        </w:tc>
        <w:tc>
          <w:tcPr>
            <w:tcW w:w="905"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340" w:type="dxa"/>
            <w:tcBorders/>
            <w:shd w:fill="auto" w:val="clear"/>
            <w:vAlign w:val="center"/>
          </w:tcPr>
          <w:p>
            <w:pPr>
              <w:pStyle w:val="TableContents"/>
              <w:spacing w:before="0" w:after="1"/>
              <w:ind w:left="0" w:right="0" w:hanging="0"/>
              <w:rPr/>
            </w:pPr>
            <w:r>
              <w:rPr/>
              <w:t>​</w:t>
            </w:r>
          </w:p>
        </w:tc>
        <w:tc>
          <w:tcPr>
            <w:tcW w:w="905"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rPr/>
            </w:pPr>
            <w:r>
              <w:rPr/>
              <w:t>​</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5740" w:type="dxa"/>
            <w:gridSpan w:val="1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Three Months Ended March 31, 2022</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jc w:val="center"/>
              <w:rPr/>
            </w:pPr>
            <w:r>
              <w:rPr/>
              <w:t>​</w:t>
            </w:r>
          </w:p>
        </w:tc>
        <w:tc>
          <w:tcPr>
            <w:tcW w:w="340" w:type="dxa"/>
            <w:tcBorders/>
            <w:shd w:fill="auto" w:val="clear"/>
            <w:vAlign w:val="center"/>
          </w:tcPr>
          <w:p>
            <w:pPr>
              <w:pStyle w:val="TableContents"/>
              <w:spacing w:before="0" w:after="1"/>
              <w:ind w:left="0" w:right="0" w:hanging="0"/>
              <w:jc w:val="center"/>
              <w:rPr/>
            </w:pPr>
            <w:r>
              <w:rPr/>
              <w:t>​</w:t>
            </w:r>
          </w:p>
        </w:tc>
        <w:tc>
          <w:tcPr>
            <w:tcW w:w="90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center"/>
              <w:rPr/>
            </w:pPr>
            <w:r>
              <w:rPr/>
              <w:t>​</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5740" w:type="dxa"/>
            <w:gridSpan w:val="16"/>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 Equity</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shd w:fill="auto" w:val="clear"/>
            <w:vAlign w:val="center"/>
          </w:tcPr>
          <w:p>
            <w:pPr>
              <w:pStyle w:val="TableContents"/>
              <w:spacing w:before="0" w:after="1"/>
              <w:ind w:left="0" w:right="0" w:hanging="0"/>
              <w:jc w:val="center"/>
              <w:rPr/>
            </w:pPr>
            <w:r>
              <w:rPr/>
              <w:t>​</w:t>
            </w:r>
          </w:p>
        </w:tc>
        <w:tc>
          <w:tcPr>
            <w:tcW w:w="12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 Other</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center"/>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center"/>
              <w:rPr/>
            </w:pPr>
            <w:r>
              <w:rPr/>
              <w:t> </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446"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shd w:fill="auto" w:val="clear"/>
            <w:vAlign w:val="center"/>
          </w:tcPr>
          <w:p>
            <w:pPr>
              <w:pStyle w:val="TableContents"/>
              <w:spacing w:before="0" w:after="1"/>
              <w:ind w:left="0" w:right="0" w:hanging="0"/>
              <w:rPr/>
            </w:pPr>
            <w:r>
              <w:rPr/>
              <w:t>​</w:t>
            </w:r>
          </w:p>
        </w:tc>
        <w:tc>
          <w:tcPr>
            <w:tcW w:w="124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shd w:fill="auto" w:val="clear"/>
            <w:vAlign w:val="center"/>
          </w:tcPr>
          <w:p>
            <w:pPr>
              <w:pStyle w:val="TableContents"/>
              <w:spacing w:before="0" w:after="1"/>
              <w:ind w:left="0" w:right="0" w:hanging="0"/>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shd w:fill="auto" w:val="clear"/>
            <w:vAlign w:val="center"/>
          </w:tcPr>
          <w:p>
            <w:pPr>
              <w:pStyle w:val="TableContents"/>
              <w:spacing w:before="0" w:after="1"/>
              <w:ind w:left="0" w:right="0" w:hanging="0"/>
              <w:rPr/>
            </w:pPr>
            <w:r>
              <w:rPr/>
              <w:t>​</w:t>
            </w:r>
          </w:p>
        </w:tc>
        <w:tc>
          <w:tcPr>
            <w:tcW w:w="975"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3226"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76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109" w:type="dxa"/>
            <w:tcBorders/>
            <w:shd w:fill="auto" w:val="clear"/>
            <w:vAlign w:val="center"/>
          </w:tcPr>
          <w:p>
            <w:pPr>
              <w:pStyle w:val="TableContents"/>
              <w:spacing w:before="0" w:after="1"/>
              <w:ind w:left="0" w:right="0" w:hanging="0"/>
              <w:rPr/>
            </w:pPr>
            <w:r>
              <w:rPr/>
              <w:t>​</w:t>
            </w:r>
          </w:p>
        </w:tc>
        <w:tc>
          <w:tcPr>
            <w:tcW w:w="5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shd w:fill="auto" w:val="clear"/>
            <w:vAlign w:val="center"/>
          </w:tcPr>
          <w:p>
            <w:pPr>
              <w:pStyle w:val="TableContents"/>
              <w:spacing w:before="0" w:after="1"/>
              <w:ind w:left="0" w:right="0" w:hanging="0"/>
              <w:rPr/>
            </w:pPr>
            <w:r>
              <w:rPr/>
              <w:t>​</w:t>
            </w:r>
          </w:p>
        </w:tc>
        <w:tc>
          <w:tcPr>
            <w:tcW w:w="76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shd w:fill="auto" w:val="clear"/>
            <w:vAlign w:val="center"/>
          </w:tcPr>
          <w:p>
            <w:pPr>
              <w:pStyle w:val="TableContents"/>
              <w:spacing w:before="0" w:after="1"/>
              <w:ind w:left="0" w:right="0" w:hanging="0"/>
              <w:rPr/>
            </w:pPr>
            <w:r>
              <w:rPr/>
              <w:t>​</w:t>
            </w:r>
          </w:p>
        </w:tc>
        <w:tc>
          <w:tcPr>
            <w:tcW w:w="124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shd w:fill="auto" w:val="clear"/>
            <w:vAlign w:val="center"/>
          </w:tcPr>
          <w:p>
            <w:pPr>
              <w:pStyle w:val="TableContents"/>
              <w:spacing w:before="0" w:after="1"/>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shd w:fill="auto" w:val="clear"/>
            <w:vAlign w:val="center"/>
          </w:tcPr>
          <w:p>
            <w:pPr>
              <w:pStyle w:val="TableContents"/>
              <w:spacing w:before="0" w:after="1"/>
              <w:ind w:left="0" w:right="0" w:hanging="0"/>
              <w:rPr/>
            </w:pPr>
            <w:r>
              <w:rPr/>
              <w:t>​</w:t>
            </w:r>
          </w:p>
        </w:tc>
        <w:tc>
          <w:tcPr>
            <w:tcW w:w="975"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Balance as of December 31, 2021</w:t>
            </w:r>
          </w:p>
        </w:tc>
        <w:tc>
          <w:tcPr>
            <w:tcW w:w="146" w:type="dxa"/>
            <w:tcBorders/>
            <w:shd w:fill="CCEEFF" w:val="clear"/>
            <w:vAlign w:val="center"/>
          </w:tcPr>
          <w:p>
            <w:pPr>
              <w:pStyle w:val="TableContents"/>
              <w:spacing w:before="0" w:after="1"/>
              <w:ind w:left="0" w:right="0" w:hanging="0"/>
              <w:rPr/>
            </w:pPr>
            <w:r>
              <w:rPr/>
              <w:t> </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27,680,997</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421,047</w:t>
            </w:r>
          </w:p>
        </w:tc>
        <w:tc>
          <w:tcPr>
            <w:tcW w:w="109" w:type="dxa"/>
            <w:tcBorders/>
            <w:shd w:fill="CCEEFF" w:val="clear"/>
            <w:vAlign w:val="center"/>
          </w:tcPr>
          <w:p>
            <w:pPr>
              <w:pStyle w:val="TableContents"/>
              <w:spacing w:before="0" w:after="1"/>
              <w:ind w:left="0" w:right="0" w:hanging="0"/>
              <w:rPr/>
            </w:pPr>
            <w:r>
              <w:rPr/>
              <w:t>​</w:t>
            </w:r>
          </w:p>
        </w:tc>
        <w:tc>
          <w:tcPr>
            <w:tcW w:w="340"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5"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(663)</w:t>
            </w:r>
          </w:p>
        </w:tc>
        <w:tc>
          <w:tcPr>
            <w:tcW w:w="109" w:type="dxa"/>
            <w:tcBorders/>
            <w:shd w:fill="CCEEFF" w:val="clear"/>
            <w:vAlign w:val="center"/>
          </w:tcPr>
          <w:p>
            <w:pPr>
              <w:pStyle w:val="TableContents"/>
              <w:spacing w:before="0" w:after="1"/>
              <w:ind w:left="0" w:right="0" w:hanging="0"/>
              <w:rPr/>
            </w:pPr>
            <w:r>
              <w:rPr/>
              <w:t>​</w:t>
            </w:r>
          </w:p>
        </w:tc>
        <w:tc>
          <w:tcPr>
            <w:tcW w:w="194"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(187,026)</w:t>
            </w:r>
          </w:p>
        </w:tc>
        <w:tc>
          <w:tcPr>
            <w:tcW w:w="109"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233,386</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Stock-based compensation</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2,628</w:t>
            </w:r>
          </w:p>
        </w:tc>
        <w:tc>
          <w:tcPr>
            <w:tcW w:w="109" w:type="dxa"/>
            <w:tcBorders/>
            <w:shd w:fill="auto" w:val="clear"/>
            <w:vAlign w:val="center"/>
          </w:tcPr>
          <w:p>
            <w:pPr>
              <w:pStyle w:val="TableContents"/>
              <w:spacing w:before="0" w:after="1"/>
              <w:ind w:left="0" w:right="0" w:hanging="0"/>
              <w:rPr/>
            </w:pPr>
            <w:r>
              <w:rPr/>
              <w:t>​</w:t>
            </w:r>
          </w:p>
        </w:tc>
        <w:tc>
          <w:tcPr>
            <w:tcW w:w="340" w:type="dxa"/>
            <w:tcBorders/>
            <w:shd w:fill="auto" w:val="clear"/>
            <w:vAlign w:val="center"/>
          </w:tcPr>
          <w:p>
            <w:pPr>
              <w:pStyle w:val="TableContents"/>
              <w:spacing w:before="0" w:after="1"/>
              <w:ind w:left="0" w:right="0" w:hanging="0"/>
              <w:rPr/>
            </w:pPr>
            <w:r>
              <w:rPr/>
              <w:t>​</w:t>
            </w:r>
          </w:p>
        </w:tc>
        <w:tc>
          <w:tcPr>
            <w:tcW w:w="905"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2,628</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Exercise of stock options</w:t>
            </w:r>
          </w:p>
        </w:tc>
        <w:tc>
          <w:tcPr>
            <w:tcW w:w="146" w:type="dxa"/>
            <w:tcBorders/>
            <w:shd w:fill="CCEEFF" w:val="clear"/>
            <w:vAlign w:val="center"/>
          </w:tcPr>
          <w:p>
            <w:pPr>
              <w:pStyle w:val="TableContents"/>
              <w:spacing w:before="0" w:after="1"/>
              <w:ind w:left="0" w:right="0" w:hanging="0"/>
              <w:rPr/>
            </w:pPr>
            <w:r>
              <w:rPr/>
              <w:t>​</w:t>
            </w:r>
          </w:p>
        </w:tc>
        <w:tc>
          <w:tcPr>
            <w:tcW w:w="76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44,165</w:t>
            </w:r>
          </w:p>
        </w:tc>
        <w:tc>
          <w:tcPr>
            <w:tcW w:w="109"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w:t>
            </w:r>
          </w:p>
        </w:tc>
        <w:tc>
          <w:tcPr>
            <w:tcW w:w="375"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81"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c>
          <w:tcPr>
            <w:tcW w:w="109" w:type="dxa"/>
            <w:tcBorders/>
            <w:shd w:fill="CCEEFF" w:val="clear"/>
            <w:vAlign w:val="center"/>
          </w:tcPr>
          <w:p>
            <w:pPr>
              <w:pStyle w:val="TableContents"/>
              <w:spacing w:before="0" w:after="1"/>
              <w:ind w:left="0" w:right="0" w:hanging="0"/>
              <w:rPr/>
            </w:pPr>
            <w:r>
              <w:rPr/>
              <w:t>​</w:t>
            </w:r>
          </w:p>
        </w:tc>
        <w:tc>
          <w:tcPr>
            <w:tcW w:w="340" w:type="dxa"/>
            <w:tcBorders/>
            <w:shd w:fill="CCEEFF" w:val="clear"/>
            <w:vAlign w:val="center"/>
          </w:tcPr>
          <w:p>
            <w:pPr>
              <w:pStyle w:val="TableContents"/>
              <w:spacing w:before="0" w:after="1"/>
              <w:ind w:left="0" w:right="0" w:hanging="0"/>
              <w:rPr/>
            </w:pPr>
            <w:r>
              <w:rPr/>
              <w:t>​</w:t>
            </w:r>
          </w:p>
        </w:tc>
        <w:tc>
          <w:tcPr>
            <w:tcW w:w="905"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4" w:type="dxa"/>
            <w:tcBorders/>
            <w:shd w:fill="CCEEFF" w:val="clear"/>
            <w:vAlign w:val="center"/>
          </w:tcPr>
          <w:p>
            <w:pPr>
              <w:pStyle w:val="TableContents"/>
              <w:spacing w:before="0" w:after="1"/>
              <w:ind w:left="0" w:right="0" w:hanging="0"/>
              <w:rPr/>
            </w:pPr>
            <w:r>
              <w:rPr/>
              <w:t>​</w:t>
            </w:r>
          </w:p>
        </w:tc>
        <w:tc>
          <w:tcPr>
            <w:tcW w:w="677" w:type="dxa"/>
            <w:tcBorders/>
            <w:shd w:fill="CCEEFF" w:val="cle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205" w:type="dxa"/>
            <w:tcBorders/>
            <w:shd w:fill="CCEEFF" w:val="clear"/>
            <w:vAlign w:val="center"/>
          </w:tcPr>
          <w:p>
            <w:pPr>
              <w:pStyle w:val="TableContents"/>
              <w:spacing w:before="0" w:after="1"/>
              <w:ind w:left="0" w:right="0" w:hanging="0"/>
              <w:rPr/>
            </w:pPr>
            <w:r>
              <w:rPr/>
              <w:t>​</w:t>
            </w:r>
          </w:p>
        </w:tc>
        <w:tc>
          <w:tcPr>
            <w:tcW w:w="770" w:type="dxa"/>
            <w:tcBorders/>
            <w:shd w:fill="CCEEFF"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60</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Unrealized loss on marketable securities, net of tax $0</w:t>
            </w:r>
          </w:p>
        </w:tc>
        <w:tc>
          <w:tcPr>
            <w:tcW w:w="146" w:type="dxa"/>
            <w:tcBorders/>
            <w:shd w:fill="auto" w:val="clear"/>
            <w:vAlign w:val="center"/>
          </w:tcPr>
          <w:p>
            <w:pPr>
              <w:pStyle w:val="TableContents"/>
              <w:spacing w:before="0" w:after="1"/>
              <w:ind w:left="0" w:right="0" w:hanging="0"/>
              <w:rPr/>
            </w:pPr>
            <w:r>
              <w:rPr/>
              <w:t>​</w:t>
            </w:r>
          </w:p>
        </w:tc>
        <w:tc>
          <w:tcPr>
            <w:tcW w:w="76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375"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181"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340" w:type="dxa"/>
            <w:tcBorders/>
            <w:shd w:fill="auto" w:val="clear"/>
            <w:vAlign w:val="center"/>
          </w:tcPr>
          <w:p>
            <w:pPr>
              <w:pStyle w:val="TableContents"/>
              <w:spacing w:before="0" w:after="1"/>
              <w:ind w:left="0" w:right="0" w:hanging="0"/>
              <w:rPr/>
            </w:pPr>
            <w:r>
              <w:rPr/>
              <w:t>​</w:t>
            </w:r>
          </w:p>
        </w:tc>
        <w:tc>
          <w:tcPr>
            <w:tcW w:w="905"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(1,536)</w:t>
            </w:r>
          </w:p>
        </w:tc>
        <w:tc>
          <w:tcPr>
            <w:tcW w:w="109" w:type="dxa"/>
            <w:tcBorders/>
            <w:shd w:fill="auto" w:val="clear"/>
            <w:vAlign w:val="center"/>
          </w:tcPr>
          <w:p>
            <w:pPr>
              <w:pStyle w:val="TableContents"/>
              <w:spacing w:before="0" w:after="1"/>
              <w:ind w:left="0" w:right="0" w:hanging="0"/>
              <w:rPr/>
            </w:pPr>
            <w:r>
              <w:rPr/>
              <w:t>​</w:t>
            </w:r>
          </w:p>
        </w:tc>
        <w:tc>
          <w:tcPr>
            <w:tcW w:w="194" w:type="dxa"/>
            <w:tcBorders/>
            <w:shd w:fill="auto" w:val="clear"/>
            <w:vAlign w:val="center"/>
          </w:tcPr>
          <w:p>
            <w:pPr>
              <w:pStyle w:val="TableContents"/>
              <w:spacing w:before="0" w:after="1"/>
              <w:ind w:left="0" w:right="0" w:hanging="0"/>
              <w:rPr/>
            </w:pPr>
            <w:r>
              <w:rPr/>
              <w:t>​</w:t>
            </w:r>
          </w:p>
        </w:tc>
        <w:tc>
          <w:tcPr>
            <w:tcW w:w="677" w:type="dxa"/>
            <w:tcBorders/>
            <w:shd w:fill="auto" w:val="clear"/>
            <w:vAlign w:val="center"/>
          </w:tcPr>
          <w:p>
            <w:pPr>
              <w:pStyle w:val="TableContents"/>
              <w:spacing w:before="0" w:after="1"/>
              <w:ind w:left="0" w:right="0" w:hanging="0"/>
              <w:jc w:val="right"/>
              <w:rPr/>
            </w:pPr>
            <w:r>
              <w:rPr/>
              <w:t>—</w:t>
            </w:r>
          </w:p>
        </w:tc>
        <w:tc>
          <w:tcPr>
            <w:tcW w:w="109" w:type="dxa"/>
            <w:tcBorders/>
            <w:shd w:fill="auto" w:val="clear"/>
            <w:vAlign w:val="center"/>
          </w:tcPr>
          <w:p>
            <w:pPr>
              <w:pStyle w:val="TableContents"/>
              <w:spacing w:before="0" w:after="1"/>
              <w:ind w:left="0" w:right="0" w:hanging="0"/>
              <w:rPr/>
            </w:pPr>
            <w:r>
              <w:rPr/>
              <w:t>​</w:t>
            </w:r>
          </w:p>
        </w:tc>
        <w:tc>
          <w:tcPr>
            <w:tcW w:w="205" w:type="dxa"/>
            <w:tcBorders/>
            <w:shd w:fill="auto" w:val="clear"/>
            <w:vAlign w:val="center"/>
          </w:tcPr>
          <w:p>
            <w:pPr>
              <w:pStyle w:val="TableContents"/>
              <w:spacing w:before="0" w:after="1"/>
              <w:ind w:left="0" w:right="0" w:hanging="0"/>
              <w:rPr/>
            </w:pPr>
            <w:r>
              <w:rPr/>
              <w:t>​</w:t>
            </w:r>
          </w:p>
        </w:tc>
        <w:tc>
          <w:tcPr>
            <w:tcW w:w="770" w:type="dxa"/>
            <w:tcBorders/>
            <w:shd w:fill="auto" w:val="cle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(1,536)</w:t>
            </w:r>
          </w:p>
        </w:tc>
      </w:tr>
      <w:tr>
        <w:trPr/>
        <w:tc>
          <w:tcPr>
            <w:tcW w:w="3226" w:type="dxa"/>
            <w:tcBorders/>
            <w:shd w:fill="CCEEFF"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Net loss</w:t>
            </w:r>
          </w:p>
        </w:tc>
        <w:tc>
          <w:tcPr>
            <w:tcW w:w="146" w:type="dxa"/>
            <w:tcBorders/>
            <w:shd w:fill="CCEEFF" w:val="clear"/>
            <w:vAlign w:val="center"/>
          </w:tcPr>
          <w:p>
            <w:pPr>
              <w:pStyle w:val="TableContents"/>
              <w:spacing w:before="0" w:after="1"/>
              <w:ind w:left="0" w:right="0" w:hanging="0"/>
              <w:rPr/>
            </w:pPr>
            <w:r>
              <w:rPr/>
              <w:t> </w:t>
            </w:r>
          </w:p>
        </w:tc>
        <w:tc>
          <w:tcPr>
            <w:tcW w:w="76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37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8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34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905"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109" w:type="dxa"/>
            <w:tcBorders/>
            <w:shd w:fill="CCEEFF" w:val="clear"/>
            <w:vAlign w:val="center"/>
          </w:tcPr>
          <w:p>
            <w:pPr>
              <w:pStyle w:val="TableContents"/>
              <w:spacing w:before="0" w:after="1"/>
              <w:ind w:left="0" w:right="0" w:hanging="0"/>
              <w:rPr/>
            </w:pPr>
            <w:r>
              <w:rPr/>
              <w:t>​</w:t>
            </w:r>
          </w:p>
        </w:tc>
        <w:tc>
          <w:tcPr>
            <w:tcW w:w="194"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67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(20,602)</w:t>
            </w:r>
          </w:p>
        </w:tc>
        <w:tc>
          <w:tcPr>
            <w:tcW w:w="109" w:type="dxa"/>
            <w:tcBorders/>
            <w:shd w:fill="CCEEFF" w:val="clear"/>
            <w:vAlign w:val="center"/>
          </w:tcPr>
          <w:p>
            <w:pPr>
              <w:pStyle w:val="TableContents"/>
              <w:spacing w:before="0" w:after="1"/>
              <w:ind w:left="0" w:right="0" w:hanging="0"/>
              <w:rPr/>
            </w:pPr>
            <w:r>
              <w:rPr/>
              <w:t>​</w:t>
            </w:r>
          </w:p>
        </w:tc>
        <w:tc>
          <w:tcPr>
            <w:tcW w:w="205"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770"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(20,602)</w:t>
            </w:r>
          </w:p>
        </w:tc>
      </w:tr>
      <w:tr>
        <w:trPr/>
        <w:tc>
          <w:tcPr>
            <w:tcW w:w="3226" w:type="dxa"/>
            <w:tcBorders/>
            <w:shd w:fill="auto" w:val="cle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Balance as of March 31, 2022</w:t>
            </w:r>
          </w:p>
        </w:tc>
        <w:tc>
          <w:tcPr>
            <w:tcW w:w="146" w:type="dxa"/>
            <w:tcBorders/>
            <w:shd w:fill="auto" w:val="clear"/>
            <w:vAlign w:val="center"/>
          </w:tcPr>
          <w:p>
            <w:pPr>
              <w:pStyle w:val="TableContents"/>
              <w:spacing w:before="0" w:after="1"/>
              <w:ind w:left="0" w:right="0" w:hanging="0"/>
              <w:rPr/>
            </w:pPr>
            <w:r>
              <w:rPr/>
              <w:t>​</w:t>
            </w:r>
          </w:p>
        </w:tc>
        <w:tc>
          <w:tcPr>
            <w:tcW w:w="76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27,725,162</w:t>
            </w:r>
          </w:p>
        </w:tc>
        <w:tc>
          <w:tcPr>
            <w:tcW w:w="109"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28</w:t>
            </w:r>
          </w:p>
        </w:tc>
        <w:tc>
          <w:tcPr>
            <w:tcW w:w="109" w:type="dxa"/>
            <w:tcBorders/>
            <w:shd w:fill="auto" w:val="clear"/>
            <w:vAlign w:val="center"/>
          </w:tcPr>
          <w:p>
            <w:pPr>
              <w:pStyle w:val="TableContents"/>
              <w:spacing w:before="0" w:after="1"/>
              <w:ind w:left="0" w:right="0" w:hanging="0"/>
              <w:rPr/>
            </w:pPr>
            <w:r>
              <w:rPr/>
              <w:t>​</w:t>
            </w:r>
          </w:p>
        </w:tc>
        <w:tc>
          <w:tcPr>
            <w:tcW w:w="18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423,735</w:t>
            </w:r>
          </w:p>
        </w:tc>
        <w:tc>
          <w:tcPr>
            <w:tcW w:w="109" w:type="dxa"/>
            <w:tcBorders/>
            <w:shd w:fill="auto" w:val="clear"/>
            <w:vAlign w:val="center"/>
          </w:tcPr>
          <w:p>
            <w:pPr>
              <w:pStyle w:val="TableContents"/>
              <w:spacing w:before="0" w:after="1"/>
              <w:ind w:left="0" w:right="0" w:hanging="0"/>
              <w:rPr/>
            </w:pPr>
            <w:r>
              <w:rPr/>
              <w:t>​</w:t>
            </w:r>
          </w:p>
        </w:tc>
        <w:tc>
          <w:tcPr>
            <w:tcW w:w="34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905"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(2,199)</w:t>
            </w:r>
          </w:p>
        </w:tc>
        <w:tc>
          <w:tcPr>
            <w:tcW w:w="109" w:type="dxa"/>
            <w:tcBorders/>
            <w:shd w:fill="auto" w:val="clear"/>
            <w:vAlign w:val="center"/>
          </w:tcPr>
          <w:p>
            <w:pPr>
              <w:pStyle w:val="TableContents"/>
              <w:spacing w:before="0" w:after="1"/>
              <w:ind w:left="0" w:right="0" w:hanging="0"/>
              <w:rPr/>
            </w:pPr>
            <w:r>
              <w:rPr/>
              <w:t>​</w:t>
            </w:r>
          </w:p>
        </w:tc>
        <w:tc>
          <w:tcPr>
            <w:tcW w:w="19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4"/>
              </w:rPr>
            </w:pPr>
            <w:r>
              <w:rPr>
                <w:rFonts w:ascii="Times New Roman;Times;serif" w:hAnsi="Times New Roman;Times;serif"/>
                <w:sz w:val="14"/>
              </w:rPr>
              <w:t>(207,628)</w:t>
            </w:r>
          </w:p>
        </w:tc>
        <w:tc>
          <w:tcPr>
            <w:tcW w:w="109" w:type="dxa"/>
            <w:tcBorders/>
            <w:shd w:fill="auto" w:val="clear"/>
            <w:vAlign w:val="center"/>
          </w:tcPr>
          <w:p>
            <w:pPr>
              <w:pStyle w:val="TableContents"/>
              <w:spacing w:before="0" w:after="1"/>
              <w:ind w:left="0" w:right="0" w:hanging="0"/>
              <w:rPr/>
            </w:pPr>
            <w:r>
              <w:rPr/>
              <w:t>​</w:t>
            </w:r>
          </w:p>
        </w:tc>
        <w:tc>
          <w:tcPr>
            <w:tcW w:w="205"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4"/>
              </w:rPr>
            </w:pPr>
            <w:r>
              <w:rPr>
                <w:rFonts w:ascii="Times New Roman;Times;serif" w:hAnsi="Times New Roman;Times;serif"/>
                <w:sz w:val="14"/>
              </w:rPr>
              <w:t>$</w:t>
            </w:r>
          </w:p>
        </w:tc>
        <w:tc>
          <w:tcPr>
            <w:tcW w:w="770" w:type="dxa"/>
            <w:tcBorders>
              <w:bottom w:val="double" w:sz="6" w:space="0" w:color="000000"/>
            </w:tcBorders>
            <w:shd w:fill="auto" w:val="clear"/>
            <w:tcMar>
              <w:bottom w:w="28" w:type="dxa"/>
            </w:tcMar>
            <w:vAlign w:val="center"/>
          </w:tcPr>
          <w:p>
            <w:pPr>
              <w:pStyle w:val="TableContents"/>
              <w:spacing w:before="0" w:after="1"/>
              <w:ind w:left="0" w:right="45" w:hanging="0"/>
              <w:jc w:val="right"/>
              <w:rPr>
                <w:rFonts w:ascii="Times New Roman;Times;serif" w:hAnsi="Times New Roman;Times;serif"/>
                <w:sz w:val="14"/>
              </w:rPr>
            </w:pPr>
            <w:r>
              <w:rPr>
                <w:rFonts w:ascii="Times New Roman;Times;serif" w:hAnsi="Times New Roman;Times;serif"/>
                <w:sz w:val="14"/>
              </w:rPr>
              <w:t>213,936</w:t>
            </w:r>
          </w:p>
        </w:tc>
      </w:tr>
    </w:tbl>
    <w:p>
      <w:pPr>
        <w:pStyle w:val="TextBody"/>
        <w:spacing w:before="0" w:after="240"/>
        <w:ind w:left="0" w:right="0" w:hanging="0"/>
        <w:jc w:val="center"/>
        <w:rPr/>
      </w:pPr>
      <w:r>
        <w:rPr/>
        <w:t>​</w:t>
      </w:r>
    </w:p>
    <w:p>
      <w:pPr>
        <w:pStyle w:val="TextBody"/>
        <w:spacing w:before="0" w:after="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356" w:name="STATEMENTSOFPREFERREDSTOCKANDSTOCKHOLDER"/>
      <w:bookmarkStart w:id="357" w:name="_d6cf5d5a_7b09_4741_b1c5_efa2680be374"/>
      <w:bookmarkEnd w:id="356"/>
      <w:bookmarkEnd w:id="357"/>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bookmarkStart w:id="358" w:name="CONDENSEDSTATEMENTSOFCASHFLOWS_178014"/>
      <w:bookmarkEnd w:id="358"/>
      <w:r>
        <w:rPr>
          <w:rFonts w:ascii="Times New Roman;Times;serif" w:hAnsi="Times New Roman;Times;serif"/>
          <w:b/>
          <w:sz w:val="20"/>
        </w:rPr>
        <w:t>CONDENSED STATEMENTS OF CASH FLOWS</w:t>
      </w:r>
    </w:p>
    <w:p>
      <w:pPr>
        <w:pStyle w:val="TextBody"/>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 in thousands)</w:t>
      </w:r>
    </w:p>
    <w:p>
      <w:pPr>
        <w:pStyle w:val="TextBody"/>
        <w:spacing w:before="0" w:after="240"/>
        <w:ind w:left="0" w:right="0" w:hanging="0"/>
        <w:jc w:val="center"/>
        <w:rPr/>
      </w:pPr>
      <w:r>
        <w:rPr/>
        <w:t>​</w:t>
      </w:r>
    </w:p>
    <w:p>
      <w:pPr>
        <w:pStyle w:val="Normal"/>
        <w:spacing w:before="0" w:after="0"/>
        <w:rPr>
          <w:sz w:val="4"/>
          <w:szCs w:val="4"/>
        </w:rPr>
      </w:pPr>
      <w:r>
        <w:rPr>
          <w:sz w:val="4"/>
          <w:szCs w:val="4"/>
        </w:rPr>
      </w:r>
      <w:bookmarkStart w:id="359" w:name="Tc_GPuLo2NhJkWQBSjg1t_kWg_30_5"/>
      <w:bookmarkStart w:id="360" w:name="Tc_ePYD-osSQk2yRmsfEuTNaA_30_2"/>
      <w:bookmarkStart w:id="361" w:name="Tc_gY5Qr5Cjfk-S3l_J3kSb8Q_30_0"/>
      <w:bookmarkStart w:id="362" w:name="Tc_tNCHigj7LUGeXatqdslvoA_29_0"/>
      <w:bookmarkStart w:id="363" w:name="Tc_xev4VYXr90-uNfCKgOU9Qg_28_5"/>
      <w:bookmarkStart w:id="364" w:name="Tc_BATZRskTZEy_gKJuDpclGQ_28_2"/>
      <w:bookmarkStart w:id="365" w:name="Tc_dRSGiJas-kubVPrAuhZEQA_28_0"/>
      <w:bookmarkStart w:id="366" w:name="Tc_mMqlQUCXSkSu9po2oB76yQ_27_0"/>
      <w:bookmarkStart w:id="367" w:name="Tc_Fqrkqc0rv02GajYxR9jYUw_26_0"/>
      <w:bookmarkStart w:id="368" w:name="Tc_9VHT0GhzyUKkTUZtDKMFiw_25_3"/>
      <w:bookmarkStart w:id="369" w:name="Tc_WXjOSQNPJ0u2X-m0T7eiJg_25_0"/>
      <w:bookmarkStart w:id="370" w:name="Tc_g_g-07Z3RU6FPwwzTjFX0A_24_3"/>
      <w:bookmarkStart w:id="371" w:name="Tc_0Db4GTYj_UOKWpq2yhkJrg_24_0"/>
      <w:bookmarkStart w:id="372" w:name="Tc_kcl5jKhV80OnkFi7LEE6Kw_23_0"/>
      <w:bookmarkStart w:id="373" w:name="Tc_0j68cZPcWUqaTkcID5jxew_22_0"/>
      <w:bookmarkStart w:id="374" w:name="Tc_3IVEjekAmUynvr6i0sFXfA_21_0"/>
      <w:bookmarkStart w:id="375" w:name="Tc_2Ug7c8zwF0a6bl2R9Y4NfA_20_6"/>
      <w:bookmarkStart w:id="376" w:name="Tc_I04oOr-wLE60JHe801ipbQ_20_0"/>
      <w:bookmarkStart w:id="377" w:name="Tc_mVbpP6UXRUW1ZZVs2LNfFA_19_0"/>
      <w:bookmarkStart w:id="378" w:name="Tc_jZ1RVqL-JkaZep0OLdDGjw_18_0"/>
      <w:bookmarkStart w:id="379" w:name="Tc_IEE4YV1eg06zNpKaMx-G5Q_17_0"/>
      <w:bookmarkStart w:id="380" w:name="Tc_NrNsZsrhuEKyAYJZeAve8g_16_6"/>
      <w:bookmarkStart w:id="381" w:name="Tc_-HkqzJvz4EeW3lD0fHtqtw_16_0"/>
      <w:bookmarkStart w:id="382" w:name="Tc_lSkBA-zrsUa9rPWjc1eboQ_15_6"/>
      <w:bookmarkStart w:id="383" w:name="Tc_2jnEEVIGCkuoU9SRkI6m3A_15_0"/>
      <w:bookmarkStart w:id="384" w:name="Tc_Ay46g8tI7kuPenz4ufbzEg_14_0"/>
      <w:bookmarkStart w:id="385" w:name="Tc_lIkSgK2uGk-GZSjJcyjMyA_13_0"/>
      <w:bookmarkStart w:id="386" w:name="Tc_8o6avmWFYEm3-SN2mQiRZA_12_0"/>
      <w:bookmarkStart w:id="387" w:name="Tc_FDfNEZL1J0y_A2AQ3qsB4g_11_0"/>
      <w:bookmarkStart w:id="388" w:name="Tc_U0vIVhDTk0m6tGOtXdp0cw_10_6"/>
      <w:bookmarkStart w:id="389" w:name="Tc_NdZWA9R7JEyB7GH4nyWD6w_10_0"/>
      <w:bookmarkStart w:id="390" w:name="Tc_RY-ci6dv2Em8I7dYRh5cyg_9_0"/>
      <w:bookmarkStart w:id="391" w:name="Tc_zdYJ8awL00eBxhjU-kOWtw_8_0"/>
      <w:bookmarkStart w:id="392" w:name="Tc_bP8GGXI_N0GfOSNRr5u7tg_7_0"/>
      <w:bookmarkStart w:id="393" w:name="Tc_84UHr3PzOkyGnB-WCLRHig_6_0"/>
      <w:bookmarkStart w:id="394" w:name="Tc_cc_VEoDS-EC3-VzeN2I8zw_5_5"/>
      <w:bookmarkStart w:id="395" w:name="Tc_GkgzQf8wLUKRmbW1rCqeZg_5_2"/>
      <w:bookmarkStart w:id="396" w:name="Tc_fHZnTQJiAUyJ9YFVmRvkLA_5_0"/>
      <w:bookmarkStart w:id="397" w:name="Tc_dnS4r19HF0CIAT9ZGY95yA_4_0"/>
      <w:bookmarkStart w:id="398" w:name="Tc_i2giDAkO6ECev1hF3lRxew_3_5"/>
      <w:bookmarkStart w:id="399" w:name="Tc_phzIutNVJUSviPqFgJf4bw_3_2"/>
      <w:bookmarkStart w:id="400" w:name="Tc_FJlyVc-RK0yEerGkh8ZCrA_2_2"/>
      <w:bookmarkStart w:id="401" w:name="Tc_oxZlusqbBkONpbZNm8sYAw_1_2"/>
      <w:bookmarkStart w:id="402" w:name="_8417c588_775b_4894_92c1_75bcebad939f"/>
      <w:bookmarkStart w:id="403" w:name="Tc_GPuLo2NhJkWQBSjg1t_kWg_30_5"/>
      <w:bookmarkStart w:id="404" w:name="Tc_ePYD-osSQk2yRmsfEuTNaA_30_2"/>
      <w:bookmarkStart w:id="405" w:name="Tc_gY5Qr5Cjfk-S3l_J3kSb8Q_30_0"/>
      <w:bookmarkStart w:id="406" w:name="Tc_tNCHigj7LUGeXatqdslvoA_29_0"/>
      <w:bookmarkStart w:id="407" w:name="Tc_xev4VYXr90-uNfCKgOU9Qg_28_5"/>
      <w:bookmarkStart w:id="408" w:name="Tc_BATZRskTZEy_gKJuDpclGQ_28_2"/>
      <w:bookmarkStart w:id="409" w:name="Tc_dRSGiJas-kubVPrAuhZEQA_28_0"/>
      <w:bookmarkStart w:id="410" w:name="Tc_mMqlQUCXSkSu9po2oB76yQ_27_0"/>
      <w:bookmarkStart w:id="411" w:name="Tc_Fqrkqc0rv02GajYxR9jYUw_26_0"/>
      <w:bookmarkStart w:id="412" w:name="Tc_9VHT0GhzyUKkTUZtDKMFiw_25_3"/>
      <w:bookmarkStart w:id="413" w:name="Tc_WXjOSQNPJ0u2X-m0T7eiJg_25_0"/>
      <w:bookmarkStart w:id="414" w:name="Tc_g_g-07Z3RU6FPwwzTjFX0A_24_3"/>
      <w:bookmarkStart w:id="415" w:name="Tc_0Db4GTYj_UOKWpq2yhkJrg_24_0"/>
      <w:bookmarkStart w:id="416" w:name="Tc_kcl5jKhV80OnkFi7LEE6Kw_23_0"/>
      <w:bookmarkStart w:id="417" w:name="Tc_0j68cZPcWUqaTkcID5jxew_22_0"/>
      <w:bookmarkStart w:id="418" w:name="Tc_3IVEjekAmUynvr6i0sFXfA_21_0"/>
      <w:bookmarkStart w:id="419" w:name="Tc_2Ug7c8zwF0a6bl2R9Y4NfA_20_6"/>
      <w:bookmarkStart w:id="420" w:name="Tc_I04oOr-wLE60JHe801ipbQ_20_0"/>
      <w:bookmarkStart w:id="421" w:name="Tc_mVbpP6UXRUW1ZZVs2LNfFA_19_0"/>
      <w:bookmarkStart w:id="422" w:name="Tc_jZ1RVqL-JkaZep0OLdDGjw_18_0"/>
      <w:bookmarkStart w:id="423" w:name="Tc_IEE4YV1eg06zNpKaMx-G5Q_17_0"/>
      <w:bookmarkStart w:id="424" w:name="Tc_NrNsZsrhuEKyAYJZeAve8g_16_6"/>
      <w:bookmarkStart w:id="425" w:name="Tc_-HkqzJvz4EeW3lD0fHtqtw_16_0"/>
      <w:bookmarkStart w:id="426" w:name="Tc_lSkBA-zrsUa9rPWjc1eboQ_15_6"/>
      <w:bookmarkStart w:id="427" w:name="Tc_2jnEEVIGCkuoU9SRkI6m3A_15_0"/>
      <w:bookmarkStart w:id="428" w:name="Tc_Ay46g8tI7kuPenz4ufbzEg_14_0"/>
      <w:bookmarkStart w:id="429" w:name="Tc_lIkSgK2uGk-GZSjJcyjMyA_13_0"/>
      <w:bookmarkStart w:id="430" w:name="Tc_8o6avmWFYEm3-SN2mQiRZA_12_0"/>
      <w:bookmarkStart w:id="431" w:name="Tc_FDfNEZL1J0y_A2AQ3qsB4g_11_0"/>
      <w:bookmarkStart w:id="432" w:name="Tc_U0vIVhDTk0m6tGOtXdp0cw_10_6"/>
      <w:bookmarkStart w:id="433" w:name="Tc_NdZWA9R7JEyB7GH4nyWD6w_10_0"/>
      <w:bookmarkStart w:id="434" w:name="Tc_RY-ci6dv2Em8I7dYRh5cyg_9_0"/>
      <w:bookmarkStart w:id="435" w:name="Tc_zdYJ8awL00eBxhjU-kOWtw_8_0"/>
      <w:bookmarkStart w:id="436" w:name="Tc_bP8GGXI_N0GfOSNRr5u7tg_7_0"/>
      <w:bookmarkStart w:id="437" w:name="Tc_84UHr3PzOkyGnB-WCLRHig_6_0"/>
      <w:bookmarkStart w:id="438" w:name="Tc_cc_VEoDS-EC3-VzeN2I8zw_5_5"/>
      <w:bookmarkStart w:id="439" w:name="Tc_GkgzQf8wLUKRmbW1rCqeZg_5_2"/>
      <w:bookmarkStart w:id="440" w:name="Tc_fHZnTQJiAUyJ9YFVmRvkLA_5_0"/>
      <w:bookmarkStart w:id="441" w:name="Tc_dnS4r19HF0CIAT9ZGY95yA_4_0"/>
      <w:bookmarkStart w:id="442" w:name="Tc_i2giDAkO6ECev1hF3lRxew_3_5"/>
      <w:bookmarkStart w:id="443" w:name="Tc_phzIutNVJUSviPqFgJf4bw_3_2"/>
      <w:bookmarkStart w:id="444" w:name="Tc_FJlyVc-RK0yEerGkh8ZCrA_2_2"/>
      <w:bookmarkStart w:id="445" w:name="Tc_oxZlusqbBkONpbZNm8sYAw_1_2"/>
      <w:bookmarkStart w:id="446" w:name="_8417c588_775b_4894_92c1_75bcebad939f"/>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tbl>
      <w:tblPr>
        <w:tblW w:w="8742" w:type="dxa"/>
        <w:jc w:val="left"/>
        <w:tblInd w:w="0" w:type="dxa"/>
        <w:tblCellMar>
          <w:top w:w="0" w:type="dxa"/>
          <w:left w:w="0" w:type="dxa"/>
          <w:bottom w:w="0" w:type="dxa"/>
          <w:right w:w="0" w:type="dxa"/>
        </w:tblCellMar>
      </w:tblPr>
      <w:tblGrid>
        <w:gridCol w:w="6031"/>
        <w:gridCol w:w="326"/>
        <w:gridCol w:w="211"/>
        <w:gridCol w:w="796"/>
        <w:gridCol w:w="326"/>
        <w:gridCol w:w="211"/>
        <w:gridCol w:w="841"/>
      </w:tblGrid>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05460" cy="175260"/>
                      <wp:effectExtent l="0" t="0" r="0" b="0"/>
                      <wp:wrapNone/>
                      <wp:docPr id="40" name="Frame4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34035" cy="175260"/>
                      <wp:effectExtent l="0" t="0" r="0" b="0"/>
                      <wp:wrapNone/>
                      <wp:docPr id="43" name="Frame43"/>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operating activities: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(20,602)</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Amortization of premiums and discounts on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Stock-based compensation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Noncash operating lease expense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859</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 and other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Lease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long-term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(14,779)</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(15,447)</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Sales and maturities of marketable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49,773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14,007</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(31,403)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18,122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13,702</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Proceeds from exercise of stock options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 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Net increase (decrease) in cash and cash equivalents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 beginning of period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12,376</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 – end of period</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29,973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10,691</w:t>
            </w:r>
          </w:p>
        </w:tc>
      </w:tr>
      <w:tr>
        <w:trPr/>
        <w:tc>
          <w:tcPr>
            <w:tcW w:w="6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Supplemental disclosures of cash flow information: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right"/>
              <w:rPr/>
            </w:pPr>
            <w:r>
              <w:rPr/>
              <w:t>​</w:t>
            </w:r>
          </w:p>
        </w:tc>
      </w:tr>
      <w:tr>
        <w:trPr/>
        <w:tc>
          <w:tcPr>
            <w:tcW w:w="6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paid for interest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6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40"/>
        <w:ind w:left="0" w:right="0" w:firstLine="720"/>
        <w:jc w:val="center"/>
        <w:rPr/>
      </w:pPr>
      <w:r>
        <w:rPr/>
        <w:t>​</w:t>
      </w:r>
    </w:p>
    <w:p>
      <w:pPr>
        <w:pStyle w:val="TextBody"/>
        <w:spacing w:before="0" w:after="240"/>
        <w:ind w:left="0" w:right="0" w:firstLine="72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rFonts w:ascii="Times New Roman;Times;serif" w:hAnsi="Times New Roman;Times;serif"/>
          <w:b/>
          <w:sz w:val="20"/>
        </w:rPr>
      </w:pPr>
      <w:bookmarkStart w:id="447" w:name="a1NatureoftheBusinessandBasisofPresentat"/>
      <w:bookmarkStart w:id="448" w:name="_cp_text_4_25"/>
      <w:bookmarkEnd w:id="447"/>
      <w:bookmarkEnd w:id="448"/>
      <w:r>
        <w:rPr>
          <w:rFonts w:ascii="Times New Roman;Times;serif" w:hAnsi="Times New Roman;Times;serif"/>
          <w:b/>
          <w:sz w:val="20"/>
        </w:rPr>
        <w:t>1. Nature of the Business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Organization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NextCure, Inc. (“NextCure” or the “Company”) was incorporated in Delaware in September 2015 and is headquartered in Beltsville, Maryland. The Company is a clinical-stage biopharmaceutical company committed to discovering and developing novel, first-in-class immunomedicines to treat cancer and other immune-related diseases by restoring normal immune function. Through its proprietary Functional, Integrated, NextCure Discovery in Immuno-Oncology (“FIND-IO”) platform, the Company studies various immune cells in order to discover and understand targets and structural components of immune cells and their functional impact in order to develop immunomedicines. Since inception, the Company has devoted substantially all its efforts and financial resources to organizing and staffing the Company, identifying business development opportunities, raising capital, securing intellectual property rights related to the Company’s product candidates, building and optimizing the Company’s manufacturing capabilities and conducting discovery, research and development activities for the Company’s product candidates, discovery programs and its FIND-IO platform. </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not generated any revenue to date from product sales and does not expect to generate any revenues from product sales in the foreseeable future. Through March 31, 2023, the Company has funded its operations primarily with proceeds from public offerings of its common stock, private placements of its preferred stock and upfront fees received under the Company’s former agreement with Eli Lilly and Company, which was terminated in March 2020. The Company expects to incur additional operating losses and negative operating cash flows for the foreseeable future.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2023, we had cash, cash equivalents and marketable securities of $145.5 million. We believe that our existing cash, cash equivalents and marketable securities will be sufficient to fund our planned operations for at least the next twelve months from the issuance of these financial statements. Management intends to fund future operations through additional public or private equity or debt offerings and may seek additional capital through arrangements with strategic partners or from other sources, the securing of which cannot be assured.</w:t>
      </w:r>
    </w:p>
    <w:p>
      <w:pPr>
        <w:pStyle w:val="TextBody"/>
        <w:spacing w:before="0" w:after="240"/>
        <w:ind w:left="0" w:right="0" w:hanging="0"/>
        <w:rPr>
          <w:rFonts w:ascii="Times New Roman;Times;serif" w:hAnsi="Times New Roman;Times;serif"/>
          <w:b/>
          <w:sz w:val="20"/>
        </w:rPr>
      </w:pPr>
      <w:bookmarkStart w:id="449" w:name="a2SummaryofSignificantAccountingPolicies"/>
      <w:bookmarkEnd w:id="449"/>
      <w:r>
        <w:rPr>
          <w:rFonts w:ascii="Times New Roman;Times;serif" w:hAnsi="Times New Roman;Times;serif"/>
          <w:b/>
          <w:sz w:val="20"/>
        </w:rPr>
        <w:t>2. Summary of Significant Accounting Policies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the significant accounting policies previously disclosed in the Company’s Annual Report on Form 10-K for the year ended December 31, 2022 (the “Annual Report”).</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unaudited condensed financial statements include the accounts of the Company and have been prepared by the Company in conformity with accounting principles generally accepted in the United States of America (“GAAP”) and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Accordingly, these condensed financial statements should be read in conjunction with the Company’s audited financial statements and the notes thereto in the Annual Report.</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Unaudited Financial Information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opinion of management, the information furnished reflects certain adjustments, all which are of a normal and recurring nature and are necessary for a fair presentation of the Company’s financial position as of the reported balance sheet date and of the Company’s results for the reported interim periods. The Company considers events or transactions that occur after the balance sheet date but before the financial statements are issued to provide additional evidence relative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to certain estimates or to identify matters that require additional disclosure. The results of operations for interim periods are not necessarily indicative of results to be expected for the full year or any other interim period.</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Use of Estimates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reported amounts of assets and liabilities, the disclosure of assets and liabilities as of the date of the condensed financial statements, and the reported amounts of revenues and expenses during the reporting periods. Although actual results could differ from those estimates, management does not believe that such differences would be material.</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qualifies as an emerging growth company (“EGC”) as defined under the Jumpstart Our Business Startups Act (the “JOBS Act”). Using exemptions provided under the JOBS Act provided to EGCs, the Company has elected to defer compliance with new or revised financial accounting standards until it is required to comply with such standards, which is generally consistent with required adoption dates of private companies.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considers the applicability and impact of all Accounting Standards Updates (“ASUs”) issued by the Financial Accounting Standards Board (“FASB”). All other ASUs issued subsequent to the filing of the Company’s Annual Report were assessed and determined to be either inapplicable or not expected to have a material impact on the Company’s financial position or results of operations.</w:t>
      </w:r>
    </w:p>
    <w:p>
      <w:pPr>
        <w:pStyle w:val="TextBody"/>
        <w:spacing w:before="0" w:after="0"/>
        <w:ind w:left="0" w:right="0" w:hanging="0"/>
        <w:rPr/>
      </w:pPr>
      <w:r>
        <w:rPr/>
        <w:t>​</w:t>
      </w:r>
    </w:p>
    <w:p>
      <w:pPr>
        <w:pStyle w:val="TextBody"/>
        <w:spacing w:before="0" w:after="240"/>
        <w:ind w:left="0" w:right="0" w:hanging="0"/>
        <w:rPr/>
      </w:pPr>
      <w:bookmarkStart w:id="450" w:name="Tc_iHfWpC0oKUyQd-ObmEhrHw_7_11"/>
      <w:bookmarkStart w:id="451" w:name="Tc_Yhv1KpYABEamJh4D1ykREQ_7_8"/>
      <w:bookmarkStart w:id="452" w:name="Tc_j-w_5fM2vkqX6AWf-XGTrw_7_6"/>
      <w:bookmarkStart w:id="453" w:name="Tc_YWd51oO1ekOJDdnpeBGbUg_7_5"/>
      <w:bookmarkStart w:id="454" w:name="Tc_Cmd_QpGmREaEOz87glvBjw_7_2"/>
      <w:bookmarkStart w:id="455" w:name="Tc_nJHw0RcKhk-5tC46djoiRw_7_0"/>
      <w:bookmarkStart w:id="456" w:name="Tc_WWZL_0HbM0iApFkNFAwtqA_6_6"/>
      <w:bookmarkStart w:id="457" w:name="Tc_uUosJ6ZrqE2rdPvsIX6Rgw_6_0"/>
      <w:bookmarkStart w:id="458" w:name="Tc_N4hPzPV6X0C4pAc6IIgpqQ_5_11"/>
      <w:bookmarkStart w:id="459" w:name="Tc_wdg77eLeqkWf8uBJ_CKMqA_5_8"/>
      <w:bookmarkStart w:id="460" w:name="Tc_tyqs0QlfwkqaPFeXh_h8-Q_5_6"/>
      <w:bookmarkStart w:id="461" w:name="Tc_VkE464Gqfkya8dQ0QwrWUw_5_5"/>
      <w:bookmarkStart w:id="462" w:name="Tc_etZxgtwkNE-iU6DNy6nRsg_5_2"/>
      <w:bookmarkStart w:id="463" w:name="Tc_Blv9_QVXoU6s6apTYIvUCg_5_0"/>
      <w:bookmarkStart w:id="464" w:name="Tc_zS9T2JkmBkqwQvK2VDw5TQ_4_11"/>
      <w:bookmarkStart w:id="465" w:name="Tc_--HUqYv1U0CulR7O3PqAUQ_4_8"/>
      <w:bookmarkStart w:id="466" w:name="Tc_cEDfKpKio0ql-j3MSvIe3Q_4_5"/>
      <w:bookmarkStart w:id="467" w:name="Tc_XYep-hHbmUWAgLelXOj6Rw_4_2"/>
      <w:bookmarkStart w:id="468" w:name="Tc_iljOMVJRTEKlevGr6K0H2Q_4_0"/>
      <w:bookmarkStart w:id="469" w:name="Tc_GELjwVFSLkq8JC9xGtkPqA_3_11"/>
      <w:bookmarkStart w:id="470" w:name="Tc__PNhEjLlOEaufwY19-8nqA_3_8"/>
      <w:bookmarkStart w:id="471" w:name="Tc_J53GORmBAUKsWGuC4o8EQw_3_5"/>
      <w:bookmarkStart w:id="472" w:name="Tc_-8Ynt_0qZkuNc8uhhKosFA_3_2"/>
      <w:bookmarkStart w:id="473" w:name="Tc_iMnQI94_MUekwOpx1oIDJQ_2_8"/>
      <w:bookmarkStart w:id="474" w:name="Tc_2LTElOEJ6UG91Gmm4X3Pow_2_5"/>
      <w:bookmarkStart w:id="475" w:name="Tc_oCWtbzY0dEWgKETvKpk_fQ_1_2"/>
      <w:bookmarkStart w:id="476" w:name="_83137308_86b1_4d40_8fc9_18a3b87d277a"/>
      <w:bookmarkStart w:id="477" w:name="Tc_a74qliSgWECJpJfFuVFoNA_7_11"/>
      <w:bookmarkStart w:id="478" w:name="Tc_okh4ZOsPAk6Wq5UuRQRFFA_7_8"/>
      <w:bookmarkStart w:id="479" w:name="Tc_0uDiHdLPC0SZB2PP_2BiRA_7_5"/>
      <w:bookmarkStart w:id="480" w:name="Tc_dGWwF3JlfUmOytAgHSThTA_7_2"/>
      <w:bookmarkStart w:id="481" w:name="Tc_6hGKZDzxt0SN2O2-cd8ALw_7_0"/>
      <w:bookmarkStart w:id="482" w:name="Tc_9jhvgryaT0Sw7YRTeJqx4A_6_0"/>
      <w:bookmarkStart w:id="483" w:name="Tc_Kj24tDIKZkyhlYxoVMRVsg_5_11"/>
      <w:bookmarkStart w:id="484" w:name="Tc_AWNAVvUUB0CgvqZYk74NGQ_5_8"/>
      <w:bookmarkStart w:id="485" w:name="Tc_6jizqijNXEGdqQxWTBAGhw_5_5"/>
      <w:bookmarkStart w:id="486" w:name="Tc_8iGowumFU0-vJhCkJAhpdA_5_2"/>
      <w:bookmarkStart w:id="487" w:name="Tc_390XSf_Vfk-dAwxH2--0Mg_5_0"/>
      <w:bookmarkStart w:id="488" w:name="Tc_eL5leZmegkirtCesrYKLMw_4_11"/>
      <w:bookmarkStart w:id="489" w:name="Tc_-2i8UqFUbEWVH7qiIAyRjw_4_8"/>
      <w:bookmarkStart w:id="490" w:name="Tc_5rtXoOzadUi8oqg61vel8Q_4_5"/>
      <w:bookmarkStart w:id="491" w:name="Tc_1J9uiSWCokCLX7uA0LuvcA_4_2"/>
      <w:bookmarkStart w:id="492" w:name="Tc_TP3ZpCR6mUqQaxBwJML8Fg_4_0"/>
      <w:bookmarkStart w:id="493" w:name="Tc__rLQ2s48LkW0nqbZtzllrg_3_11"/>
      <w:bookmarkStart w:id="494" w:name="Tc__S0H5ruOKEKGVfUusvJ0GA_3_8"/>
      <w:bookmarkStart w:id="495" w:name="Tc_339EY26m80OguTKAcZyT6w_3_5"/>
      <w:bookmarkStart w:id="496" w:name="Tc_yY922hsBQkycQL4iX4w9Rg_3_2"/>
      <w:bookmarkStart w:id="497" w:name="Tc_VslVxKEiekSWP4ZlCB285w_2_8"/>
      <w:bookmarkStart w:id="498" w:name="Tc_qSttBwqm10CxGJa-6YCuqw_2_5"/>
      <w:bookmarkStart w:id="499" w:name="Tc_I07tIjm3LUOkQpg_iU0K_A_1_2"/>
      <w:bookmarkStart w:id="500" w:name="_4ee117ee_13ef_4f79_9b63_d812174f520b"/>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Pr/>
        <w:t>​</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sz w:val="20"/>
        </w:rPr>
        <w:t>3. Marketable Securities</w:t>
      </w:r>
    </w:p>
    <w:p>
      <w:pPr>
        <w:pStyle w:val="TextBody"/>
        <w:shd w:fill="FFFFFF" w:val="clear"/>
        <w:spacing w:before="0" w:after="0"/>
        <w:ind w:left="0" w:right="0" w:firstLine="720"/>
        <w:jc w:val="both"/>
        <w:rPr>
          <w:rFonts w:ascii="Times New Roman;Times;serif" w:hAnsi="Times New Roman;Times;serif"/>
          <w:sz w:val="20"/>
        </w:rPr>
      </w:pPr>
      <w:r>
        <w:rPr>
          <w:rFonts w:ascii="Times New Roman;Times;serif" w:hAnsi="Times New Roman;Times;serif"/>
          <w:sz w:val="20"/>
        </w:rPr>
        <w:t>Marketable securities consist of the following:</w:t>
      </w:r>
    </w:p>
    <w:p>
      <w:pPr>
        <w:pStyle w:val="TextBody"/>
        <w:shd w:fill="FFFFFF" w:val="clear"/>
        <w:spacing w:before="0" w:after="0"/>
        <w:ind w:left="0" w:right="0" w:hanging="0"/>
        <w:jc w:val="both"/>
        <w:rPr/>
      </w:pPr>
      <w:r>
        <w:rPr/>
        <w:t>​</w:t>
      </w:r>
    </w:p>
    <w:tbl>
      <w:tblPr>
        <w:tblW w:w="7416" w:type="dxa"/>
        <w:jc w:val="left"/>
        <w:tblInd w:w="0" w:type="dxa"/>
        <w:tblCellMar>
          <w:top w:w="0" w:type="dxa"/>
          <w:left w:w="0" w:type="dxa"/>
          <w:bottom w:w="0" w:type="dxa"/>
          <w:right w:w="0" w:type="dxa"/>
        </w:tblCellMar>
      </w:tblPr>
      <w:tblGrid>
        <w:gridCol w:w="2251"/>
        <w:gridCol w:w="326"/>
        <w:gridCol w:w="211"/>
        <w:gridCol w:w="781"/>
        <w:gridCol w:w="326"/>
        <w:gridCol w:w="354"/>
        <w:gridCol w:w="532"/>
        <w:gridCol w:w="326"/>
        <w:gridCol w:w="270"/>
        <w:gridCol w:w="616"/>
        <w:gridCol w:w="326"/>
        <w:gridCol w:w="211"/>
        <w:gridCol w:w="886"/>
      </w:tblGrid>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95935" cy="175260"/>
                      <wp:effectExtent l="0" t="0" r="0" b="0"/>
                      <wp:wrapNone/>
                      <wp:docPr id="46" name="Frame4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24790" cy="175260"/>
                      <wp:effectExtent l="0" t="0" r="0" b="0"/>
                      <wp:wrapNone/>
                      <wp:docPr id="48" name="Frame48"/>
                      <a:graphic xmlns:a="http://schemas.openxmlformats.org/drawingml/2006/main">
                        <a:graphicData uri="http://schemas.microsoft.com/office/word/2010/wordprocessingShape">
                          <wps:wsp>
                            <wps:cNvSpPr txBox="1"/>
                            <wps:spPr>
                              <a:xfrm>
                                <a:off x="0" y="0"/>
                                <a:ext cx="224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37820" cy="175260"/>
                      <wp:effectExtent l="0" t="0" r="0" b="0"/>
                      <wp:wrapNone/>
                      <wp:docPr id="49" name="Frame49"/>
                      <a:graphic xmlns:a="http://schemas.openxmlformats.org/drawingml/2006/main">
                        <a:graphicData uri="http://schemas.microsoft.com/office/word/2010/wordprocessingShape">
                          <wps:wsp>
                            <wps:cNvSpPr txBox="1"/>
                            <wps:spPr>
                              <a:xfrm>
                                <a:off x="0" y="0"/>
                                <a:ext cx="3378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71450" cy="175260"/>
                      <wp:effectExtent l="0" t="0" r="0" b="0"/>
                      <wp:wrapNone/>
                      <wp:docPr id="51" name="Frame51"/>
                      <a:graphic xmlns:a="http://schemas.openxmlformats.org/drawingml/2006/main">
                        <a:graphicData uri="http://schemas.microsoft.com/office/word/2010/wordprocessingShape">
                          <wps:wsp>
                            <wps:cNvSpPr txBox="1"/>
                            <wps:spPr>
                              <a:xfrm>
                                <a:off x="0" y="0"/>
                                <a:ext cx="1714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91160" cy="175260"/>
                      <wp:effectExtent l="0" t="0" r="0" b="0"/>
                      <wp:wrapNone/>
                      <wp:docPr id="52" name="Frame52"/>
                      <a:graphic xmlns:a="http://schemas.openxmlformats.org/drawingml/2006/main">
                        <a:graphicData uri="http://schemas.microsoft.com/office/word/2010/wordprocessingShape">
                          <wps:wsp>
                            <wps:cNvSpPr txBox="1"/>
                            <wps:spPr>
                              <a:xfrm>
                                <a:off x="0" y="0"/>
                                <a:ext cx="391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62610" cy="175260"/>
                      <wp:effectExtent l="0" t="0" r="0" b="0"/>
                      <wp:wrapNone/>
                      <wp:docPr id="55" name="Frame55"/>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4839"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shd w:fill="auto" w:val="clear"/>
            <w:vAlign w:val="center"/>
          </w:tcPr>
          <w:p>
            <w:pPr>
              <w:pStyle w:val="TableContents"/>
              <w:spacing w:before="0" w:after="0"/>
              <w:ind w:left="0" w:right="0" w:hanging="0"/>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auto" w:val="clear"/>
            <w:vAlign w:val="center"/>
          </w:tcPr>
          <w:p>
            <w:pPr>
              <w:pStyle w:val="TableContents"/>
              <w:spacing w:before="0" w:after="0"/>
              <w:ind w:left="0" w:right="0" w:hanging="0"/>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104,701</w:t>
            </w:r>
          </w:p>
        </w:tc>
        <w:tc>
          <w:tcPr>
            <w:tcW w:w="326" w:type="dxa"/>
            <w:tcBorders/>
            <w:shd w:fill="CCEEFF" w:val="clear"/>
            <w:vAlign w:val="center"/>
          </w:tcPr>
          <w:p>
            <w:pPr>
              <w:pStyle w:val="TableContents"/>
              <w:spacing w:before="0" w:after="0"/>
              <w:ind w:left="0" w:right="0" w:hanging="0"/>
              <w:rPr/>
            </w:pPr>
            <w:r>
              <w:rPr/>
              <w:t>​</w:t>
            </w:r>
          </w:p>
        </w:tc>
        <w:tc>
          <w:tcPr>
            <w:tcW w:w="35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7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103,930</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c>
          <w:tcPr>
            <w:tcW w:w="326" w:type="dxa"/>
            <w:tcBorders/>
            <w:shd w:fill="auto" w:val="clear"/>
            <w:vAlign w:val="center"/>
          </w:tcPr>
          <w:p>
            <w:pPr>
              <w:pStyle w:val="TableContents"/>
              <w:spacing w:before="0" w:after="0"/>
              <w:ind w:left="0" w:right="0" w:hanging="0"/>
              <w:rPr/>
            </w:pPr>
            <w:r>
              <w:rPr/>
              <w:t>​</w:t>
            </w:r>
          </w:p>
        </w:tc>
        <w:tc>
          <w:tcPr>
            <w:tcW w:w="3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32"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7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1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11,590</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116,323</w:t>
            </w:r>
          </w:p>
        </w:tc>
        <w:tc>
          <w:tcPr>
            <w:tcW w:w="326" w:type="dxa"/>
            <w:tcBorders/>
            <w:shd w:fill="CCEEFF" w:val="clear"/>
            <w:vAlign w:val="center"/>
          </w:tcPr>
          <w:p>
            <w:pPr>
              <w:pStyle w:val="TableContents"/>
              <w:spacing w:before="0" w:after="0"/>
              <w:ind w:left="0" w:right="0" w:hanging="0"/>
              <w:rPr/>
            </w:pPr>
            <w:r>
              <w:rPr/>
              <w:t>​</w:t>
            </w:r>
          </w:p>
        </w:tc>
        <w:tc>
          <w:tcPr>
            <w:tcW w:w="354"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spacing w:before="0" w:after="0"/>
              <w:ind w:left="0" w:right="0" w:hanging="0"/>
              <w:rPr/>
            </w:pPr>
            <w:r>
              <w:rPr/>
              <w:t>​</w:t>
            </w:r>
          </w:p>
        </w:tc>
        <w:tc>
          <w:tcPr>
            <w:tcW w:w="27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115,520</w:t>
            </w:r>
          </w:p>
        </w:tc>
      </w:tr>
    </w:tbl>
    <w:p>
      <w:pPr>
        <w:pStyle w:val="TextBody"/>
        <w:spacing w:before="0" w:after="0"/>
        <w:ind w:left="0" w:right="0" w:hanging="0"/>
        <w:rPr/>
      </w:pPr>
      <w:r>
        <w:rPr/>
        <w:t>​</w:t>
      </w:r>
    </w:p>
    <w:tbl>
      <w:tblPr>
        <w:tblW w:w="7432" w:type="dxa"/>
        <w:jc w:val="left"/>
        <w:tblInd w:w="0" w:type="dxa"/>
        <w:tblCellMar>
          <w:top w:w="0" w:type="dxa"/>
          <w:left w:w="0" w:type="dxa"/>
          <w:bottom w:w="0" w:type="dxa"/>
          <w:right w:w="0" w:type="dxa"/>
        </w:tblCellMar>
      </w:tblPr>
      <w:tblGrid>
        <w:gridCol w:w="2251"/>
        <w:gridCol w:w="326"/>
        <w:gridCol w:w="211"/>
        <w:gridCol w:w="781"/>
        <w:gridCol w:w="326"/>
        <w:gridCol w:w="335"/>
        <w:gridCol w:w="551"/>
        <w:gridCol w:w="326"/>
        <w:gridCol w:w="211"/>
        <w:gridCol w:w="691"/>
        <w:gridCol w:w="326"/>
        <w:gridCol w:w="211"/>
        <w:gridCol w:w="886"/>
      </w:tblGrid>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95935" cy="175260"/>
                      <wp:effectExtent l="0" t="0" r="0" b="0"/>
                      <wp:wrapNone/>
                      <wp:docPr id="58" name="Frame5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12725" cy="175260"/>
                      <wp:effectExtent l="0" t="0" r="0" b="0"/>
                      <wp:wrapNone/>
                      <wp:docPr id="60" name="Frame60"/>
                      <a:graphic xmlns:a="http://schemas.openxmlformats.org/drawingml/2006/main">
                        <a:graphicData uri="http://schemas.microsoft.com/office/word/2010/wordprocessingShape">
                          <wps:wsp>
                            <wps:cNvSpPr txBox="1"/>
                            <wps:spPr>
                              <a:xfrm>
                                <a:off x="0" y="0"/>
                                <a:ext cx="212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349885" cy="175260"/>
                      <wp:effectExtent l="0" t="0" r="0" b="0"/>
                      <wp:wrapNone/>
                      <wp:docPr id="61" name="Frame61"/>
                      <a:graphic xmlns:a="http://schemas.openxmlformats.org/drawingml/2006/main">
                        <a:graphicData uri="http://schemas.microsoft.com/office/word/2010/wordprocessingShape">
                          <wps:wsp>
                            <wps:cNvSpPr txBox="1"/>
                            <wps:spPr>
                              <a:xfrm>
                                <a:off x="0" y="0"/>
                                <a:ext cx="349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3" name="Frame6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38785" cy="175260"/>
                      <wp:effectExtent l="0" t="0" r="0" b="0"/>
                      <wp:wrapNone/>
                      <wp:docPr id="64" name="Frame64"/>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33985" cy="175260"/>
                      <wp:effectExtent l="0" t="0" r="0" b="0"/>
                      <wp:wrapNone/>
                      <wp:docPr id="66" name="Frame6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62610" cy="175260"/>
                      <wp:effectExtent l="0" t="0" r="0" b="0"/>
                      <wp:wrapNone/>
                      <wp:docPr id="67" name="Frame67"/>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4855"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jc w:val="center"/>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886" w:type="dxa"/>
            <w:tcBorders/>
            <w:shd w:fill="auto" w:val="clear"/>
            <w:vAlign w:val="center"/>
          </w:tcPr>
          <w:p>
            <w:pPr>
              <w:pStyle w:val="TableContents"/>
              <w:spacing w:before="0" w:after="0"/>
              <w:ind w:left="0" w:right="0" w:hanging="0"/>
              <w:jc w:val="center"/>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26" w:type="dxa"/>
            <w:tcBorders/>
            <w:shd w:fill="auto" w:val="clear"/>
            <w:vAlign w:val="center"/>
          </w:tcPr>
          <w:p>
            <w:pPr>
              <w:pStyle w:val="TableContents"/>
              <w:spacing w:before="0" w:after="0"/>
              <w:ind w:left="0" w:right="0" w:hanging="0"/>
              <w:jc w:val="center"/>
              <w:rPr/>
            </w:pPr>
            <w:r>
              <w:rPr/>
              <w:t>​</w:t>
            </w:r>
          </w:p>
        </w:tc>
        <w:tc>
          <w:tcPr>
            <w:tcW w:w="88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jc w:val="center"/>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26" w:type="dxa"/>
            <w:tcBorders/>
            <w:shd w:fill="auto" w:val="clear"/>
            <w:vAlign w:val="center"/>
          </w:tcPr>
          <w:p>
            <w:pPr>
              <w:pStyle w:val="TableContents"/>
              <w:spacing w:before="0" w:after="0"/>
              <w:ind w:left="0" w:right="0" w:hanging="0"/>
              <w:jc w:val="center"/>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Estimated</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jc w:val="center"/>
              <w:rPr/>
            </w:pPr>
            <w:r>
              <w:rPr/>
              <w:t>    </w:t>
            </w:r>
          </w:p>
        </w:tc>
        <w:tc>
          <w:tcPr>
            <w:tcW w:w="88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Gain</w:t>
            </w:r>
          </w:p>
        </w:tc>
        <w:tc>
          <w:tcPr>
            <w:tcW w:w="326" w:type="dxa"/>
            <w:tcBorders/>
            <w:shd w:fill="auto" w:val="clear"/>
            <w:vAlign w:val="center"/>
          </w:tcPr>
          <w:p>
            <w:pPr>
              <w:pStyle w:val="TableContents"/>
              <w:spacing w:before="0" w:after="0"/>
              <w:ind w:left="0" w:right="0" w:hanging="0"/>
              <w:jc w:val="center"/>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133,163</w:t>
            </w:r>
          </w:p>
        </w:tc>
        <w:tc>
          <w:tcPr>
            <w:tcW w:w="326" w:type="dxa"/>
            <w:tcBorders/>
            <w:shd w:fill="auto" w:val="clear"/>
            <w:vAlign w:val="center"/>
          </w:tcPr>
          <w:p>
            <w:pPr>
              <w:pStyle w:val="TableContents"/>
              <w:spacing w:before="0" w:after="0"/>
              <w:ind w:left="0" w:right="0" w:hanging="0"/>
              <w:rPr/>
            </w:pPr>
            <w:r>
              <w:rPr/>
              <w:t>​</w:t>
            </w:r>
          </w:p>
        </w:tc>
        <w:tc>
          <w:tcPr>
            <w:tcW w:w="33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131,706</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1,612</w:t>
            </w:r>
          </w:p>
        </w:tc>
        <w:tc>
          <w:tcPr>
            <w:tcW w:w="326" w:type="dxa"/>
            <w:tcBorders/>
            <w:shd w:fill="CCEEFF" w:val="clear"/>
            <w:vAlign w:val="center"/>
          </w:tcPr>
          <w:p>
            <w:pPr>
              <w:pStyle w:val="TableContents"/>
              <w:spacing w:before="0" w:after="0"/>
              <w:ind w:left="0" w:right="0" w:hanging="0"/>
              <w:rPr/>
            </w:pPr>
            <w:r>
              <w:rPr/>
              <w:t>​</w:t>
            </w:r>
          </w:p>
        </w:tc>
        <w:tc>
          <w:tcPr>
            <w:tcW w:w="3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134,775</w:t>
            </w:r>
          </w:p>
        </w:tc>
        <w:tc>
          <w:tcPr>
            <w:tcW w:w="326" w:type="dxa"/>
            <w:tcBorders/>
            <w:shd w:fill="auto" w:val="clear"/>
            <w:vAlign w:val="center"/>
          </w:tcPr>
          <w:p>
            <w:pPr>
              <w:pStyle w:val="TableContents"/>
              <w:spacing w:before="0" w:after="0"/>
              <w:ind w:left="0" w:right="0" w:hanging="0"/>
              <w:rPr/>
            </w:pPr>
            <w:r>
              <w:rPr/>
              <w:t>​</w:t>
            </w:r>
          </w:p>
        </w:tc>
        <w:tc>
          <w:tcPr>
            <w:tcW w:w="3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133,281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uses the specific identification method when calculating realized gains and losses. For the three months ended March 31, 2023 and 2022, respectively, the Company recorded $0 and $2,000 in realized gains on available-for-sale securities, which is included in other income, net on the condensed statements of operations.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Company reviewed all investments which were in a loss position at the respective balance sheet dates, as well as the remainder of the portfolio. As of March 31, 2023, the Company had investments with a total fair market value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rFonts w:ascii="Times New Roman;Times;serif" w:hAnsi="Times New Roman;Times;serif"/>
          <w:sz w:val="20"/>
        </w:rPr>
      </w:pPr>
      <w:bookmarkStart w:id="501" w:name="Tc_yDKLSAbJ3kqduKOWTSKvbg_7_5"/>
      <w:bookmarkStart w:id="502" w:name="Tc_ayoY90sHXkeDuuZU56Zy-A_7_2"/>
      <w:bookmarkStart w:id="503" w:name="Tc_6UbXjXyTdUi3D-BHWEprCg_7_0"/>
      <w:bookmarkStart w:id="504" w:name="Tc_ZhKGmhwcxE26g3FOhOQyRQ_6_0"/>
      <w:bookmarkStart w:id="505" w:name="Tc_eIzYVOAzlUy_--B7RAlQlA_5_5"/>
      <w:bookmarkStart w:id="506" w:name="Tc_yLdDqVlh2kOqpue8B2roew_5_2"/>
      <w:bookmarkStart w:id="507" w:name="Tc_XYrHDPstsUmn_KIlogtnzg_5_0"/>
      <w:bookmarkStart w:id="508" w:name="Tc_lebj6_pnBkGNT9uM4AJ8NQ_4_0"/>
      <w:bookmarkStart w:id="509" w:name="Tc_t88tUB8OaEyxkNzr2zvbSw_3_5"/>
      <w:bookmarkStart w:id="510" w:name="Tc_tw1JbgOLVkqLuzCmVyv9Fg_3_2"/>
      <w:bookmarkStart w:id="511" w:name="Tc_v8-71hi7H0-IVz8PVvtxxA_3_0"/>
      <w:bookmarkStart w:id="512" w:name="Tc_HYfCkufFMkSQ-zxTwHiLgA_2_5"/>
      <w:bookmarkStart w:id="513" w:name="Tc_UxsJQgpuIkenJVyw3YyQmg_1_2"/>
      <w:bookmarkStart w:id="514" w:name="_Hlk71011781"/>
      <w:bookmarkStart w:id="515" w:name="_769895af_6e82_44ff_b2c1_33c4300eef12"/>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Pr>
          <w:rFonts w:ascii="Times New Roman;Times;serif" w:hAnsi="Times New Roman;Times;serif"/>
          <w:sz w:val="20"/>
        </w:rPr>
        <w:t>of $99.2 million in an unrealized loss position, of which $52.0 million were in a continuous unrealized loss position for more than twelve months. The Company analyzed the unrealized losses and determined that the prevailing high interest rates were the primary factor driving these changes, and such unrealized losses are temporary as the Company anticipates a full recovery of the amortized cost basis of these securities at maturity. After analyzing the securities in an unrealized loss position, the portion of these losses that relate to changes in credit quality is insignificant. The Company does not intend to sell these securities, nor is it more likely than not that the Company will be required to sell them prior to the end of their contractual terms. Furthermore, the Company does not believe that these securities expose the Company to undue market risk or counterparty credit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maturities of the Company’s investments available-for-sale as of March 31, 2023</w:t>
      </w:r>
      <w:r>
        <w:rPr>
          <w:rFonts w:ascii="Times New Roman;Times;serif" w:hAnsi="Times New Roman;Times;serif"/>
          <w:sz w:val="20"/>
          <w:highlight w:val="white"/>
        </w:rPr>
        <w:t>:</w:t>
      </w:r>
    </w:p>
    <w:tbl>
      <w:tblPr>
        <w:tblW w:w="5772" w:type="dxa"/>
        <w:jc w:val="left"/>
        <w:tblInd w:w="0" w:type="dxa"/>
        <w:tblCellMar>
          <w:top w:w="0" w:type="dxa"/>
          <w:left w:w="0" w:type="dxa"/>
          <w:bottom w:w="0" w:type="dxa"/>
          <w:right w:w="0" w:type="dxa"/>
        </w:tblCellMar>
      </w:tblPr>
      <w:tblGrid>
        <w:gridCol w:w="3031"/>
        <w:gridCol w:w="326"/>
        <w:gridCol w:w="211"/>
        <w:gridCol w:w="781"/>
        <w:gridCol w:w="326"/>
        <w:gridCol w:w="211"/>
        <w:gridCol w:w="886"/>
      </w:tblGrid>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rPr/>
            </w:pPr>
            <w:r>
              <w:rPr/>
              <w:t>​</w:t>
            </w:r>
          </w:p>
        </w:tc>
      </w:tr>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30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9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Maturities: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rPr/>
            </w:pPr>
            <w:r>
              <w:rPr/>
              <w:t>​</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Within 1 year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81,747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81,051</w:t>
            </w:r>
          </w:p>
        </w:tc>
      </w:tr>
      <w:tr>
        <w:trPr/>
        <w:tc>
          <w:tcPr>
            <w:tcW w:w="30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Between 1 to 2 years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34,576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34,469</w:t>
            </w:r>
          </w:p>
        </w:tc>
      </w:tr>
      <w:tr>
        <w:trPr/>
        <w:tc>
          <w:tcPr>
            <w:tcW w:w="30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investments available-for-sale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116,323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115,520</w:t>
            </w:r>
          </w:p>
        </w:tc>
      </w:tr>
    </w:tbl>
    <w:p>
      <w:pPr>
        <w:pStyle w:val="TextBody"/>
        <w:spacing w:before="0" w:after="0"/>
        <w:ind w:left="0" w:right="0" w:hanging="0"/>
        <w:rPr>
          <w:highlight w:val="white"/>
        </w:rPr>
      </w:pPr>
      <w:r>
        <w:rPr>
          <w:highlight w:val="white"/>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classified all of its available-for-sale investments, including those with maturities beyond one year, as current assets on the accompanying condensed balance sheets based on the highly liquid nature of these investment securities and because these investment securities are considered available for use in current operations.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516" w:name="a3FairValueofFinancialInstruments_290669"/>
      <w:bookmarkEnd w:id="516"/>
      <w:r>
        <w:rPr>
          <w:rFonts w:ascii="Times New Roman;Times;serif" w:hAnsi="Times New Roman;Times;serif"/>
          <w:b/>
          <w:sz w:val="20"/>
        </w:rPr>
        <w:t>4. Fair Value Measurements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certain financial assets recorded at fair value, which have been classified as Level 1, 2 or 3 within the fair value hierarchy as described in the accounting standards for fair value measurements.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Level 1—Quoted market prices in active markets for identical assets or liabilities.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Level 2—Inputs other than Level 1 inputs that are either directly or indirectly observable, such as quoted market prices, interest rates and yield curves.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Level 3—Unobservable inputs developed using estimates of assumptions developed by the Company, which reflect those that a market participant would use.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the valuation is based on models or inputs that are less observable or unobservable in the market, the determination of fair values requires more judgment. Accordingly, the degree of judgment exercised by the Company in determining fair value is greatest for instruments categorized as Level 3. A financial instrument’s level within the fair value hierarchy is based on the lowest level of any input that is significant to the fair value measurement.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firstLine="720"/>
        <w:jc w:val="both"/>
        <w:rPr>
          <w:rFonts w:ascii="Times New Roman;Times;serif" w:hAnsi="Times New Roman;Times;serif"/>
          <w:sz w:val="20"/>
        </w:rPr>
      </w:pPr>
      <w:bookmarkStart w:id="517" w:name="Tc_vhFndZoqdkSwtOUyWkOwzQ_12_12"/>
      <w:bookmarkStart w:id="518" w:name="Tc_FFzGoZTVfE-mw4OEdI5Nig_12_11"/>
      <w:bookmarkStart w:id="519" w:name="Tc_fTCOx6hnYkGGeCxvKLq4AQ_12_8"/>
      <w:bookmarkStart w:id="520" w:name="Tc_hmN6gEVW20q3G5bpVeO_Vw_12_5"/>
      <w:bookmarkStart w:id="521" w:name="Tc_k0GCJhs3dEuykZdklIny9g_12_2"/>
      <w:bookmarkStart w:id="522" w:name="Tc_NPG1RrvhrUOwwzKkOIaI-g_12_0"/>
      <w:bookmarkStart w:id="523" w:name="Tc_MKp9XqsJ70CsdWrSPqrhoQ_11_12"/>
      <w:bookmarkStart w:id="524" w:name="Tc_h9diLl8CgkORdmHg_tOuIQ_11_6"/>
      <w:bookmarkStart w:id="525" w:name="Tc_HrivCLAd9EaDo1XXcS-egw_11_0"/>
      <w:bookmarkStart w:id="526" w:name="Tc_GpXsYJHT-UGuQT7O-Skkxg_10_12"/>
      <w:bookmarkStart w:id="527" w:name="Tc_sDkfZtxdrE-jhBr1eXWW5A_10_6"/>
      <w:bookmarkStart w:id="528" w:name="Tc_y_R3Po54DEiKMlNCtMOCWA_10_0"/>
      <w:bookmarkStart w:id="529" w:name="Tc_ieFG88xP3U-xCMs3Nw5PjA_9_0"/>
      <w:bookmarkStart w:id="530" w:name="Tc_LU4BjCn_kUS3CsRSJI5m4w_8_12"/>
      <w:bookmarkStart w:id="531" w:name="Tc_Wu1nDX2AqEy7NcjnHWbZsg_8_11"/>
      <w:bookmarkStart w:id="532" w:name="Tc_pJOQAXDC80ObRahXbnlkFA_8_9"/>
      <w:bookmarkStart w:id="533" w:name="Tc_mgFPgWmn10aRtX1QSu30aA_8_8"/>
      <w:bookmarkStart w:id="534" w:name="Tc_oxCTNPU0QkmhiNJjPq3DpQ_8_5"/>
      <w:bookmarkStart w:id="535" w:name="Tc_LSJqm5r7DU-EmTKLnwHJsA_8_2"/>
      <w:bookmarkStart w:id="536" w:name="Tc_OP7hX5ZhmUu5uasEbunSdw_8_0"/>
      <w:bookmarkStart w:id="537" w:name="Tc_l5wdvlQ5pUmdtgw2qCTIPg_7_0"/>
      <w:bookmarkStart w:id="538" w:name="Tc_sDsn7q1d4k28aSFi4U1vHw_6_11"/>
      <w:bookmarkStart w:id="539" w:name="Tc_PTJsMS6IbEOUWvGHmv7Jkg_6_8"/>
      <w:bookmarkStart w:id="540" w:name="Tc_Ar4IC5iR7kKGpnuWnkw-Mw_6_5"/>
      <w:bookmarkStart w:id="541" w:name="Tc_L5w_reBBHEOGlQlzebiyQw_6_2"/>
      <w:bookmarkStart w:id="542" w:name="Tc_iupfGGQ2qku7VpvPQN9nGA_6_0"/>
      <w:bookmarkStart w:id="543" w:name="Tc_7y4z9uiitUWtzXCyT3dR2g_5_11"/>
      <w:bookmarkStart w:id="544" w:name="Tc_bmHsAp6oVE6L5T65KbSpTw_5_8"/>
      <w:bookmarkStart w:id="545" w:name="Tc_v0elgkMY9kOmERh-h2tN2A_5_5"/>
      <w:bookmarkStart w:id="546" w:name="Tc_-y0b19nxnEKzbd7bsoCS8w_4_11"/>
      <w:bookmarkStart w:id="547" w:name="Tc_kR0GZuTbrkKNJi04Z-5xyA_4_8"/>
      <w:bookmarkStart w:id="548" w:name="Tc_m7nfO4kNx0efH4PYJe7Y0g_4_5"/>
      <w:bookmarkStart w:id="549" w:name="Tc_1La6CvoWfUaxXU19Zza4wg_3_8"/>
      <w:bookmarkStart w:id="550" w:name="Tc__eKRFsMJFk-wnBozEFzg_w_3_5"/>
      <w:bookmarkStart w:id="551" w:name="Tc_i1HHo4KfiU2Cd-QPGw3oiA_2_8"/>
      <w:bookmarkStart w:id="552" w:name="Tc_uM1StehiHESrFeewjbkoTg_1_2"/>
      <w:bookmarkStart w:id="553" w:name="_44e27cfe_7725_446e_a5b7_472d611c9a65"/>
      <w:bookmarkStart w:id="554" w:name="Tc_-me9N0-n8Uq75Ki4iLWUfw_12_12"/>
      <w:bookmarkStart w:id="555" w:name="Tc_4eRSiqYaIEiVyoZUnCrnwA_12_11"/>
      <w:bookmarkStart w:id="556" w:name="Tc_wVOQ5r_hgkShcRolk67gfQ_12_8"/>
      <w:bookmarkStart w:id="557" w:name="Tc_j1pGubmYRkqZudGgpEXmPQ_12_5"/>
      <w:bookmarkStart w:id="558" w:name="Tc_Qz0oxionu0yy16P5sGqt5g_12_2"/>
      <w:bookmarkStart w:id="559" w:name="Tc_RMemFTvIgUy_e-M33CaAaQ_12_0"/>
      <w:bookmarkStart w:id="560" w:name="Tc_uGQw84WgGUCXQ7yjgZwtqQ_11_12"/>
      <w:bookmarkStart w:id="561" w:name="Tc_Ye4w_BHUYkKl8qdD3nXCxQ_11_6"/>
      <w:bookmarkStart w:id="562" w:name="Tc_I3RH-v55REuviDv5hfJrlA_11_0"/>
      <w:bookmarkStart w:id="563" w:name="Tc_JtaHEuJqDk29kOi4sLik3g_10_12"/>
      <w:bookmarkStart w:id="564" w:name="Tc_9All3E862UmkD37EisZmTQ_10_6"/>
      <w:bookmarkStart w:id="565" w:name="Tc_q1C8NNrEUU-Sb_te9lXdIA_10_0"/>
      <w:bookmarkStart w:id="566" w:name="Tc_zhHarcer5EOqSGvKIwNc6A_9_0"/>
      <w:bookmarkStart w:id="567" w:name="Tc_pqbpmuVRdEOoiaQSiR5FdQ_8_12"/>
      <w:bookmarkStart w:id="568" w:name="Tc_SmtaybaiRkK1Xax24PELsg_8_11"/>
      <w:bookmarkStart w:id="569" w:name="Tc_PepU5UHD3kiSeEhlk0SO9g_8_9"/>
      <w:bookmarkStart w:id="570" w:name="Tc_Tp7MiZKb40yI9bFM84psSg_8_8"/>
      <w:bookmarkStart w:id="571" w:name="Tc_eFvOLF7CxUSvpdfdJMoyRg_8_5"/>
      <w:bookmarkStart w:id="572" w:name="Tc_mvjmo2XI_kuw1No67Km5Rw_8_2"/>
      <w:bookmarkStart w:id="573" w:name="Tc_S99RqWVxpE6EvckjSKB2fA_8_0"/>
      <w:bookmarkStart w:id="574" w:name="Tc_OpmF93yQ5EylJTs7Hv77Dw_7_0"/>
      <w:bookmarkStart w:id="575" w:name="Tc_1si-0bNSaUSSx3xJlVoMJA_6_11"/>
      <w:bookmarkStart w:id="576" w:name="Tc_7ik9Xa-aEkyhe4UgAP3iOA_6_8"/>
      <w:bookmarkStart w:id="577" w:name="Tc_b78IAbWo2UyDpQ-sdMQyQA_6_5"/>
      <w:bookmarkStart w:id="578" w:name="Tc_yquEelm3RU2YHn7Z9mPkAg_6_2"/>
      <w:bookmarkStart w:id="579" w:name="Tc_sfjq44g-dEav4vwlk9_J8g_6_0"/>
      <w:bookmarkStart w:id="580" w:name="Tc_Yyis7gXyE0mrzX18q96hzQ_5_11"/>
      <w:bookmarkStart w:id="581" w:name="Tc_sQcx0SezdkuosLePDYTodw_5_8"/>
      <w:bookmarkStart w:id="582" w:name="Tc_fHPFgUrg1kOcOkAp_hCitQ_5_5"/>
      <w:bookmarkStart w:id="583" w:name="Tc__c5x8GApOEulikeyGQ5nOA_4_11"/>
      <w:bookmarkStart w:id="584" w:name="Tc_y_m1hqys1UOeQAZhEIU3OQ_4_8"/>
      <w:bookmarkStart w:id="585" w:name="Tc_nuV0dBE5u0eV8-SggVRkug_4_5"/>
      <w:bookmarkStart w:id="586" w:name="Tc_5HBxzWjnj0SK9P17bVAebg_3_8"/>
      <w:bookmarkStart w:id="587" w:name="Tc_Dfq51eINHk6kuggUz1klhw_3_5"/>
      <w:bookmarkStart w:id="588" w:name="Tc_g8ZvQVod70O3_NtuDWU_ow_2_8"/>
      <w:bookmarkStart w:id="589" w:name="Tc_85XVOpm7FE6U70MS_yKp6A_1_2"/>
      <w:bookmarkStart w:id="590" w:name="_68b21438_6d78_4cef_a48c_8b0ca8ced009"/>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r>
        <w:rPr>
          <w:rFonts w:ascii="Times New Roman;Times;serif" w:hAnsi="Times New Roman;Times;serif"/>
          <w:sz w:val="20"/>
        </w:rPr>
        <w:t>The following tables set forth the fair value of the Company’s financial assets by level within the fair value hierarchy as of March 31, 2023 and December 31, 2022:</w:t>
      </w:r>
    </w:p>
    <w:tbl>
      <w:tblPr>
        <w:tblW w:w="8105" w:type="dxa"/>
        <w:jc w:val="left"/>
        <w:tblInd w:w="0" w:type="dxa"/>
        <w:tblCellMar>
          <w:top w:w="0" w:type="dxa"/>
          <w:left w:w="0" w:type="dxa"/>
          <w:bottom w:w="0" w:type="dxa"/>
          <w:right w:w="0" w:type="dxa"/>
        </w:tblCellMar>
      </w:tblPr>
      <w:tblGrid>
        <w:gridCol w:w="2251"/>
        <w:gridCol w:w="326"/>
        <w:gridCol w:w="211"/>
        <w:gridCol w:w="781"/>
        <w:gridCol w:w="326"/>
        <w:gridCol w:w="339"/>
        <w:gridCol w:w="1086"/>
        <w:gridCol w:w="326"/>
        <w:gridCol w:w="211"/>
        <w:gridCol w:w="781"/>
        <w:gridCol w:w="326"/>
        <w:gridCol w:w="362"/>
        <w:gridCol w:w="779"/>
      </w:tblGrid>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8" name="Frame6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95935" cy="175260"/>
                      <wp:effectExtent l="0" t="0" r="0" b="0"/>
                      <wp:wrapNone/>
                      <wp:docPr id="70" name="Frame70"/>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71" name="Frame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5265" cy="175260"/>
                      <wp:effectExtent l="0" t="0" r="0" b="0"/>
                      <wp:wrapNone/>
                      <wp:docPr id="72" name="Frame72"/>
                      <a:graphic xmlns:a="http://schemas.openxmlformats.org/drawingml/2006/main">
                        <a:graphicData uri="http://schemas.microsoft.com/office/word/2010/wordprocessingShape">
                          <wps:wsp>
                            <wps:cNvSpPr txBox="1"/>
                            <wps:spPr>
                              <a:xfrm>
                                <a:off x="0" y="0"/>
                                <a:ext cx="215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89610" cy="175260"/>
                      <wp:effectExtent l="0" t="0" r="0" b="0"/>
                      <wp:wrapNone/>
                      <wp:docPr id="73" name="Frame73"/>
                      <a:graphic xmlns:a="http://schemas.openxmlformats.org/drawingml/2006/main">
                        <a:graphicData uri="http://schemas.microsoft.com/office/word/2010/wordprocessingShape">
                          <wps:wsp>
                            <wps:cNvSpPr txBox="1"/>
                            <wps:spPr>
                              <a:xfrm>
                                <a:off x="0" y="0"/>
                                <a:ext cx="68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495935" cy="175260"/>
                      <wp:effectExtent l="0" t="0" r="0" b="0"/>
                      <wp:wrapNone/>
                      <wp:docPr id="76" name="Frame7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7" name="Frame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9870" cy="175260"/>
                      <wp:effectExtent l="0" t="0" r="0" b="0"/>
                      <wp:wrapNone/>
                      <wp:docPr id="78" name="Frame78"/>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494665" cy="175260"/>
                      <wp:effectExtent l="0" t="0" r="0" b="0"/>
                      <wp:wrapNone/>
                      <wp:docPr id="79" name="Frame79"/>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2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2023</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w:t>
            </w:r>
          </w:p>
        </w:tc>
        <w:tc>
          <w:tcPr>
            <w:tcW w:w="108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w:t>
            </w:r>
          </w:p>
        </w:tc>
        <w:tc>
          <w:tcPr>
            <w:tcW w:w="108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15,434</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auto" w:val="clear"/>
            <w:vAlign w:val="center"/>
          </w:tcPr>
          <w:p>
            <w:pPr>
              <w:pStyle w:val="TableContents"/>
              <w:spacing w:before="0" w:after="0"/>
              <w:ind w:left="0" w:right="0" w:hanging="0"/>
              <w:jc w:val="right"/>
              <w:rPr/>
            </w:pPr>
            <w:r>
              <w:rPr/>
              <w:t>—</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9" w:type="dxa"/>
            <w:tcBorders/>
            <w:shd w:fill="CCEEFF" w:val="clear"/>
            <w:vAlign w:val="center"/>
          </w:tcPr>
          <w:p>
            <w:pPr>
              <w:pStyle w:val="TableContents"/>
              <w:spacing w:before="0" w:after="0"/>
              <w:ind w:left="0" w:right="0" w:hanging="0"/>
              <w:rPr/>
            </w:pPr>
            <w:r>
              <w:rPr/>
              <w:t>​</w:t>
            </w:r>
          </w:p>
        </w:tc>
        <w:tc>
          <w:tcPr>
            <w:tcW w:w="10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jc w:val="right"/>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103,930</w:t>
            </w:r>
          </w:p>
        </w:tc>
        <w:tc>
          <w:tcPr>
            <w:tcW w:w="326" w:type="dxa"/>
            <w:tcBorders/>
            <w:shd w:fill="auto" w:val="clear"/>
            <w:vAlign w:val="center"/>
          </w:tcPr>
          <w:p>
            <w:pPr>
              <w:pStyle w:val="TableContents"/>
              <w:spacing w:before="0" w:after="0"/>
              <w:ind w:left="0" w:right="0" w:hanging="0"/>
              <w:rPr/>
            </w:pPr>
            <w:r>
              <w:rPr/>
              <w:t>​</w:t>
            </w:r>
          </w:p>
        </w:tc>
        <w:tc>
          <w:tcPr>
            <w:tcW w:w="339" w:type="dxa"/>
            <w:tcBorders/>
            <w:shd w:fill="auto" w:val="clear"/>
            <w:vAlign w:val="center"/>
          </w:tcPr>
          <w:p>
            <w:pPr>
              <w:pStyle w:val="TableContents"/>
              <w:spacing w:before="0" w:after="0"/>
              <w:ind w:left="0" w:right="0" w:hanging="0"/>
              <w:rPr/>
            </w:pPr>
            <w:r>
              <w:rPr/>
              <w:t>​</w:t>
            </w:r>
          </w:p>
        </w:tc>
        <w:tc>
          <w:tcPr>
            <w:tcW w:w="10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103,930</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pPr>
            <w:r>
              <w:rPr/>
              <w:t>—</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11,590</w:t>
            </w:r>
          </w:p>
        </w:tc>
        <w:tc>
          <w:tcPr>
            <w:tcW w:w="326" w:type="dxa"/>
            <w:tcBorders/>
            <w:shd w:fill="CCEEFF" w:val="clear"/>
            <w:vAlign w:val="center"/>
          </w:tcPr>
          <w:p>
            <w:pPr>
              <w:pStyle w:val="TableContents"/>
              <w:spacing w:before="0" w:after="0"/>
              <w:ind w:left="0" w:right="0" w:hanging="0"/>
              <w:rPr/>
            </w:pPr>
            <w:r>
              <w:rPr/>
              <w:t>​</w:t>
            </w:r>
          </w:p>
        </w:tc>
        <w:tc>
          <w:tcPr>
            <w:tcW w:w="33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11,590</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130,954</w:t>
            </w:r>
          </w:p>
        </w:tc>
        <w:tc>
          <w:tcPr>
            <w:tcW w:w="326" w:type="dxa"/>
            <w:tcBorders/>
            <w:shd w:fill="auto" w:val="clear"/>
            <w:vAlign w:val="center"/>
          </w:tcPr>
          <w:p>
            <w:pPr>
              <w:pStyle w:val="TableContents"/>
              <w:spacing w:before="0" w:after="0"/>
              <w:ind w:left="0" w:right="0" w:hanging="0"/>
              <w:rPr/>
            </w:pPr>
            <w:r>
              <w:rPr/>
              <w:t>​</w:t>
            </w:r>
          </w:p>
        </w:tc>
        <w:tc>
          <w:tcPr>
            <w:tcW w:w="33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15,434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115,520</w:t>
            </w:r>
          </w:p>
        </w:tc>
        <w:tc>
          <w:tcPr>
            <w:tcW w:w="326" w:type="dxa"/>
            <w:tcBorders/>
            <w:shd w:fill="auto" w:val="clear"/>
            <w:vAlign w:val="center"/>
          </w:tcPr>
          <w:p>
            <w:pPr>
              <w:pStyle w:val="TableContents"/>
              <w:spacing w:before="0" w:after="0"/>
              <w:ind w:left="0" w:right="0" w:hanging="0"/>
              <w:rPr/>
            </w:pPr>
            <w:r>
              <w:rPr/>
              <w:t>​</w:t>
            </w:r>
          </w:p>
        </w:tc>
        <w:tc>
          <w:tcPr>
            <w:tcW w:w="3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tbl>
      <w:tblPr>
        <w:tblW w:w="8105" w:type="dxa"/>
        <w:jc w:val="left"/>
        <w:tblInd w:w="0" w:type="dxa"/>
        <w:tblCellMar>
          <w:top w:w="0" w:type="dxa"/>
          <w:left w:w="0" w:type="dxa"/>
          <w:bottom w:w="0" w:type="dxa"/>
          <w:right w:w="0" w:type="dxa"/>
        </w:tblCellMar>
      </w:tblPr>
      <w:tblGrid>
        <w:gridCol w:w="2251"/>
        <w:gridCol w:w="326"/>
        <w:gridCol w:w="211"/>
        <w:gridCol w:w="781"/>
        <w:gridCol w:w="326"/>
        <w:gridCol w:w="384"/>
        <w:gridCol w:w="1041"/>
        <w:gridCol w:w="326"/>
        <w:gridCol w:w="211"/>
        <w:gridCol w:w="781"/>
        <w:gridCol w:w="326"/>
        <w:gridCol w:w="362"/>
        <w:gridCol w:w="779"/>
      </w:tblGrid>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495935" cy="175260"/>
                      <wp:effectExtent l="0" t="0" r="0" b="0"/>
                      <wp:wrapNone/>
                      <wp:docPr id="82" name="Frame82"/>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43840" cy="175260"/>
                      <wp:effectExtent l="0" t="0" r="0" b="0"/>
                      <wp:wrapNone/>
                      <wp:docPr id="84" name="Frame84"/>
                      <a:graphic xmlns:a="http://schemas.openxmlformats.org/drawingml/2006/main">
                        <a:graphicData uri="http://schemas.microsoft.com/office/word/2010/wordprocessingShape">
                          <wps:wsp>
                            <wps:cNvSpPr txBox="1"/>
                            <wps:spPr>
                              <a:xfrm>
                                <a:off x="0" y="0"/>
                                <a:ext cx="243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1035" cy="175260"/>
                      <wp:effectExtent l="0" t="0" r="0" b="0"/>
                      <wp:wrapNone/>
                      <wp:docPr id="85" name="Frame85"/>
                      <a:graphic xmlns:a="http://schemas.openxmlformats.org/drawingml/2006/main">
                        <a:graphicData uri="http://schemas.microsoft.com/office/word/2010/wordprocessingShape">
                          <wps:wsp>
                            <wps:cNvSpPr txBox="1"/>
                            <wps:spPr>
                              <a:xfrm>
                                <a:off x="0" y="0"/>
                                <a:ext cx="661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95935" cy="175260"/>
                      <wp:effectExtent l="0" t="0" r="0" b="0"/>
                      <wp:wrapNone/>
                      <wp:docPr id="88" name="Frame8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29870" cy="175260"/>
                      <wp:effectExtent l="0" t="0" r="0" b="0"/>
                      <wp:wrapNone/>
                      <wp:docPr id="90" name="Frame90"/>
                      <a:graphic xmlns:a="http://schemas.openxmlformats.org/drawingml/2006/main">
                        <a:graphicData uri="http://schemas.microsoft.com/office/word/2010/wordprocessingShape">
                          <wps:wsp>
                            <wps:cNvSpPr txBox="1"/>
                            <wps:spPr>
                              <a:xfrm>
                                <a:off x="0" y="0"/>
                                <a:ext cx="2298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494665" cy="175260"/>
                      <wp:effectExtent l="0" t="0" r="0" b="0"/>
                      <wp:wrapNone/>
                      <wp:docPr id="91" name="Frame91"/>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528" w:type="dxa"/>
            <w:gridSpan w:val="11"/>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2022</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Quoted Prices in </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Other </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or</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r>
      <w:tr>
        <w:trPr/>
        <w:tc>
          <w:tcPr>
            <w:tcW w:w="22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42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shd w:fill="auto" w:val="clear"/>
            <w:vAlign w:val="center"/>
          </w:tcPr>
          <w:p>
            <w:pPr>
              <w:pStyle w:val="TableContents"/>
              <w:spacing w:before="0" w:after="0"/>
              <w:ind w:left="0" w:right="0" w:hanging="0"/>
              <w:rPr/>
            </w:pPr>
            <w:r>
              <w:rPr/>
              <w:t>​</w:t>
            </w:r>
          </w:p>
        </w:tc>
        <w:tc>
          <w:tcPr>
            <w:tcW w:w="114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shd w:fill="auto" w:val="clear"/>
            <w:vAlign w:val="center"/>
          </w:tcPr>
          <w:p>
            <w:pPr>
              <w:pStyle w:val="TableContents"/>
              <w:spacing w:before="0" w:after="0"/>
              <w:ind w:left="0" w:right="0" w:hanging="0"/>
              <w:rPr/>
            </w:pPr>
            <w:r>
              <w:rPr/>
              <w:t>    </w:t>
            </w:r>
          </w:p>
        </w:tc>
        <w:tc>
          <w:tcPr>
            <w:tcW w:w="14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shd w:fill="auto" w:val="clear"/>
            <w:vAlign w:val="center"/>
          </w:tcPr>
          <w:p>
            <w:pPr>
              <w:pStyle w:val="TableContents"/>
              <w:spacing w:before="0" w:after="0"/>
              <w:ind w:left="0" w:right="0" w:hanging="0"/>
              <w:rPr/>
            </w:pPr>
            <w:r>
              <w:rPr/>
              <w:t>    </w:t>
            </w:r>
          </w:p>
        </w:tc>
        <w:tc>
          <w:tcPr>
            <w:tcW w:w="114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w:t>
            </w:r>
          </w:p>
        </w:tc>
        <w:tc>
          <w:tcPr>
            <w:tcW w:w="326"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auto" w:val="clear"/>
            <w:vAlign w:val="center"/>
          </w:tcPr>
          <w:p>
            <w:pPr>
              <w:pStyle w:val="TableContents"/>
              <w:spacing w:before="0" w:after="0"/>
              <w:ind w:left="0" w:right="0" w:hanging="0"/>
              <w:jc w:val="right"/>
              <w:rPr/>
            </w:pPr>
            <w:r>
              <w:rPr/>
              <w:t>—</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Marketable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84" w:type="dxa"/>
            <w:tcBorders/>
            <w:shd w:fill="CCEEFF" w:val="clear"/>
            <w:vAlign w:val="center"/>
          </w:tcPr>
          <w:p>
            <w:pPr>
              <w:pStyle w:val="TableContents"/>
              <w:spacing w:before="0" w:after="0"/>
              <w:ind w:left="0" w:right="0" w:hanging="0"/>
              <w:rPr/>
            </w:pPr>
            <w:r>
              <w:rPr/>
              <w:t>​</w:t>
            </w:r>
          </w:p>
        </w:tc>
        <w:tc>
          <w:tcPr>
            <w:tcW w:w="10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62" w:type="dxa"/>
            <w:tcBorders/>
            <w:shd w:fill="CCEEFF" w:val="clear"/>
            <w:vAlign w:val="center"/>
          </w:tcPr>
          <w:p>
            <w:pPr>
              <w:pStyle w:val="TableContents"/>
              <w:spacing w:before="0" w:after="0"/>
              <w:ind w:left="0" w:right="0" w:hanging="0"/>
              <w:rPr/>
            </w:pPr>
            <w:r>
              <w:rPr/>
              <w:t>​</w:t>
            </w:r>
          </w:p>
        </w:tc>
        <w:tc>
          <w:tcPr>
            <w:tcW w:w="779" w:type="dxa"/>
            <w:tcBorders/>
            <w:shd w:fill="CCEEFF" w:val="clear"/>
            <w:vAlign w:val="center"/>
          </w:tcPr>
          <w:p>
            <w:pPr>
              <w:pStyle w:val="TableContents"/>
              <w:spacing w:before="0" w:after="0"/>
              <w:ind w:left="0" w:right="0" w:hanging="0"/>
              <w:jc w:val="right"/>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131,706</w:t>
            </w:r>
          </w:p>
        </w:tc>
        <w:tc>
          <w:tcPr>
            <w:tcW w:w="326" w:type="dxa"/>
            <w:tcBorders/>
            <w:shd w:fill="auto" w:val="clear"/>
            <w:vAlign w:val="center"/>
          </w:tcPr>
          <w:p>
            <w:pPr>
              <w:pStyle w:val="TableContents"/>
              <w:spacing w:before="0" w:after="0"/>
              <w:ind w:left="0" w:right="0" w:hanging="0"/>
              <w:rPr/>
            </w:pPr>
            <w:r>
              <w:rPr/>
              <w:t>​</w:t>
            </w:r>
          </w:p>
        </w:tc>
        <w:tc>
          <w:tcPr>
            <w:tcW w:w="384" w:type="dxa"/>
            <w:tcBorders/>
            <w:shd w:fill="auto" w:val="clear"/>
            <w:vAlign w:val="center"/>
          </w:tcPr>
          <w:p>
            <w:pPr>
              <w:pStyle w:val="TableContents"/>
              <w:spacing w:before="0" w:after="0"/>
              <w:ind w:left="0" w:right="0" w:hanging="0"/>
              <w:rPr/>
            </w:pPr>
            <w:r>
              <w:rPr/>
              <w:t>​</w:t>
            </w:r>
          </w:p>
        </w:tc>
        <w:tc>
          <w:tcPr>
            <w:tcW w:w="10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131,706</w:t>
            </w:r>
          </w:p>
        </w:tc>
        <w:tc>
          <w:tcPr>
            <w:tcW w:w="326" w:type="dxa"/>
            <w:tcBorders/>
            <w:shd w:fill="auto" w:val="clear"/>
            <w:vAlign w:val="center"/>
          </w:tcPr>
          <w:p>
            <w:pPr>
              <w:pStyle w:val="TableContents"/>
              <w:spacing w:before="0" w:after="0"/>
              <w:ind w:left="0" w:right="0" w:hanging="0"/>
              <w:rPr/>
            </w:pPr>
            <w:r>
              <w:rPr/>
              <w:t>​</w:t>
            </w:r>
          </w:p>
        </w:tc>
        <w:tc>
          <w:tcPr>
            <w:tcW w:w="362" w:type="dxa"/>
            <w:tcBorders/>
            <w:shd w:fill="auto" w:val="clear"/>
            <w:vAlign w:val="center"/>
          </w:tcPr>
          <w:p>
            <w:pPr>
              <w:pStyle w:val="TableContents"/>
              <w:spacing w:before="0" w:after="0"/>
              <w:ind w:left="0" w:right="0" w:hanging="0"/>
              <w:rPr/>
            </w:pPr>
            <w:r>
              <w:rPr/>
              <w:t>​</w:t>
            </w:r>
          </w:p>
        </w:tc>
        <w:tc>
          <w:tcPr>
            <w:tcW w:w="779" w:type="dxa"/>
            <w:tcBorders/>
            <w:shd w:fill="auto" w:val="clear"/>
            <w:vAlign w:val="center"/>
          </w:tcPr>
          <w:p>
            <w:pPr>
              <w:pStyle w:val="TableContents"/>
              <w:spacing w:before="0" w:after="0"/>
              <w:ind w:left="0" w:right="0" w:hanging="0"/>
              <w:jc w:val="right"/>
              <w:rPr/>
            </w:pPr>
            <w:r>
              <w:rPr/>
              <w:t>—</w:t>
            </w:r>
          </w:p>
        </w:tc>
      </w:tr>
      <w:tr>
        <w:trPr/>
        <w:tc>
          <w:tcPr>
            <w:tcW w:w="22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U.S. Government agencies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spacing w:before="0" w:after="0"/>
              <w:ind w:left="0" w:right="0" w:hanging="0"/>
              <w:rPr/>
            </w:pPr>
            <w:r>
              <w:rPr/>
              <w:t>​</w:t>
            </w:r>
          </w:p>
        </w:tc>
        <w:tc>
          <w:tcPr>
            <w:tcW w:w="384"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4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1,575</w:t>
            </w:r>
          </w:p>
        </w:tc>
        <w:tc>
          <w:tcPr>
            <w:tcW w:w="326" w:type="dxa"/>
            <w:tcBorders/>
            <w:shd w:fill="CCEEFF" w:val="clear"/>
            <w:vAlign w:val="center"/>
          </w:tcPr>
          <w:p>
            <w:pPr>
              <w:pStyle w:val="TableContents"/>
              <w:spacing w:before="0" w:after="0"/>
              <w:ind w:left="0" w:right="0" w:hanging="0"/>
              <w:rPr/>
            </w:pPr>
            <w:r>
              <w:rPr/>
              <w:t>​</w:t>
            </w:r>
          </w:p>
        </w:tc>
        <w:tc>
          <w:tcPr>
            <w:tcW w:w="362"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2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140,063</w:t>
            </w:r>
          </w:p>
        </w:tc>
        <w:tc>
          <w:tcPr>
            <w:tcW w:w="326" w:type="dxa"/>
            <w:tcBorders/>
            <w:shd w:fill="auto" w:val="clear"/>
            <w:vAlign w:val="center"/>
          </w:tcPr>
          <w:p>
            <w:pPr>
              <w:pStyle w:val="TableContents"/>
              <w:spacing w:before="0" w:after="0"/>
              <w:ind w:left="0" w:right="0" w:hanging="0"/>
              <w:rPr/>
            </w:pPr>
            <w:r>
              <w:rPr/>
              <w:t>​</w:t>
            </w:r>
          </w:p>
        </w:tc>
        <w:tc>
          <w:tcPr>
            <w:tcW w:w="38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133,281</w:t>
            </w:r>
          </w:p>
        </w:tc>
        <w:tc>
          <w:tcPr>
            <w:tcW w:w="326" w:type="dxa"/>
            <w:tcBorders/>
            <w:shd w:fill="auto" w:val="clear"/>
            <w:vAlign w:val="center"/>
          </w:tcPr>
          <w:p>
            <w:pPr>
              <w:pStyle w:val="TableContents"/>
              <w:spacing w:before="0" w:after="0"/>
              <w:ind w:left="0" w:right="0" w:hanging="0"/>
              <w:rPr/>
            </w:pPr>
            <w:r>
              <w:rPr/>
              <w:t>​</w:t>
            </w:r>
          </w:p>
        </w:tc>
        <w:tc>
          <w:tcPr>
            <w:tcW w:w="36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w:t>
      </w:r>
      <w:r>
        <w:rPr>
          <w:rFonts w:ascii="Times New Roman;Times;serif" w:hAnsi="Times New Roman;Times;serif"/>
          <w:b w:val="false"/>
          <w:i w:val="false"/>
          <w:caps w:val="false"/>
          <w:smallCaps w:val="false"/>
          <w:sz w:val="20"/>
        </w:rPr>
        <w:t>did</w:t>
      </w:r>
      <w:r>
        <w:rPr>
          <w:rFonts w:ascii="Times New Roman;Times;serif" w:hAnsi="Times New Roman;Times;serif"/>
          <w:sz w:val="20"/>
        </w:rPr>
        <w:t xml:space="preserve"> not transfer any assets measured at fair value on a recurring basis between levels during the three months ended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rPr>
          <w:rFonts w:ascii="Times New Roman;Times;serif" w:hAnsi="Times New Roman;Times;serif"/>
          <w:b/>
          <w:sz w:val="20"/>
        </w:rPr>
      </w:pPr>
      <w:bookmarkStart w:id="591" w:name="Tc_hOLaA1goo0GXKerGdAyT0g_10_3"/>
      <w:bookmarkStart w:id="592" w:name="Tc_a0q7uOHRM0G0tiNc5Q-Uug_10_1"/>
      <w:bookmarkStart w:id="593" w:name="Tc_yp8tMKdScU6P2q1KqS35xw_9_1"/>
      <w:bookmarkStart w:id="594" w:name="Tc_L16zWjeTsES9TDEwiovg7A_8_1"/>
      <w:bookmarkStart w:id="595" w:name="Tc_SaXMK-11J02ON43QoZRLCg_7_1"/>
      <w:bookmarkStart w:id="596" w:name="Tc_rOLJP-mfYk2NI1IfiA9RGQ_6_1"/>
      <w:bookmarkStart w:id="597" w:name="Tc_XontBV8lIEO3HITFwSJcZA_5_1"/>
      <w:bookmarkStart w:id="598" w:name="Tc_joeX5Vl6DEmDFcsIKbzKWQ_4_1"/>
      <w:bookmarkStart w:id="599" w:name="Tc_ror1a8N-iEeFcVLcaYRdVg_3_1"/>
      <w:bookmarkStart w:id="600" w:name="Tc_OtOUl9xkKUuI-blErhIHcg_2_3"/>
      <w:bookmarkStart w:id="601" w:name="Tc_T-RputwsE0yiKrLgB5mIDw_2_1"/>
      <w:bookmarkStart w:id="602" w:name="_be19a8b5_589a_4b89_aea5_3311ce15e93d"/>
      <w:bookmarkEnd w:id="591"/>
      <w:bookmarkEnd w:id="592"/>
      <w:bookmarkEnd w:id="593"/>
      <w:bookmarkEnd w:id="594"/>
      <w:bookmarkEnd w:id="595"/>
      <w:bookmarkEnd w:id="596"/>
      <w:bookmarkEnd w:id="597"/>
      <w:bookmarkEnd w:id="598"/>
      <w:bookmarkEnd w:id="599"/>
      <w:bookmarkEnd w:id="600"/>
      <w:bookmarkEnd w:id="601"/>
      <w:bookmarkEnd w:id="602"/>
      <w:r>
        <w:rPr>
          <w:rFonts w:ascii="Times New Roman;Times;serif" w:hAnsi="Times New Roman;Times;serif"/>
          <w:b/>
          <w:sz w:val="20"/>
        </w:rPr>
        <w:t>5. Leases</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val="false"/>
          <w:sz w:val="20"/>
        </w:rPr>
        <w:t>The Company's lease portfolio consists of office space and laboratory facilities. All of the Company's leases are classified as operating leases. The terms of the Company's lease agreements currently extend through March 2030 and provide the Company with an option</w:t>
      </w:r>
      <w:r>
        <w:rPr>
          <w:rFonts w:ascii="Times New Roman;Times;serif" w:hAnsi="Times New Roman;Times;serif"/>
          <w:b/>
          <w:sz w:val="20"/>
        </w:rPr>
        <w:t xml:space="preserve"> </w:t>
      </w:r>
      <w:r>
        <w:rPr>
          <w:rFonts w:ascii="Times New Roman;Times;serif" w:hAnsi="Times New Roman;Times;serif"/>
          <w:b w:val="false"/>
          <w:sz w:val="20"/>
        </w:rPr>
        <w:t>for a five-year</w:t>
      </w:r>
      <w:r>
        <w:rPr>
          <w:rFonts w:ascii="Times New Roman;Times;serif" w:hAnsi="Times New Roman;Times;serif"/>
          <w:b/>
          <w:sz w:val="20"/>
        </w:rPr>
        <w:t xml:space="preserve"> </w:t>
      </w:r>
      <w:r>
        <w:rPr>
          <w:rFonts w:ascii="Times New Roman;Times;serif" w:hAnsi="Times New Roman;Times;serif"/>
          <w:b w:val="false"/>
          <w:sz w:val="20"/>
        </w:rPr>
        <w:t>extension. Under the terms of the leases, the Company pays base annual rent subject to fixed dollar increases each year and other normal operating expenses such as taxes, repairs, and maintenance. The Company evaluates renewal options at lease inception and on an ongoing basis and considers renewal options that the Company is reasonably certain to exercise in its expected lease terms when classifying leases and measuring lease liabilities in accordance with ASC 842. The leases do not require variable lease payments or residual value guarantees and do not contain restrictive covenants.</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The leases do not provide an implicit rate,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val="false"/>
          <w:sz w:val="20"/>
        </w:rPr>
        <w:t>Operating lease expense was $272,000</w:t>
      </w:r>
      <w:r>
        <w:rPr>
          <w:rFonts w:ascii="Times New Roman;Times;serif" w:hAnsi="Times New Roman;Times;serif"/>
          <w:b/>
          <w:sz w:val="20"/>
        </w:rPr>
        <w:t xml:space="preserve"> </w:t>
      </w:r>
      <w:r>
        <w:rPr>
          <w:rFonts w:ascii="Times New Roman;Times;serif" w:hAnsi="Times New Roman;Times;serif"/>
          <w:b w:val="false"/>
          <w:sz w:val="20"/>
        </w:rPr>
        <w:t>for the three months ended March 31, 2023. Operating cash flows used for operating leases during the three months ended March 31, 2023 were $246,000. As of March 31, 2023, the weighted-average remaining lease term was 7.0</w:t>
      </w:r>
      <w:r>
        <w:rPr>
          <w:rFonts w:ascii="Times New Roman;Times;serif" w:hAnsi="Times New Roman;Times;serif"/>
          <w:b/>
          <w:sz w:val="20"/>
        </w:rPr>
        <w:t xml:space="preserve"> </w:t>
      </w:r>
      <w:r>
        <w:rPr>
          <w:rFonts w:ascii="Times New Roman;Times;serif" w:hAnsi="Times New Roman;Times;serif"/>
          <w:b w:val="false"/>
          <w:sz w:val="20"/>
        </w:rPr>
        <w:t>years, and the weighted average discount rate was 7.46%.</w:t>
      </w:r>
    </w:p>
    <w:p>
      <w:pPr>
        <w:pStyle w:val="TextBody"/>
        <w:spacing w:before="0" w:after="240"/>
        <w:ind w:left="0" w:right="0" w:firstLine="720"/>
        <w:rPr>
          <w:rFonts w:ascii="Times New Roman;Times;serif" w:hAnsi="Times New Roman;Times;serif"/>
          <w:b/>
          <w:sz w:val="20"/>
        </w:rPr>
      </w:pPr>
      <w:r>
        <w:rPr>
          <w:rFonts w:ascii="Times New Roman;Times;serif" w:hAnsi="Times New Roman;Times;serif"/>
          <w:b w:val="false"/>
          <w:sz w:val="20"/>
        </w:rPr>
        <w:t>Rent expense under operating leases was $248,000</w:t>
      </w:r>
      <w:r>
        <w:rPr>
          <w:rFonts w:ascii="Times New Roman;Times;serif" w:hAnsi="Times New Roman;Times;serif"/>
          <w:b/>
          <w:sz w:val="20"/>
        </w:rPr>
        <w:t xml:space="preserve"> </w:t>
      </w:r>
      <w:r>
        <w:rPr>
          <w:rFonts w:ascii="Times New Roman;Times;serif" w:hAnsi="Times New Roman;Times;serif"/>
          <w:b w:val="false"/>
          <w:sz w:val="20"/>
        </w:rPr>
        <w:t>for the three months ended March 31, 2022.</w:t>
      </w:r>
    </w:p>
    <w:p>
      <w:pPr>
        <w:pStyle w:val="TextBody"/>
        <w:spacing w:before="0" w:after="240"/>
        <w:ind w:left="0" w:right="0" w:firstLine="720"/>
        <w:rPr>
          <w:rFonts w:ascii="Times New Roman;Times;serif" w:hAnsi="Times New Roman;Times;serif"/>
          <w:b w:val="false"/>
          <w:sz w:val="20"/>
        </w:rPr>
      </w:pPr>
      <w:r>
        <w:rPr>
          <w:rFonts w:ascii="Times New Roman;Times;serif" w:hAnsi="Times New Roman;Times;serif"/>
          <w:b w:val="false"/>
          <w:sz w:val="20"/>
        </w:rPr>
        <w:t>As of December 31, 2023, the maturities of the Company’s operating lease liabilities were as follows (in thousands), which are included in Accrued liabilities and other liabilities and Lease liabilities, long term in the accompanying balance sheet: </w:t>
      </w:r>
    </w:p>
    <w:tbl>
      <w:tblPr>
        <w:tblW w:w="4005" w:type="dxa"/>
        <w:jc w:val="left"/>
        <w:tblInd w:w="0" w:type="dxa"/>
        <w:tblCellMar>
          <w:top w:w="0" w:type="dxa"/>
          <w:left w:w="0" w:type="dxa"/>
          <w:bottom w:w="0" w:type="dxa"/>
          <w:right w:w="0" w:type="dxa"/>
        </w:tblCellMar>
      </w:tblPr>
      <w:tblGrid>
        <w:gridCol w:w="124"/>
        <w:gridCol w:w="2716"/>
        <w:gridCol w:w="109"/>
        <w:gridCol w:w="211"/>
        <w:gridCol w:w="691"/>
        <w:gridCol w:w="154"/>
      </w:tblGrid>
      <w:tr>
        <w:trPr/>
        <w:tc>
          <w:tcPr>
            <w:tcW w:w="1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78740" cy="175260"/>
                      <wp:effectExtent l="0" t="0" r="0" b="0"/>
                      <wp:wrapNone/>
                      <wp:docPr id="92" name="Frame92"/>
                      <a:graphic xmlns:a="http://schemas.openxmlformats.org/drawingml/2006/main">
                        <a:graphicData uri="http://schemas.microsoft.com/office/word/2010/wordprocessingShape">
                          <wps:wsp>
                            <wps:cNvSpPr txBox="1"/>
                            <wps:spPr>
                              <a:xfrm>
                                <a:off x="0" y="0"/>
                                <a:ext cx="7874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7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724660" cy="175260"/>
                      <wp:effectExtent l="0" t="0" r="0" b="0"/>
                      <wp:wrapNone/>
                      <wp:docPr id="93" name="Frame93"/>
                      <a:graphic xmlns:a="http://schemas.openxmlformats.org/drawingml/2006/main">
                        <a:graphicData uri="http://schemas.microsoft.com/office/word/2010/wordprocessingShape">
                          <wps:wsp>
                            <wps:cNvSpPr txBox="1"/>
                            <wps:spPr>
                              <a:xfrm>
                                <a:off x="0" y="0"/>
                                <a:ext cx="1724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97790" cy="175260"/>
                      <wp:effectExtent l="0" t="0" r="0" b="0"/>
                      <wp:wrapNone/>
                      <wp:docPr id="97" name="Frame97"/>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jc w:val="center"/>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154" w:type="dxa"/>
            <w:tcBorders/>
            <w:shd w:fill="auto" w:val="clear"/>
            <w:vAlign w:val="center"/>
          </w:tcPr>
          <w:p>
            <w:pPr>
              <w:pStyle w:val="TableContents"/>
              <w:spacing w:before="0" w:after="1"/>
              <w:ind w:left="0" w:right="0" w:hanging="0"/>
              <w:rPr/>
            </w:pPr>
            <w:r>
              <w:rPr/>
              <w:t>​</w:t>
            </w:r>
          </w:p>
        </w:tc>
      </w:tr>
      <w:tr>
        <w:trPr/>
        <w:tc>
          <w:tcPr>
            <w:tcW w:w="124" w:type="dxa"/>
            <w:tcBorders/>
            <w:shd w:fill="CCEEFF" w:val="clear"/>
            <w:vAlign w:val="center"/>
          </w:tcPr>
          <w:p>
            <w:pPr>
              <w:pStyle w:val="TableContents"/>
              <w:spacing w:before="0" w:after="1"/>
              <w:ind w:left="0" w:right="0" w:hanging="0"/>
              <w:rPr/>
            </w:pPr>
            <w:r>
              <w:rPr/>
              <w:t>​</w:t>
            </w:r>
          </w:p>
        </w:tc>
        <w:tc>
          <w:tcPr>
            <w:tcW w:w="27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2023</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154" w:type="dxa"/>
            <w:tcBorders/>
            <w:shd w:fill="CCEEFF" w:val="clear"/>
            <w:vAlign w:val="center"/>
          </w:tcPr>
          <w:p>
            <w:pPr>
              <w:pStyle w:val="TableContents"/>
              <w:spacing w:before="0" w:after="1"/>
              <w:ind w:left="0" w:right="0" w:hanging="0"/>
              <w:rPr/>
            </w:pPr>
            <w:r>
              <w:rPr/>
              <w:t>​</w: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1,127</w:t>
            </w:r>
          </w:p>
        </w:tc>
        <w:tc>
          <w:tcPr>
            <w:tcW w:w="154" w:type="dxa"/>
            <w:tcBorders/>
            <w:shd w:fill="auto" w:val="clear"/>
            <w:vAlign w:val="center"/>
          </w:tcPr>
          <w:p>
            <w:pPr>
              <w:pStyle w:val="TableContents"/>
              <w:spacing w:before="0" w:after="1"/>
              <w:ind w:left="0" w:right="0" w:hanging="0"/>
              <w:rPr/>
            </w:pPr>
            <w:r>
              <w:rPr/>
              <w:t>​</w:t>
            </w:r>
          </w:p>
        </w:tc>
      </w:tr>
      <w:tr>
        <w:trPr/>
        <w:tc>
          <w:tcPr>
            <w:tcW w:w="124" w:type="dxa"/>
            <w:tcBorders/>
            <w:shd w:fill="CCEEFF" w:val="clear"/>
            <w:vAlign w:val="center"/>
          </w:tcPr>
          <w:p>
            <w:pPr>
              <w:pStyle w:val="TableContents"/>
              <w:spacing w:before="0" w:after="1"/>
              <w:ind w:left="0" w:right="0" w:hanging="0"/>
              <w:rPr/>
            </w:pPr>
            <w:r>
              <w:rPr/>
              <w:t>​</w:t>
            </w:r>
          </w:p>
        </w:tc>
        <w:tc>
          <w:tcPr>
            <w:tcW w:w="27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1,214</w:t>
            </w:r>
          </w:p>
        </w:tc>
        <w:tc>
          <w:tcPr>
            <w:tcW w:w="154" w:type="dxa"/>
            <w:tcBorders/>
            <w:shd w:fill="CCEEFF" w:val="clear"/>
            <w:vAlign w:val="center"/>
          </w:tcPr>
          <w:p>
            <w:pPr>
              <w:pStyle w:val="TableContents"/>
              <w:spacing w:before="0" w:after="1"/>
              <w:ind w:left="0" w:right="0" w:hanging="0"/>
              <w:rPr/>
            </w:pPr>
            <w:r>
              <w:rPr/>
              <w:t>​</w: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1,355</w:t>
            </w:r>
          </w:p>
        </w:tc>
        <w:tc>
          <w:tcPr>
            <w:tcW w:w="154" w:type="dxa"/>
            <w:tcBorders/>
            <w:shd w:fill="auto" w:val="clear"/>
            <w:vAlign w:val="center"/>
          </w:tcPr>
          <w:p>
            <w:pPr>
              <w:pStyle w:val="TableContents"/>
              <w:spacing w:before="0" w:after="1"/>
              <w:ind w:left="0" w:right="0" w:hanging="0"/>
              <w:rPr/>
            </w:pPr>
            <w:r>
              <w:rPr/>
              <w:t>​</w:t>
            </w:r>
          </w:p>
        </w:tc>
      </w:tr>
      <w:tr>
        <w:trPr/>
        <w:tc>
          <w:tcPr>
            <w:tcW w:w="124" w:type="dxa"/>
            <w:tcBorders/>
            <w:shd w:fill="CCEEFF" w:val="clear"/>
            <w:vAlign w:val="center"/>
          </w:tcPr>
          <w:p>
            <w:pPr>
              <w:pStyle w:val="TableContents"/>
              <w:spacing w:before="0" w:after="1"/>
              <w:ind w:left="0" w:right="0" w:hanging="0"/>
              <w:rPr/>
            </w:pPr>
            <w:r>
              <w:rPr/>
              <w:t>​</w:t>
            </w:r>
          </w:p>
        </w:tc>
        <w:tc>
          <w:tcPr>
            <w:tcW w:w="27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c>
          <w:tcPr>
            <w:tcW w:w="154" w:type="dxa"/>
            <w:tcBorders/>
            <w:shd w:fill="CCEEFF" w:val="clear"/>
            <w:vAlign w:val="center"/>
          </w:tcPr>
          <w:p>
            <w:pPr>
              <w:pStyle w:val="TableContents"/>
              <w:spacing w:before="0" w:after="1"/>
              <w:ind w:left="0" w:right="0" w:hanging="0"/>
              <w:rPr/>
            </w:pPr>
            <w:r>
              <w:rPr/>
              <w:t>​</w: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3,295</w:t>
            </w:r>
          </w:p>
        </w:tc>
        <w:tc>
          <w:tcPr>
            <w:tcW w:w="154" w:type="dxa"/>
            <w:tcBorders/>
            <w:shd w:fill="auto" w:val="clear"/>
            <w:vAlign w:val="center"/>
          </w:tcPr>
          <w:p>
            <w:pPr>
              <w:pStyle w:val="TableContents"/>
              <w:spacing w:before="0" w:after="1"/>
              <w:ind w:left="0" w:right="0" w:hanging="0"/>
              <w:rPr/>
            </w:pPr>
            <w:r>
              <w:rPr/>
              <w:t>​</w:t>
            </w:r>
          </w:p>
        </w:tc>
      </w:tr>
      <w:tr>
        <w:trPr/>
        <w:tc>
          <w:tcPr>
            <w:tcW w:w="124" w:type="dxa"/>
            <w:tcBorders/>
            <w:shd w:fill="CCEEFF" w:val="clear"/>
            <w:vAlign w:val="center"/>
          </w:tcPr>
          <w:p>
            <w:pPr>
              <w:pStyle w:val="TableContents"/>
              <w:spacing w:before="0" w:after="1"/>
              <w:ind w:left="0" w:right="0" w:hanging="0"/>
              <w:rPr/>
            </w:pPr>
            <w:r>
              <w:rPr/>
              <w:t>​</w:t>
            </w:r>
          </w:p>
        </w:tc>
        <w:tc>
          <w:tcPr>
            <w:tcW w:w="27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future minimum payments</w:t>
            </w:r>
          </w:p>
        </w:tc>
        <w:tc>
          <w:tcPr>
            <w:tcW w:w="109"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9,174</w:t>
            </w:r>
          </w:p>
        </w:tc>
        <w:tc>
          <w:tcPr>
            <w:tcW w:w="154" w:type="dxa"/>
            <w:tcBorders/>
            <w:shd w:fill="CCEEFF" w:val="clear"/>
            <w:vAlign w:val="center"/>
          </w:tcPr>
          <w:p>
            <w:pPr>
              <w:pStyle w:val="TableContents"/>
              <w:spacing w:before="0" w:after="1"/>
              <w:ind w:left="0" w:right="0" w:hanging="0"/>
              <w:rPr/>
            </w:pPr>
            <w:r>
              <w:rPr/>
              <w:t>​</w: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Less: present value discount</w:t>
            </w:r>
          </w:p>
        </w:tc>
        <w:tc>
          <w:tcPr>
            <w:tcW w:w="109"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(2,165)</w:t>
            </w:r>
          </w:p>
        </w:tc>
        <w:tc>
          <w:tcPr>
            <w:tcW w:w="154" w:type="dxa"/>
            <w:tcBorders/>
            <w:shd w:fill="auto" w:val="clear"/>
            <w:vAlign w:val="center"/>
          </w:tcPr>
          <w:p>
            <w:pPr>
              <w:pStyle w:val="TableContents"/>
              <w:spacing w:before="0" w:after="1"/>
              <w:ind w:left="0" w:right="0" w:hanging="0"/>
              <w:rPr/>
            </w:pPr>
            <w:r>
              <w:rPr/>
              <w:t>​</w:t>
            </w:r>
          </w:p>
        </w:tc>
      </w:tr>
      <w:tr>
        <w:trPr/>
        <w:tc>
          <w:tcPr>
            <w:tcW w:w="124" w:type="dxa"/>
            <w:tcBorders/>
            <w:shd w:fill="CCEEFF" w:val="clear"/>
            <w:vAlign w:val="center"/>
          </w:tcPr>
          <w:p>
            <w:pPr>
              <w:pStyle w:val="TableContents"/>
              <w:spacing w:before="0" w:after="1"/>
              <w:ind w:left="0" w:right="0" w:hanging="0"/>
              <w:rPr/>
            </w:pPr>
            <w:r>
              <w:rPr/>
              <w:t>​</w:t>
            </w:r>
          </w:p>
        </w:tc>
        <w:tc>
          <w:tcPr>
            <w:tcW w:w="27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Present value of lease liabilities</w:t>
            </w:r>
          </w:p>
        </w:tc>
        <w:tc>
          <w:tcPr>
            <w:tcW w:w="109"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7,009</w:t>
            </w:r>
          </w:p>
        </w:tc>
        <w:tc>
          <w:tcPr>
            <w:tcW w:w="154" w:type="dxa"/>
            <w:tcBorders/>
            <w:shd w:fill="CCEEFF" w:val="clear"/>
            <w:vAlign w:val="center"/>
          </w:tcPr>
          <w:p>
            <w:pPr>
              <w:pStyle w:val="TableContents"/>
              <w:spacing w:before="0" w:after="1"/>
              <w:ind w:left="0" w:right="0" w:hanging="0"/>
              <w:rPr/>
            </w:pPr>
            <w:r>
              <w:rPr/>
              <w:t>​</w:t>
            </w:r>
          </w:p>
        </w:tc>
      </w:tr>
      <w:tr>
        <w:trPr/>
        <w:tc>
          <w:tcPr>
            <w:tcW w:w="124" w:type="dxa"/>
            <w:tcBorders/>
            <w:shd w:fill="auto" w:val="clear"/>
            <w:vAlign w:val="center"/>
          </w:tcPr>
          <w:p>
            <w:pPr>
              <w:pStyle w:val="TableContents"/>
              <w:spacing w:before="0" w:after="1"/>
              <w:ind w:left="0" w:right="0" w:hanging="0"/>
              <w:rPr/>
            </w:pPr>
            <w:r>
              <w:rPr/>
              <w:t>​</w:t>
            </w:r>
          </w:p>
        </w:tc>
        <w:tc>
          <w:tcPr>
            <w:tcW w:w="2716" w:type="dxa"/>
            <w:tcBorders/>
            <w:shd w:fill="auto" w:val="clear"/>
            <w:vAlign w:val="center"/>
          </w:tcPr>
          <w:p>
            <w:pPr>
              <w:pStyle w:val="TableContents"/>
              <w:spacing w:before="0" w:after="1"/>
              <w:ind w:left="0" w:right="0" w:hanging="0"/>
              <w:rPr/>
            </w:pPr>
            <w:r>
              <w:rPr/>
              <w:t>​</w:t>
            </w:r>
          </w:p>
        </w:tc>
        <w:tc>
          <w:tcPr>
            <w:tcW w:w="109"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154" w:type="dxa"/>
            <w:tcBorders/>
            <w:shd w:fill="auto" w:val="clear"/>
            <w:vAlign w:val="center"/>
          </w:tcPr>
          <w:p>
            <w:pPr>
              <w:pStyle w:val="TableContents"/>
              <w:spacing w:before="0" w:after="1"/>
              <w:ind w:left="0" w:right="0" w:hanging="0"/>
              <w:rPr/>
            </w:pPr>
            <w:r>
              <w:rPr/>
              <w:t>​</w:t>
            </w:r>
          </w:p>
        </w:tc>
      </w:tr>
    </w:tbl>
    <w:p>
      <w:pPr>
        <w:pStyle w:val="TextBody"/>
        <w:spacing w:before="0" w:after="240"/>
        <w:ind w:left="0" w:right="0" w:firstLine="720"/>
        <w:jc w:val="both"/>
        <w:rPr/>
      </w:pPr>
      <w:r>
        <w:rPr/>
        <w:t>​</w:t>
      </w:r>
    </w:p>
    <w:p>
      <w:pPr>
        <w:pStyle w:val="TextBody"/>
        <w:spacing w:before="0" w:after="240"/>
        <w:ind w:left="0" w:right="0" w:firstLine="720"/>
        <w:jc w:val="both"/>
        <w:rPr/>
      </w:pPr>
      <w:r>
        <w:rPr/>
        <w:t>​</w:t>
      </w:r>
    </w:p>
    <w:p>
      <w:pPr>
        <w:pStyle w:val="TextBody"/>
        <w:spacing w:before="0" w:after="240"/>
        <w:ind w:left="0" w:right="0" w:hanging="0"/>
        <w:rPr>
          <w:rFonts w:ascii="Times New Roman;Times;serif" w:hAnsi="Times New Roman;Times;serif"/>
          <w:b/>
          <w:sz w:val="20"/>
        </w:rPr>
      </w:pPr>
      <w:bookmarkStart w:id="603" w:name="a11StockBasedCompensation_727125"/>
      <w:bookmarkEnd w:id="603"/>
      <w:r>
        <w:rPr>
          <w:rFonts w:ascii="Times New Roman;Times;serif" w:hAnsi="Times New Roman;Times;serif"/>
          <w:b w:val="false"/>
          <w:sz w:val="20"/>
        </w:rPr>
        <w:t>6</w:t>
      </w:r>
      <w:r>
        <w:rPr>
          <w:rFonts w:ascii="Times New Roman;Times;serif" w:hAnsi="Times New Roman;Times;serif"/>
          <w:b/>
          <w:sz w:val="20"/>
        </w:rPr>
        <w:t>. Stock-Based Compensation</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Equity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NextCure, Inc. 2015 Omnibus Incentive Plan (the “2015 Plan”) was adopted in December 2015 and provides for the grant of awards of stock options, restricted stock awards, unrestricted stock awards and restricted stock units to employees, consultants, and directors of the Company.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NextCure, Inc. 2019 Omnibus Incentive Plan (the “2019 Plan”) became effective on May 8, 2019, the date on which the Company’s Registration Statement on Form S-1 filed in connection with the IPO was declared effective (the “Effective Date”). The Company’s board of directors (the “Board”) determined not to make additional awards under the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rFonts w:ascii="Times New Roman;Times;serif" w:hAnsi="Times New Roman;Times;serif"/>
          <w:sz w:val="20"/>
        </w:rPr>
      </w:pPr>
      <w:bookmarkStart w:id="604" w:name="Tc_T-IqHarslESzcF4YqqqJfQ_12_9"/>
      <w:bookmarkStart w:id="605" w:name="Tc_AlTfHGAp0ky3ZHII5trOUA_12_4"/>
      <w:bookmarkStart w:id="606" w:name="Tc__1BLgwHkSkqkIMCpQvoo7Q_12_0"/>
      <w:bookmarkStart w:id="607" w:name="Tc_JwOjXmy33E-O561ie_h1OQ_11_9"/>
      <w:bookmarkStart w:id="608" w:name="Tc_hQCV20YFT0imYDpRlC-azQ_11_4"/>
      <w:bookmarkStart w:id="609" w:name="Tc_PQ6wx55WlEWrR3GoPal7Ow_11_0"/>
      <w:bookmarkStart w:id="610" w:name="Tc_-7CQfkFehUarY1mYjJAeGA_10_10"/>
      <w:bookmarkStart w:id="611" w:name="Tc_TRDEGggT50aaS9Lpt0MZgg_10_7"/>
      <w:bookmarkStart w:id="612" w:name="Tc_qXtRlDPNqEqGo-sKuf-Dlg_10_4"/>
      <w:bookmarkStart w:id="613" w:name="Tc_onrBc-o3-U6nyBakr_3QYw_10_0"/>
      <w:bookmarkStart w:id="614" w:name="Tc_fAOsp2kcmE6MGOnHteA0-w_9_10"/>
      <w:bookmarkStart w:id="615" w:name="Tc_CPZo4ZoIU0GsOn-_Cj5zdw_9_7"/>
      <w:bookmarkStart w:id="616" w:name="Tc_kmmZtoAI9UqxYikTNok6LA_9_5"/>
      <w:bookmarkStart w:id="617" w:name="Tc_tVwJU5rjxU-iTVgXktdImA_9_4"/>
      <w:bookmarkStart w:id="618" w:name="Tc_vLD6f4CJO02dFuvpuaGCSA_9_2"/>
      <w:bookmarkStart w:id="619" w:name="Tc_SkSZkNSaUEe3AYnIBfXK_w_9_0"/>
      <w:bookmarkStart w:id="620" w:name="Tc_cFlIMTQL7UaJ19rjCRIo2A_8_10"/>
      <w:bookmarkStart w:id="621" w:name="Tc_UV4Y7Bq0FkSi5nvq9WOOGA_8_7"/>
      <w:bookmarkStart w:id="622" w:name="Tc_KZS2HWYEe0mE1Zkj2Dg6Bg_8_4"/>
      <w:bookmarkStart w:id="623" w:name="Tc_KA3dv7R8xki82tM-JVVfRQ_8_0"/>
      <w:bookmarkStart w:id="624" w:name="Tc_hp-2pxep40GMnWBL-vHYYg_7_9"/>
      <w:bookmarkStart w:id="625" w:name="Tc_HFSHqQOUW0akDuAjSO2l6Q_7_4"/>
      <w:bookmarkStart w:id="626" w:name="Tc_ymWgtKcdGkaeOPFr4Zr4tg_7_0"/>
      <w:bookmarkStart w:id="627" w:name="Tc__at7RpzVHU-ZctVadxETQA_6_9"/>
      <w:bookmarkStart w:id="628" w:name="Tc_5_PAv-23YUGv9cddy0KhNQ_6_7"/>
      <w:bookmarkStart w:id="629" w:name="Tc_ZgcIj-E_e02tErVqquz09Q_6_4"/>
      <w:bookmarkStart w:id="630" w:name="Tc_4N5-3Twi0Eyw15MKDcM44g_6_2"/>
      <w:bookmarkStart w:id="631" w:name="Tc_CH5aeFRyTkuzdvoBXWow0g_5_9"/>
      <w:bookmarkStart w:id="632" w:name="Tc_ZTri8WHNw0qJx_4ccDaKvA_5_7"/>
      <w:bookmarkStart w:id="633" w:name="Tc_tm1FwSsmv0KJtmmrgeEghg_5_4"/>
      <w:bookmarkStart w:id="634" w:name="Tc_JMlKYQeD-0CpE3AZLdaGfw_5_2"/>
      <w:bookmarkStart w:id="635" w:name="Tc_-d5MGtk6rUaxbHx67pOdZw_4_9"/>
      <w:bookmarkStart w:id="636" w:name="Tc_PCGz6m6kGUiWezGdQOrV-A_4_7"/>
      <w:bookmarkStart w:id="637" w:name="Tc_2IkYI3VJSUu6J8Ru6pXMwg_4_4"/>
      <w:bookmarkStart w:id="638" w:name="Tc_qIFWb9TPoUiUSq-UyjR5tQ_3_9"/>
      <w:bookmarkStart w:id="639" w:name="Tc_l_oDkCWYO0misKb3WsWU5w_3_7"/>
      <w:bookmarkStart w:id="640" w:name="Tc_9nC0-hIbpEGHtAxEOyUpTQ_3_4"/>
      <w:bookmarkStart w:id="641" w:name="Tc_eNNyME57HkycnrWxF2daeA_2_7"/>
      <w:bookmarkStart w:id="642" w:name="Tc_11AgJw-F40qIM_JPt1T1OQ_1_2"/>
      <w:bookmarkStart w:id="643" w:name="_7a02f31d_493c_4457_918f_ec14c8c9032d"/>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r>
        <w:rPr>
          <w:rFonts w:ascii="Times New Roman;Times;serif" w:hAnsi="Times New Roman;Times;serif"/>
          <w:sz w:val="20"/>
        </w:rPr>
        <w:t xml:space="preserve">2015 Plan following the effectiveness of the 2019 Plan. The 2019 Plan provides for the grant of awards of stock options, stock appreciation rights, restricted stock, restricted stock units, deferred stock units, unrestricted stock, dividend equivalent rights, other equity-based awards and cash bonus awards to the Company’s officers, employees, non-employee directors and other key persons (including consultants). </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number of shares of common stock reserved for issuance under the 2019 Plan is 2,900,000 plus the number of shares of stock related to awards outstanding under the 2015 Plan that subsequently terminate by expiration or forfeiture, cancellation or otherwise without the issuance of such shares. The number of shares reserved for issuance under the 2019 Plan automatically increase each January 1st during the term of the 2019 Plan by 4% of the number of shares of the Company’s common stock outstanding on December 31st of the preceding calendar year or such lesser number of shares determined by the Board.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2023, 1,996,867 shares were reserved for future grant under the 2019 Plan.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Stock options granted under the 2015 Plan and 2019 Plan (together, the “Plans”) to employees generally vest over four years and expire after ten years.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summary of stock option activity for awards under the Plans is presented below: </w:t>
      </w:r>
    </w:p>
    <w:p>
      <w:pPr>
        <w:pStyle w:val="TextBody"/>
        <w:spacing w:before="0" w:after="240"/>
        <w:ind w:left="0" w:right="0" w:firstLine="720"/>
        <w:jc w:val="both"/>
        <w:rPr/>
      </w:pPr>
      <w:r>
        <w:rPr/>
        <w:t>​</w:t>
      </w:r>
    </w:p>
    <w:tbl>
      <w:tblPr>
        <w:tblW w:w="8358" w:type="dxa"/>
        <w:jc w:val="left"/>
        <w:tblInd w:w="0" w:type="dxa"/>
        <w:tblCellMar>
          <w:top w:w="0" w:type="dxa"/>
          <w:left w:w="0" w:type="dxa"/>
          <w:bottom w:w="0" w:type="dxa"/>
          <w:right w:w="0" w:type="dxa"/>
        </w:tblCellMar>
      </w:tblPr>
      <w:tblGrid>
        <w:gridCol w:w="3166"/>
        <w:gridCol w:w="326"/>
        <w:gridCol w:w="931"/>
        <w:gridCol w:w="326"/>
        <w:gridCol w:w="214"/>
        <w:gridCol w:w="582"/>
        <w:gridCol w:w="326"/>
        <w:gridCol w:w="991"/>
        <w:gridCol w:w="326"/>
        <w:gridCol w:w="334"/>
        <w:gridCol w:w="83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10410" cy="175260"/>
                      <wp:effectExtent l="0" t="0" r="0" b="0"/>
                      <wp:wrapNone/>
                      <wp:docPr id="98" name="Frame98"/>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91185" cy="175260"/>
                      <wp:effectExtent l="0" t="0" r="0" b="0"/>
                      <wp:wrapNone/>
                      <wp:docPr id="100" name="Frame10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5890" cy="175260"/>
                      <wp:effectExtent l="0" t="0" r="0" b="0"/>
                      <wp:wrapNone/>
                      <wp:docPr id="102" name="Frame102"/>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69570" cy="175260"/>
                      <wp:effectExtent l="0" t="0" r="0" b="0"/>
                      <wp:wrapNone/>
                      <wp:docPr id="103" name="Frame103"/>
                      <a:graphic xmlns:a="http://schemas.openxmlformats.org/drawingml/2006/main">
                        <a:graphicData uri="http://schemas.microsoft.com/office/word/2010/wordprocessingShape">
                          <wps:wsp>
                            <wps:cNvSpPr txBox="1"/>
                            <wps:spPr>
                              <a:xfrm>
                                <a:off x="0" y="0"/>
                                <a:ext cx="3695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29285" cy="175260"/>
                      <wp:effectExtent l="0" t="0" r="0" b="0"/>
                      <wp:wrapNone/>
                      <wp:docPr id="105" name="Frame10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6" name="Frame10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2090" cy="175260"/>
                      <wp:effectExtent l="0" t="0" r="0" b="0"/>
                      <wp:wrapNone/>
                      <wp:docPr id="107" name="Frame107"/>
                      <a:graphic xmlns:a="http://schemas.openxmlformats.org/drawingml/2006/main">
                        <a:graphicData uri="http://schemas.microsoft.com/office/word/2010/wordprocessingShape">
                          <wps:wsp>
                            <wps:cNvSpPr txBox="1"/>
                            <wps:spPr>
                              <a:xfrm>
                                <a:off x="0" y="0"/>
                                <a:ext cx="2120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530860" cy="175260"/>
                      <wp:effectExtent l="0" t="0" r="0" b="0"/>
                      <wp:wrapNone/>
                      <wp:docPr id="108" name="Frame108"/>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866" w:type="dxa"/>
            <w:gridSpan w:val="9"/>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 Outstanding and Exercisable</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58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334" w:type="dxa"/>
            <w:tcBorders/>
            <w:shd w:fill="auto" w:val="clear"/>
            <w:vAlign w:val="center"/>
          </w:tcPr>
          <w:p>
            <w:pPr>
              <w:pStyle w:val="TableContents"/>
              <w:spacing w:before="0" w:after="1"/>
              <w:ind w:left="0" w:right="0" w:hanging="0"/>
              <w:rPr/>
            </w:pPr>
            <w:r>
              <w:rPr/>
              <w:t>​</w:t>
            </w:r>
          </w:p>
        </w:tc>
        <w:tc>
          <w:tcPr>
            <w:tcW w:w="836" w:type="dxa"/>
            <w:tcBorders/>
            <w:shd w:fill="auto" w:val="clear"/>
            <w:vAlign w:val="center"/>
          </w:tcPr>
          <w:p>
            <w:pPr>
              <w:pStyle w:val="TableContents"/>
              <w:spacing w:before="0" w:after="1"/>
              <w:ind w:left="0" w:right="0" w:hanging="0"/>
              <w:jc w:val="center"/>
              <w:rPr/>
            </w:pPr>
            <w:r>
              <w:rPr/>
              <w:t>​</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11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shd w:fill="auto" w:val="clear"/>
            <w:vAlign w:val="center"/>
          </w:tcPr>
          <w:p>
            <w:pPr>
              <w:pStyle w:val="TableContents"/>
              <w:spacing w:before="0" w:after="1"/>
              <w:ind w:left="0" w:right="0" w:hanging="0"/>
              <w:rPr/>
            </w:pPr>
            <w:r>
              <w:rPr/>
              <w:t>​</w:t>
            </w:r>
          </w:p>
        </w:tc>
        <w:tc>
          <w:tcPr>
            <w:tcW w:w="1170"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shd w:fill="auto" w:val="clear"/>
            <w:vAlign w:val="center"/>
          </w:tcPr>
          <w:p>
            <w:pPr>
              <w:pStyle w:val="TableContents"/>
              <w:spacing w:before="0" w:after="1"/>
              <w:ind w:left="0" w:right="0" w:hanging="0"/>
              <w:rPr/>
            </w:pPr>
            <w:r>
              <w:rPr/>
              <w:t>​</w:t>
            </w:r>
          </w:p>
        </w:tc>
        <w:tc>
          <w:tcPr>
            <w:tcW w:w="7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26" w:type="dxa"/>
            <w:tcBorders/>
            <w:shd w:fill="auto" w:val="clear"/>
            <w:vAlign w:val="center"/>
          </w:tcPr>
          <w:p>
            <w:pPr>
              <w:pStyle w:val="TableContents"/>
              <w:spacing w:before="0" w:after="1"/>
              <w:ind w:left="0" w:right="0" w:hanging="0"/>
              <w:rPr/>
            </w:pPr>
            <w:r>
              <w:rPr/>
              <w:t>​</w:t>
            </w:r>
          </w:p>
        </w:tc>
        <w:tc>
          <w:tcPr>
            <w:tcW w:w="1170" w:type="dxa"/>
            <w:gridSpan w:val="2"/>
            <w:tcBorders/>
            <w:shd w:fill="auto" w:val="clear"/>
            <w:vAlign w:val="center"/>
          </w:tcPr>
          <w:p>
            <w:pPr>
              <w:pStyle w:val="TableContents"/>
              <w:spacing w:lineRule="auto" w:line="240" w:before="0" w:after="1"/>
              <w:ind w:left="0" w:right="0" w:hanging="0"/>
              <w:jc w:val="center"/>
              <w:rPr>
                <w:rFonts w:ascii="Times New Roman;Times;serif" w:hAnsi="Times New Roman;Times;serif"/>
                <w:sz w:val="16"/>
              </w:rPr>
            </w:pPr>
            <w:r>
              <w:rPr>
                <w:rFonts w:ascii="Times New Roman;Times;serif" w:hAnsi="Times New Roman;Times;serif"/>
                <w:b/>
                <w:sz w:val="16"/>
              </w:rPr>
              <w:t>Value</w:t>
            </w:r>
            <w:r>
              <w:rPr>
                <w:rFonts w:ascii="Times New Roman;Times;serif" w:hAnsi="Times New Roman;Times;serif"/>
                <w:b/>
                <w:sz w:val="12"/>
              </w:rPr>
              <w:t>(1)</w:t>
            </w:r>
          </w:p>
        </w:tc>
      </w:tr>
      <w:tr>
        <w:trPr/>
        <w:tc>
          <w:tcPr>
            <w:tcW w:w="316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7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shd w:fill="auto" w:val="clear"/>
            <w:vAlign w:val="center"/>
          </w:tcPr>
          <w:p>
            <w:pPr>
              <w:pStyle w:val="TableContents"/>
              <w:spacing w:before="0" w:after="1"/>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Life (Years)</w:t>
            </w:r>
          </w:p>
        </w:tc>
        <w:tc>
          <w:tcPr>
            <w:tcW w:w="326" w:type="dxa"/>
            <w:tcBorders/>
            <w:shd w:fill="auto" w:val="clear"/>
            <w:vAlign w:val="center"/>
          </w:tcPr>
          <w:p>
            <w:pPr>
              <w:pStyle w:val="TableContents"/>
              <w:spacing w:before="0" w:after="1"/>
              <w:ind w:left="0" w:right="0" w:hanging="0"/>
              <w:rPr/>
            </w:pPr>
            <w:r>
              <w:rPr/>
              <w:t>    </w:t>
            </w:r>
          </w:p>
        </w:tc>
        <w:tc>
          <w:tcPr>
            <w:tcW w:w="1170"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spacing w:before="0" w:after="1"/>
              <w:ind w:left="0" w:right="0" w:hanging="0"/>
              <w:rPr/>
            </w:pPr>
            <w:r>
              <w:rPr/>
              <w:t> </w:t>
            </w:r>
          </w:p>
        </w:tc>
        <w:tc>
          <w:tcPr>
            <w:tcW w:w="93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5,262,179</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11.44</w:t>
            </w:r>
          </w:p>
        </w:tc>
        <w:tc>
          <w:tcPr>
            <w:tcW w:w="326" w:type="dxa"/>
            <w:tcBorders/>
            <w:shd w:fill="CCEEFF" w:val="clear"/>
            <w:vAlign w:val="center"/>
          </w:tcPr>
          <w:p>
            <w:pPr>
              <w:pStyle w:val="TableContents"/>
              <w:spacing w:before="0" w:after="1"/>
              <w:ind w:left="0" w:right="0" w:hanging="0"/>
              <w:rPr/>
            </w:pPr>
            <w:r>
              <w:rPr/>
              <w:t> </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spacing w:before="0" w:after="1"/>
              <w:ind w:left="0" w:right="0" w:hanging="0"/>
              <w:rPr/>
            </w:pPr>
            <w:r>
              <w:rPr/>
              <w:t>​</w:t>
            </w:r>
          </w:p>
        </w:tc>
        <w:tc>
          <w:tcPr>
            <w:tcW w:w="3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Granted</w:t>
            </w:r>
          </w:p>
        </w:tc>
        <w:tc>
          <w:tcPr>
            <w:tcW w:w="326" w:type="dxa"/>
            <w:tcBorders/>
            <w:shd w:fill="auto" w:val="clear"/>
            <w:vAlign w:val="center"/>
          </w:tcPr>
          <w:p>
            <w:pPr>
              <w:pStyle w:val="TableContents"/>
              <w:spacing w:before="0" w:after="1"/>
              <w:ind w:left="0" w:right="0" w:hanging="0"/>
              <w:rPr/>
            </w:pPr>
            <w:r>
              <w:rPr/>
              <w:t>​</w:t>
            </w:r>
          </w:p>
        </w:tc>
        <w:tc>
          <w:tcPr>
            <w:tcW w:w="93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1,859,750</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34" w:type="dxa"/>
            <w:tcBorders/>
            <w:shd w:fill="auto" w:val="clear"/>
            <w:vAlign w:val="center"/>
          </w:tcPr>
          <w:p>
            <w:pPr>
              <w:pStyle w:val="TableContents"/>
              <w:spacing w:before="0" w:after="1"/>
              <w:ind w:left="0" w:right="0" w:hanging="0"/>
              <w:rPr/>
            </w:pPr>
            <w:r>
              <w:rPr/>
              <w:t>​</w:t>
            </w:r>
          </w:p>
        </w:tc>
        <w:tc>
          <w:tcPr>
            <w:tcW w:w="836" w:type="dxa"/>
            <w:tcBorders/>
            <w:shd w:fill="auto" w:val="clear"/>
            <w:vAlign w:val="center"/>
          </w:tcPr>
          <w:p>
            <w:pPr>
              <w:pStyle w:val="TableContents"/>
              <w:spacing w:before="0" w:after="1"/>
              <w:ind w:left="0" w:right="0" w:hanging="0"/>
              <w:jc w:val="right"/>
              <w:rPr/>
            </w:pPr>
            <w:r>
              <w:rPr/>
              <w:t>—</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1"/>
              <w:ind w:left="0" w:right="0" w:hanging="0"/>
              <w:rPr/>
            </w:pPr>
            <w:r>
              <w:rPr/>
              <w:t>​</w:t>
            </w:r>
          </w:p>
        </w:tc>
        <w:tc>
          <w:tcPr>
            <w:tcW w:w="93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334" w:type="dxa"/>
            <w:tcBorders/>
            <w:shd w:fill="CCEEFF" w:val="clear"/>
            <w:vAlign w:val="center"/>
          </w:tcPr>
          <w:p>
            <w:pPr>
              <w:pStyle w:val="TableContents"/>
              <w:spacing w:before="0" w:after="1"/>
              <w:ind w:left="0" w:right="0" w:hanging="0"/>
              <w:rPr/>
            </w:pPr>
            <w:r>
              <w:rPr/>
              <w:t>​</w:t>
            </w:r>
          </w:p>
        </w:tc>
        <w:tc>
          <w:tcPr>
            <w:tcW w:w="836" w:type="dxa"/>
            <w:tcBorders/>
            <w:shd w:fill="CCEEFF" w:val="clear"/>
            <w:vAlign w:val="center"/>
          </w:tcPr>
          <w:p>
            <w:pPr>
              <w:pStyle w:val="TableContents"/>
              <w:spacing w:before="0" w:after="1"/>
              <w:ind w:left="0" w:right="0" w:hanging="0"/>
              <w:jc w:val="right"/>
              <w:rPr/>
            </w:pPr>
            <w:r>
              <w:rPr/>
              <w:t>—</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auto" w:val="clear"/>
            <w:vAlign w:val="center"/>
          </w:tcPr>
          <w:p>
            <w:pPr>
              <w:pStyle w:val="TableContents"/>
              <w:spacing w:before="0" w:after="1"/>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(91,769)</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shd w:fill="auto" w:val="clear"/>
            <w:vAlign w:val="center"/>
          </w:tcPr>
          <w:p>
            <w:pPr>
              <w:pStyle w:val="TableContents"/>
              <w:spacing w:before="0" w:after="1"/>
              <w:ind w:left="0" w:right="0" w:hanging="0"/>
              <w:rPr/>
            </w:pPr>
            <w:r>
              <w:rPr/>
              <w:t>​</w:t>
            </w:r>
          </w:p>
        </w:tc>
        <w:tc>
          <w:tcPr>
            <w:tcW w:w="9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334" w:type="dxa"/>
            <w:tcBorders/>
            <w:shd w:fill="auto" w:val="clear"/>
            <w:vAlign w:val="center"/>
          </w:tcPr>
          <w:p>
            <w:pPr>
              <w:pStyle w:val="TableContents"/>
              <w:spacing w:before="0" w:after="1"/>
              <w:ind w:left="0" w:right="0" w:hanging="0"/>
              <w:rPr/>
            </w:pPr>
            <w:r>
              <w:rPr/>
              <w:t>​</w:t>
            </w:r>
          </w:p>
        </w:tc>
        <w:tc>
          <w:tcPr>
            <w:tcW w:w="836" w:type="dxa"/>
            <w:tcBorders/>
            <w:shd w:fill="auto" w:val="clear"/>
            <w:vAlign w:val="center"/>
          </w:tcPr>
          <w:p>
            <w:pPr>
              <w:pStyle w:val="TableContents"/>
              <w:spacing w:before="0" w:after="1"/>
              <w:ind w:left="0" w:right="0" w:hanging="0"/>
              <w:jc w:val="right"/>
              <w:rPr/>
            </w:pPr>
            <w:r>
              <w:rPr/>
              <w:t>—</w:t>
            </w:r>
          </w:p>
        </w:tc>
      </w:tr>
      <w:tr>
        <w:trPr/>
        <w:tc>
          <w:tcPr>
            <w:tcW w:w="316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as of March 31, 2023</w:t>
            </w:r>
          </w:p>
        </w:tc>
        <w:tc>
          <w:tcPr>
            <w:tcW w:w="326" w:type="dxa"/>
            <w:tcBorders/>
            <w:shd w:fill="CCEEFF" w:val="clear"/>
            <w:vAlign w:val="center"/>
          </w:tcPr>
          <w:p>
            <w:pPr>
              <w:pStyle w:val="TableContents"/>
              <w:spacing w:before="0" w:after="1"/>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7,030,160</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8.92</w:t>
            </w:r>
          </w:p>
        </w:tc>
        <w:tc>
          <w:tcPr>
            <w:tcW w:w="326" w:type="dxa"/>
            <w:tcBorders/>
            <w:shd w:fill="CCEEFF" w:val="clear"/>
            <w:vAlign w:val="center"/>
          </w:tcPr>
          <w:p>
            <w:pPr>
              <w:pStyle w:val="TableContents"/>
              <w:spacing w:before="0" w:after="1"/>
              <w:ind w:left="0" w:right="0" w:hanging="0"/>
              <w:rPr/>
            </w:pPr>
            <w:r>
              <w:rPr/>
              <w:t>​</w:t>
            </w:r>
          </w:p>
        </w:tc>
        <w:tc>
          <w:tcPr>
            <w:tcW w:w="9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CCEEFF" w:val="clear"/>
            <w:vAlign w:val="center"/>
          </w:tcPr>
          <w:p>
            <w:pPr>
              <w:pStyle w:val="TableContents"/>
              <w:spacing w:before="0" w:after="1"/>
              <w:ind w:left="0" w:right="0" w:hanging="0"/>
              <w:rPr/>
            </w:pPr>
            <w:r>
              <w:rPr/>
              <w:t>​</w:t>
            </w:r>
          </w:p>
        </w:tc>
        <w:tc>
          <w:tcPr>
            <w:tcW w:w="3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w:t>
            </w:r>
          </w:p>
        </w:tc>
      </w:tr>
      <w:tr>
        <w:trPr/>
        <w:tc>
          <w:tcPr>
            <w:tcW w:w="316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Exercisable as of March 31, 2023</w:t>
            </w:r>
          </w:p>
        </w:tc>
        <w:tc>
          <w:tcPr>
            <w:tcW w:w="326" w:type="dxa"/>
            <w:tcBorders/>
            <w:shd w:fill="auto" w:val="clear"/>
            <w:vAlign w:val="center"/>
          </w:tcPr>
          <w:p>
            <w:pPr>
              <w:pStyle w:val="TableContents"/>
              <w:spacing w:before="0" w:after="1"/>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3,242,038</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582"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12.45</w:t>
            </w:r>
          </w:p>
        </w:tc>
        <w:tc>
          <w:tcPr>
            <w:tcW w:w="326" w:type="dxa"/>
            <w:tcBorders/>
            <w:shd w:fill="auto" w:val="clear"/>
            <w:vAlign w:val="center"/>
          </w:tcPr>
          <w:p>
            <w:pPr>
              <w:pStyle w:val="TableContents"/>
              <w:spacing w:before="0" w:after="1"/>
              <w:ind w:left="0" w:right="0" w:hanging="0"/>
              <w:rPr/>
            </w:pPr>
            <w:r>
              <w:rPr/>
              <w:t> </w:t>
            </w:r>
          </w:p>
        </w:tc>
        <w:tc>
          <w:tcPr>
            <w:tcW w:w="9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26" w:type="dxa"/>
            <w:tcBorders/>
            <w:shd w:fill="auto" w:val="clear"/>
            <w:vAlign w:val="center"/>
          </w:tcPr>
          <w:p>
            <w:pPr>
              <w:pStyle w:val="TableContents"/>
              <w:spacing w:before="0" w:after="1"/>
              <w:ind w:left="0" w:right="0" w:hanging="0"/>
              <w:rPr/>
            </w:pPr>
            <w:r>
              <w:rPr/>
              <w:t>​</w:t>
            </w:r>
          </w:p>
        </w:tc>
        <w:tc>
          <w:tcPr>
            <w:tcW w:w="334"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auto" w:val="cle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135</w:t>
            </w:r>
          </w:p>
        </w:tc>
      </w:tr>
    </w:tbl>
    <w:tbl>
      <w:tblPr>
        <w:tblW w:w="10205" w:type="dxa"/>
        <w:jc w:val="left"/>
        <w:tblInd w:w="0" w:type="dxa"/>
        <w:tblCellMar>
          <w:top w:w="0" w:type="dxa"/>
          <w:left w:w="0" w:type="dxa"/>
          <w:bottom w:w="0" w:type="dxa"/>
          <w:right w:w="0" w:type="dxa"/>
        </w:tblCellMar>
      </w:tblPr>
      <w:tblGrid>
        <w:gridCol w:w="312"/>
        <w:gridCol w:w="9893"/>
      </w:tblGrid>
      <w:tr>
        <w:trPr/>
        <w:tc>
          <w:tcPr>
            <w:tcW w:w="312" w:type="dxa"/>
            <w:tcBorders/>
            <w:shd w:fill="auto"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89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is calculated as the difference between the exercise price of the underlying options and the estimated fair value of the common stock for the options that were in the money at March 31, 2023 and December 31, 2022.</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 average grant date fair value of stock options granted to employees for the three months ended March 31, 2023 was $1.11 using the Black-Scholes option pricing model. There were no stock options exercised during the three months ended March 31, 2023. As of March 31, 2023, there was $14.3 million of total unrecognized compensation expense related to unvested options under the Plans that will be recognized over a weighted-average period of approximately 2.2 years.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aggregate grant date fair value of stock options vested during the three months ended March 31, 2023 and 2022 was approximately $2.9 million and $3.5 million, respectively.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firstLine="720"/>
        <w:jc w:val="both"/>
        <w:rPr>
          <w:rFonts w:ascii="Times New Roman;Times;serif" w:hAnsi="Times New Roman;Times;serif"/>
          <w:sz w:val="20"/>
        </w:rPr>
      </w:pPr>
      <w:bookmarkStart w:id="644" w:name="Tc_4ykJ_YwMvkCc2hvtttx_Vw_7_6"/>
      <w:bookmarkStart w:id="645" w:name="Tc_mnVCan0rOU2Q6tN48Bf1Jw_7_5"/>
      <w:bookmarkStart w:id="646" w:name="Tc_gMBHy7t-LUmttij1hucnFA_7_3"/>
      <w:bookmarkStart w:id="647" w:name="Tc_NfSUSfMgB0S_iaZmGD71Pw_7_2"/>
      <w:bookmarkStart w:id="648" w:name="Tc_qbZ2t7Gmg06y5uLrYtUONQ_7_0"/>
      <w:bookmarkStart w:id="649" w:name="Tc_qYeZmBBDbUKxYXWDT7m4cg_6_6"/>
      <w:bookmarkStart w:id="650" w:name="Tc_7oxMLg0nv06xiJdssK8fUw_6_5"/>
      <w:bookmarkStart w:id="651" w:name="Tc_wfJHQEd8mkCPP4EVMYb2Og_6_3"/>
      <w:bookmarkStart w:id="652" w:name="Tc_Z_w7iFpbI0iaPJVQNoAiaQ_6_2"/>
      <w:bookmarkStart w:id="653" w:name="Tc_4tfje9pNC0G0hoyupWUfDw_6_0"/>
      <w:bookmarkStart w:id="654" w:name="Tc_btq0NTACCUuJ-hZ3rw5MaQ_5_6"/>
      <w:bookmarkStart w:id="655" w:name="Tc_j2EKMW9aQ02vnDIs3UJGJA_5_3"/>
      <w:bookmarkStart w:id="656" w:name="Tc_PkI9D67hRkCvE4lsP6-__w_5_2"/>
      <w:bookmarkStart w:id="657" w:name="Tc_0Qb0y-TV6karGxu_y-jVwQ_5_0"/>
      <w:bookmarkStart w:id="658" w:name="Tc_orHRnLiCPE-_uNFdXfUXjw_4_6"/>
      <w:bookmarkStart w:id="659" w:name="Tc_G-UOtafsqECL76xT1v2uhA_4_3"/>
      <w:bookmarkStart w:id="660" w:name="Tc_X8DsxGuKfEyoNSG_CaOoag_4_0"/>
      <w:bookmarkStart w:id="661" w:name="Tc_FTiByK92CEueuqCgeGjnDw_3_5"/>
      <w:bookmarkStart w:id="662" w:name="Tc_oV_N6iOXf0q9oHWji-T5RA_3_2"/>
      <w:bookmarkStart w:id="663" w:name="Tc_Y5OM0oe3oEOKLZvvJQVdmw_2_2"/>
      <w:bookmarkStart w:id="664" w:name="Tc_pnaW7qb08EmAYlh4enL42A_1_2"/>
      <w:bookmarkStart w:id="665" w:name="Tc_XbwyMAp_q0eCm-5NJtWzog_6_5"/>
      <w:bookmarkStart w:id="666" w:name="Tc_HjINbWtnQ0iCqdH7CVLuuw_6_2"/>
      <w:bookmarkStart w:id="667" w:name="Tc_SY5JlTIPdUCsZNHoWpNfTA_6_0"/>
      <w:bookmarkStart w:id="668" w:name="Tc_a6SmBzmfmES1DKe3xswWOQ_5_0"/>
      <w:bookmarkStart w:id="669" w:name="Tc_Fd5zZLzvIUy2VMaL8YozAA_4_5"/>
      <w:bookmarkStart w:id="670" w:name="Tc_jTmAUpwxw02HdeCKMFOonw_4_2"/>
      <w:bookmarkStart w:id="671" w:name="Tc_6QtsEXQuX0OSBuLpVzzhCg_4_0"/>
      <w:bookmarkStart w:id="672" w:name="Tc_NmP07Hwowk-x1T6kxRLKeg_3_5"/>
      <w:bookmarkStart w:id="673" w:name="Tc_BU-dRrnrVkeA9lS11CusmQ_3_2"/>
      <w:bookmarkStart w:id="674" w:name="Tc_wRYURe-98Eyu24U1Pv4B1g_3_0"/>
      <w:bookmarkStart w:id="675" w:name="Tc_Lx5Zm7ppYEyR-htuin6uPQ_2_2"/>
      <w:bookmarkStart w:id="676" w:name="Tc_gaypyBOmYEaYaJtMLgdyPQ_1_2"/>
      <w:bookmarkStart w:id="677" w:name="_76101424_3a0a_4a27_ba2d_911f856b584d"/>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ascii="Times New Roman;Times;serif" w:hAnsi="Times New Roman;Times;serif"/>
          <w:sz w:val="20"/>
        </w:rPr>
        <w:t xml:space="preserve">Stock-based compensation expense was classified on the statements of operations as follows for the three months ended March 31, 2023 and 2022: </w:t>
      </w:r>
    </w:p>
    <w:p>
      <w:pPr>
        <w:pStyle w:val="TextBody"/>
        <w:spacing w:before="0" w:after="0"/>
        <w:ind w:left="0" w:right="0" w:hanging="0"/>
        <w:rPr/>
      </w:pPr>
      <w:r>
        <w:rPr/>
        <w:t>​</w:t>
      </w:r>
    </w:p>
    <w:tbl>
      <w:tblPr>
        <w:tblW w:w="5821" w:type="dxa"/>
        <w:jc w:val="left"/>
        <w:tblInd w:w="0" w:type="dxa"/>
        <w:tblCellMar>
          <w:top w:w="0" w:type="dxa"/>
          <w:left w:w="0" w:type="dxa"/>
          <w:bottom w:w="0" w:type="dxa"/>
          <w:right w:w="0" w:type="dxa"/>
        </w:tblCellMar>
      </w:tblPr>
      <w:tblGrid>
        <w:gridCol w:w="3451"/>
        <w:gridCol w:w="326"/>
        <w:gridCol w:w="211"/>
        <w:gridCol w:w="571"/>
        <w:gridCol w:w="326"/>
        <w:gridCol w:w="211"/>
        <w:gridCol w:w="571"/>
        <w:gridCol w:w="154"/>
      </w:tblGrid>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9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jc w:val="both"/>
              <w:rPr>
                <w:rFonts w:ascii="Times New Roman;Times;serif" w:hAnsi="Times New Roman;Times;serif"/>
                <w:b/>
                <w:sz w:val="16"/>
              </w:rPr>
            </w:pPr>
            <w:r>
              <w:rPr>
                <w:rFonts w:ascii="Times New Roman;Times;serif" w:hAnsi="Times New Roman;Times;serif"/>
                <w:b/>
                <w:sz w:val="16"/>
              </w:rPr>
              <w:t>(in thousands)</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7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154" w:type="dxa"/>
            <w:tcBorders/>
            <w:shd w:fill="CCEEFF" w:val="clear"/>
            <w:vAlign w:val="center"/>
          </w:tcPr>
          <w:p>
            <w:pPr>
              <w:pStyle w:val="TableContents"/>
              <w:spacing w:before="0" w:after="0"/>
              <w:ind w:left="0" w:right="0" w:hanging="0"/>
              <w:rPr/>
            </w:pPr>
            <w:r>
              <w:rPr/>
              <w:t>​</w:t>
            </w:r>
          </w:p>
        </w:tc>
      </w:tr>
      <w:tr>
        <w:trPr/>
        <w:tc>
          <w:tcPr>
            <w:tcW w:w="345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1,860</w:t>
            </w:r>
          </w:p>
        </w:tc>
        <w:tc>
          <w:tcPr>
            <w:tcW w:w="154" w:type="dxa"/>
            <w:tcBorders/>
            <w:shd w:fill="auto" w:val="clear"/>
            <w:vAlign w:val="center"/>
          </w:tcPr>
          <w:p>
            <w:pPr>
              <w:pStyle w:val="TableContents"/>
              <w:spacing w:before="0" w:after="0"/>
              <w:ind w:left="0" w:right="0" w:hanging="0"/>
              <w:rPr/>
            </w:pPr>
            <w:r>
              <w:rPr/>
              <w:t>​</w:t>
            </w:r>
          </w:p>
        </w:tc>
      </w:tr>
      <w:tr>
        <w:trPr/>
        <w:tc>
          <w:tcPr>
            <w:tcW w:w="345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stock-based compensation expense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2,628</w:t>
            </w:r>
          </w:p>
        </w:tc>
        <w:tc>
          <w:tcPr>
            <w:tcW w:w="154" w:type="dxa"/>
            <w:tcBorders/>
            <w:shd w:fill="CCEEFF"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fair value of each option award is estimated on the date of grant using the Black-Scholes option-pricing model using the assumptions in the following table for options issued during the period indicated:</w:t>
      </w:r>
    </w:p>
    <w:p>
      <w:pPr>
        <w:pStyle w:val="TextBody"/>
        <w:spacing w:before="0" w:after="0"/>
        <w:ind w:left="0" w:right="0" w:hanging="0"/>
        <w:rPr/>
      </w:pPr>
      <w:r>
        <w:rPr/>
        <w:t>​</w:t>
      </w:r>
    </w:p>
    <w:tbl>
      <w:tblPr>
        <w:tblW w:w="5611" w:type="dxa"/>
        <w:jc w:val="left"/>
        <w:tblInd w:w="0" w:type="dxa"/>
        <w:tblCellMar>
          <w:top w:w="0" w:type="dxa"/>
          <w:left w:w="0" w:type="dxa"/>
          <w:bottom w:w="0" w:type="dxa"/>
          <w:right w:w="0" w:type="dxa"/>
        </w:tblCellMar>
      </w:tblPr>
      <w:tblGrid>
        <w:gridCol w:w="2131"/>
        <w:gridCol w:w="326"/>
        <w:gridCol w:w="766"/>
        <w:gridCol w:w="571"/>
        <w:gridCol w:w="326"/>
        <w:gridCol w:w="766"/>
        <w:gridCol w:w="571"/>
        <w:gridCol w:w="154"/>
      </w:tblGrid>
      <w:tr>
        <w:trPr/>
        <w:tc>
          <w:tcPr>
            <w:tcW w:w="21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353185" cy="175260"/>
                      <wp:effectExtent l="0" t="0" r="0" b="0"/>
                      <wp:wrapNone/>
                      <wp:docPr id="109" name="Frame109"/>
                      <a:graphic xmlns:a="http://schemas.openxmlformats.org/drawingml/2006/main">
                        <a:graphicData uri="http://schemas.microsoft.com/office/word/2010/wordprocessingShape">
                          <wps:wsp>
                            <wps:cNvSpPr txBox="1"/>
                            <wps:spPr>
                              <a:xfrm>
                                <a:off x="0" y="0"/>
                                <a:ext cx="1353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486410" cy="175260"/>
                      <wp:effectExtent l="0" t="0" r="0" b="0"/>
                      <wp:wrapNone/>
                      <wp:docPr id="111" name="Frame111"/>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112" name="Frame112"/>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86410" cy="175260"/>
                      <wp:effectExtent l="0" t="0" r="0" b="0"/>
                      <wp:wrapNone/>
                      <wp:docPr id="114" name="Frame114"/>
                      <a:graphic xmlns:a="http://schemas.openxmlformats.org/drawingml/2006/main">
                        <a:graphicData uri="http://schemas.microsoft.com/office/word/2010/wordprocessingShape">
                          <wps:wsp>
                            <wps:cNvSpPr txBox="1"/>
                            <wps:spPr>
                              <a:xfrm>
                                <a:off x="0" y="0"/>
                                <a:ext cx="486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5" name="Frame115"/>
                      <a:graphic xmlns:a="http://schemas.openxmlformats.org/drawingml/2006/main">
                        <a:graphicData uri="http://schemas.microsoft.com/office/word/2010/wordprocessingShape">
                          <wps:wsp>
                            <wps:cNvSpPr txBox="1"/>
                            <wps:spPr>
                              <a:xfrm>
                                <a:off x="0" y="0"/>
                                <a:ext cx="362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7790" cy="175260"/>
                      <wp:effectExtent l="0" t="0" r="0" b="0"/>
                      <wp:wrapNone/>
                      <wp:docPr id="116" name="Frame116"/>
                      <a:graphic xmlns:a="http://schemas.openxmlformats.org/drawingml/2006/main">
                        <a:graphicData uri="http://schemas.microsoft.com/office/word/2010/wordprocessingShape">
                          <wps:wsp>
                            <wps:cNvSpPr txBox="1"/>
                            <wps:spPr>
                              <a:xfrm>
                                <a:off x="0" y="0"/>
                                <a:ext cx="97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54" w:type="dxa"/>
            <w:tcBorders/>
            <w:shd w:fill="auto" w:val="clear"/>
            <w:vAlign w:val="center"/>
          </w:tcPr>
          <w:p>
            <w:pPr>
              <w:pStyle w:val="TableContents"/>
              <w:spacing w:before="0" w:after="0"/>
              <w:ind w:left="0" w:right="0" w:hanging="0"/>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0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154" w:type="dxa"/>
            <w:tcBorders/>
            <w:shd w:fill="auto" w:val="clear"/>
            <w:vAlign w:val="center"/>
          </w:tcPr>
          <w:p>
            <w:pPr>
              <w:pStyle w:val="TableContents"/>
              <w:spacing w:before="0" w:after="0"/>
              <w:ind w:left="0" w:right="0" w:hanging="0"/>
              <w:rPr/>
            </w:pPr>
            <w:r>
              <w:rPr/>
              <w:t>​</w:t>
            </w:r>
          </w:p>
        </w:tc>
      </w:tr>
      <w:tr>
        <w:trPr/>
        <w:tc>
          <w:tcPr>
            <w:tcW w:w="21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33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154" w:type="dxa"/>
            <w:tcBorders/>
            <w:shd w:fill="auto" w:val="clear"/>
            <w:vAlign w:val="center"/>
          </w:tcPr>
          <w:p>
            <w:pPr>
              <w:pStyle w:val="TableContents"/>
              <w:spacing w:before="0" w:after="0"/>
              <w:ind w:left="0" w:right="0" w:hanging="0"/>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 </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years </w:t>
            </w:r>
          </w:p>
        </w:tc>
        <w:tc>
          <w:tcPr>
            <w:tcW w:w="154" w:type="dxa"/>
            <w:tcBorders/>
            <w:shd w:fill="CCEEFF" w:val="clear"/>
            <w:vAlign w:val="center"/>
          </w:tcPr>
          <w:p>
            <w:pPr>
              <w:pStyle w:val="TableContents"/>
              <w:spacing w:before="0" w:after="0"/>
              <w:ind w:left="0" w:right="0" w:hanging="0"/>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r>
        <w:trPr/>
        <w:tc>
          <w:tcPr>
            <w:tcW w:w="21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Risk free interest rate</w:t>
            </w:r>
          </w:p>
        </w:tc>
        <w:tc>
          <w:tcPr>
            <w:tcW w:w="326" w:type="dxa"/>
            <w:tcBorders/>
            <w:shd w:fill="CCEEFF" w:val="clear"/>
            <w:vAlign w:val="center"/>
          </w:tcPr>
          <w:p>
            <w:pPr>
              <w:pStyle w:val="TableContents"/>
              <w:spacing w:before="0" w:after="0"/>
              <w:ind w:left="0" w:right="0" w:hanging="0"/>
              <w:rPr/>
            </w:pPr>
            <w:r>
              <w:rPr/>
              <w:t> </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3.6 - 4.1</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spacing w:before="0" w:after="0"/>
              <w:ind w:left="0" w:right="0" w:hanging="0"/>
              <w:rPr/>
            </w:pPr>
            <w:r>
              <w:rPr/>
              <w:t>​</w:t>
            </w:r>
          </w:p>
        </w:tc>
        <w:tc>
          <w:tcPr>
            <w:tcW w:w="7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1.8 - 2.4</w:t>
            </w:r>
          </w:p>
        </w:tc>
        <w:tc>
          <w:tcPr>
            <w:tcW w:w="5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CCEEFF" w:val="clear"/>
            <w:vAlign w:val="center"/>
          </w:tcPr>
          <w:p>
            <w:pPr>
              <w:pStyle w:val="TableContents"/>
              <w:spacing w:before="0" w:after="0"/>
              <w:ind w:left="0" w:right="0" w:hanging="0"/>
              <w:rPr/>
            </w:pPr>
            <w:r>
              <w:rPr/>
              <w:t>​</w:t>
            </w:r>
          </w:p>
        </w:tc>
      </w:tr>
      <w:tr>
        <w:trPr/>
        <w:tc>
          <w:tcPr>
            <w:tcW w:w="21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auto" w:val="clear"/>
            <w:vAlign w:val="center"/>
          </w:tcPr>
          <w:p>
            <w:pPr>
              <w:pStyle w:val="TableContents"/>
              <w:spacing w:before="0" w:after="0"/>
              <w:ind w:left="0" w:right="0" w:hanging="0"/>
              <w:rPr/>
            </w:pPr>
            <w:r>
              <w:rPr/>
              <w:t> </w:t>
            </w:r>
          </w:p>
        </w:tc>
        <w:tc>
          <w:tcPr>
            <w:tcW w:w="76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26" w:type="dxa"/>
            <w:tcBorders/>
            <w:shd w:fill="auto" w:val="clear"/>
            <w:vAlign w:val="center"/>
          </w:tcPr>
          <w:p>
            <w:pPr>
              <w:pStyle w:val="TableContents"/>
              <w:spacing w:before="0" w:after="0"/>
              <w:ind w:left="0" w:right="0" w:hanging="0"/>
              <w:rPr/>
            </w:pPr>
            <w:r>
              <w:rPr/>
              <w:t>​</w:t>
            </w:r>
          </w:p>
        </w:tc>
        <w:tc>
          <w:tcPr>
            <w:tcW w:w="766" w:type="dxa"/>
            <w:tcBorders/>
            <w:shd w:fill="auto" w:val="clear"/>
            <w:vAlign w:val="center"/>
          </w:tcPr>
          <w:p>
            <w:pPr>
              <w:pStyle w:val="TableContents"/>
              <w:spacing w:before="0" w:after="0"/>
              <w:ind w:left="0" w:right="0" w:hanging="0"/>
              <w:jc w:val="right"/>
              <w:rPr/>
            </w:pPr>
            <w:r>
              <w:rPr/>
              <w:t>—</w:t>
            </w:r>
          </w:p>
        </w:tc>
        <w:tc>
          <w:tcPr>
            <w:tcW w:w="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jc w:val="both"/>
        <w:rPr/>
      </w:pPr>
      <w:r>
        <w:rPr/>
        <w:t>​</w:t>
      </w:r>
    </w:p>
    <w:p>
      <w:pPr>
        <w:pStyle w:val="TextBody"/>
        <w:spacing w:before="0" w:after="0"/>
        <w:ind w:left="0" w:right="0" w:hanging="0"/>
        <w:jc w:val="both"/>
        <w:rPr/>
      </w:pPr>
      <w:r>
        <w:rPr/>
        <w:t>​</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Employee Stock Purchase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NextCure, Inc. 2019 Employee Stock Purchase Plan (the “ESPP”) was approved in May 2019 and provides for certain employees of the Company to purchase shares of Company stock at a discounted price. As of March 31, 2023 49,583 shares of common stock had been issued pursuant to the ESPP and 741,097 shares were reserved for future issuance thereunder.</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78" w:name="Tc_b9zPEkFKekiDx9mqKQtBJw_8_0"/>
      <w:bookmarkStart w:id="679" w:name="Tc_t92jGd608UOZuAADnG0H_g_7_0"/>
      <w:bookmarkStart w:id="680" w:name="Tc_PoOoqnZY9UmxFqORv47F4w_6_0"/>
      <w:bookmarkStart w:id="681" w:name="Tc_sjVzc47YvU-sTdCCU33_dw_5_5"/>
      <w:bookmarkStart w:id="682" w:name="Tc_HWoXVNUbvkSgy_F433vT8w_5_2"/>
      <w:bookmarkStart w:id="683" w:name="Tc_YUpn-4G3hEOy1gYaicd4Gg_5_0"/>
      <w:bookmarkStart w:id="684" w:name="Tc_AqAgUSZsY0GbwYGhzku-fw_4_0"/>
      <w:bookmarkStart w:id="685" w:name="Tc_fAMXYmSQTEeF6Vp2VJPPpw_3_5"/>
      <w:bookmarkStart w:id="686" w:name="Tc_-sItS7DuVEqs-EsHT2GToQ_3_2"/>
      <w:bookmarkStart w:id="687" w:name="Tc_HrOznwnDyUOTElGtFQ4jUA_1_2"/>
      <w:bookmarkStart w:id="688" w:name="_f2493954_6378_4c43_b58c_dd7e91b10bea"/>
      <w:bookmarkEnd w:id="678"/>
      <w:bookmarkEnd w:id="679"/>
      <w:bookmarkEnd w:id="680"/>
      <w:bookmarkEnd w:id="681"/>
      <w:bookmarkEnd w:id="682"/>
      <w:bookmarkEnd w:id="683"/>
      <w:bookmarkEnd w:id="684"/>
      <w:bookmarkEnd w:id="685"/>
      <w:bookmarkEnd w:id="686"/>
      <w:bookmarkEnd w:id="687"/>
      <w:bookmarkEnd w:id="688"/>
      <w:r>
        <w:rPr>
          <w:rFonts w:ascii="Times New Roman;Times;serif" w:hAnsi="Times New Roman;Times;serif"/>
          <w:b/>
          <w:sz w:val="20"/>
        </w:rPr>
        <w:t>7. Net Loss Per Share Attributable to Common Stockholders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computation of basic loss per share is based on the weighted-average number of common shares outstanding, without consideration for dilutive common stock equivalents. The computation of diluted loss per share is based on the weighted-average number of common shares outstanding and dilutive potential common shares, which include shares that may be issued under the stock option plan, as determined using the treasury stock method.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computation for basic and diluted loss per share were as follows (in thousands, except share and per share data):</w:t>
      </w:r>
    </w:p>
    <w:tbl>
      <w:tblPr>
        <w:tblW w:w="7722" w:type="dxa"/>
        <w:jc w:val="left"/>
        <w:tblInd w:w="0" w:type="dxa"/>
        <w:tblCellMar>
          <w:top w:w="0" w:type="dxa"/>
          <w:left w:w="0" w:type="dxa"/>
          <w:bottom w:w="0" w:type="dxa"/>
          <w:right w:w="0" w:type="dxa"/>
        </w:tblCellMar>
      </w:tblPr>
      <w:tblGrid>
        <w:gridCol w:w="4711"/>
        <w:gridCol w:w="146"/>
        <w:gridCol w:w="211"/>
        <w:gridCol w:w="1036"/>
        <w:gridCol w:w="326"/>
        <w:gridCol w:w="211"/>
        <w:gridCol w:w="1081"/>
      </w:tblGrid>
      <w:tr>
        <w:trPr/>
        <w:tc>
          <w:tcPr>
            <w:tcW w:w="47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991485" cy="175260"/>
                      <wp:effectExtent l="0" t="0" r="0" b="0"/>
                      <wp:wrapNone/>
                      <wp:docPr id="117" name="Frame117"/>
                      <a:graphic xmlns:a="http://schemas.openxmlformats.org/drawingml/2006/main">
                        <a:graphicData uri="http://schemas.microsoft.com/office/word/2010/wordprocessingShape">
                          <wps:wsp>
                            <wps:cNvSpPr txBox="1"/>
                            <wps:spPr>
                              <a:xfrm>
                                <a:off x="0" y="0"/>
                                <a:ext cx="29914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2710" cy="175260"/>
                      <wp:effectExtent l="0" t="0" r="0" b="0"/>
                      <wp:wrapNone/>
                      <wp:docPr id="118" name="Frame118"/>
                      <a:graphic xmlns:a="http://schemas.openxmlformats.org/drawingml/2006/main">
                        <a:graphicData uri="http://schemas.microsoft.com/office/word/2010/wordprocessingShape">
                          <wps:wsp>
                            <wps:cNvSpPr txBox="1"/>
                            <wps:spPr>
                              <a:xfrm>
                                <a:off x="0" y="0"/>
                                <a:ext cx="92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57860" cy="175260"/>
                      <wp:effectExtent l="0" t="0" r="0" b="0"/>
                      <wp:wrapNone/>
                      <wp:docPr id="120" name="Frame12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0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86435" cy="175260"/>
                      <wp:effectExtent l="0" t="0" r="0" b="0"/>
                      <wp:wrapNone/>
                      <wp:docPr id="123" name="Frame123"/>
                      <a:graphic xmlns:a="http://schemas.openxmlformats.org/drawingml/2006/main">
                        <a:graphicData uri="http://schemas.microsoft.com/office/word/2010/wordprocessingShape">
                          <wps:wsp>
                            <wps:cNvSpPr txBox="1"/>
                            <wps:spPr>
                              <a:xfrm>
                                <a:off x="0" y="0"/>
                                <a:ext cx="6864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71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86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71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036"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c>
          <w:tcPr>
            <w:tcW w:w="1081" w:type="dxa"/>
            <w:tcBorders>
              <w:bottom w:val="single" w:sz="2" w:space="0" w:color="000000"/>
            </w:tcBorders>
            <w:shd w:fill="auto" w:val="clear"/>
            <w:tcMar>
              <w:bottom w:w="28" w:type="dxa"/>
            </w:tcMar>
            <w:vAlign w:val="center"/>
          </w:tcPr>
          <w:p>
            <w:pPr>
              <w:pStyle w:val="TableContents"/>
              <w:spacing w:before="0" w:after="1"/>
              <w:ind w:left="0" w:right="0" w:hanging="0"/>
              <w:jc w:val="center"/>
              <w:rPr/>
            </w:pPr>
            <w:r>
              <w:rPr/>
              <w:t>​</w:t>
            </w:r>
          </w:p>
        </w:tc>
      </w:tr>
      <w:tr>
        <w:trPr/>
        <w:tc>
          <w:tcPr>
            <w:tcW w:w="4711" w:type="dxa"/>
            <w:tcBorders/>
            <w:shd w:fill="auto" w:val="clear"/>
            <w:vAlign w:val="center"/>
          </w:tcPr>
          <w:p>
            <w:pPr>
              <w:pStyle w:val="TableContents"/>
              <w:spacing w:before="0" w:after="1"/>
              <w:ind w:left="0" w:right="0" w:hanging="0"/>
              <w:rPr/>
            </w:pPr>
            <w:r>
              <w:rPr/>
              <w:t>​</w:t>
            </w:r>
          </w:p>
        </w:tc>
        <w:tc>
          <w:tcPr>
            <w:tcW w:w="146" w:type="dxa"/>
            <w:tcBorders/>
            <w:shd w:fill="auto" w:val="clear"/>
            <w:vAlign w:val="center"/>
          </w:tcPr>
          <w:p>
            <w:pPr>
              <w:pStyle w:val="TableContents"/>
              <w:spacing w:before="0" w:after="1"/>
              <w:ind w:left="0" w:right="0" w:hanging="0"/>
              <w:rPr/>
            </w:pPr>
            <w:r>
              <w:rPr/>
              <w:t>​</w:t>
            </w:r>
          </w:p>
        </w:tc>
        <w:tc>
          <w:tcPr>
            <w:tcW w:w="124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129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(Numerator):</w:t>
            </w:r>
          </w:p>
        </w:tc>
        <w:tc>
          <w:tcPr>
            <w:tcW w:w="14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1081" w:type="dxa"/>
            <w:tcBorders/>
            <w:shd w:fill="CCEEFF" w:val="clear"/>
            <w:vAlign w:val="center"/>
          </w:tcPr>
          <w:p>
            <w:pPr>
              <w:pStyle w:val="TableContents"/>
              <w:spacing w:before="0" w:after="1"/>
              <w:ind w:left="0" w:right="0" w:hanging="0"/>
              <w:jc w:val="right"/>
              <w:rPr/>
            </w:pPr>
            <w:r>
              <w:rPr/>
              <w:t>  </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loss - basic and diluted</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(20,602)</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Shares (Denominator):</w:t>
            </w:r>
          </w:p>
        </w:tc>
        <w:tc>
          <w:tcPr>
            <w:tcW w:w="14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36" w:type="dxa"/>
            <w:tcBorders/>
            <w:shd w:fill="CCEEFF" w:val="clear"/>
            <w:vAlign w:val="center"/>
          </w:tcPr>
          <w:p>
            <w:pPr>
              <w:pStyle w:val="TableContents"/>
              <w:spacing w:before="0" w:after="1"/>
              <w:ind w:left="0" w:right="0" w:hanging="0"/>
              <w:jc w:val="right"/>
              <w:rPr/>
            </w:pPr>
            <w:r>
              <w:rPr/>
              <w:t>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1081" w:type="dxa"/>
            <w:tcBorders/>
            <w:shd w:fill="CCEEFF" w:val="clear"/>
            <w:vAlign w:val="center"/>
          </w:tcPr>
          <w:p>
            <w:pPr>
              <w:pStyle w:val="TableContents"/>
              <w:spacing w:before="0" w:after="1"/>
              <w:ind w:left="0" w:right="0" w:hanging="0"/>
              <w:jc w:val="right"/>
              <w:rPr/>
            </w:pPr>
            <w:r>
              <w:rPr/>
              <w:t>  </w:t>
            </w:r>
          </w:p>
        </w:tc>
      </w:tr>
      <w:tr>
        <w:trPr/>
        <w:tc>
          <w:tcPr>
            <w:tcW w:w="47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Weighted-average shares outstanding - basic and diluted</w:t>
            </w:r>
          </w:p>
        </w:tc>
        <w:tc>
          <w:tcPr>
            <w:tcW w:w="14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27,774,536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pPr>
            <w:r>
              <w:rPr/>
              <w:t> </w:t>
            </w:r>
          </w:p>
        </w:tc>
        <w:tc>
          <w:tcPr>
            <w:tcW w:w="108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27,708,768</w:t>
            </w:r>
          </w:p>
        </w:tc>
      </w:tr>
      <w:tr>
        <w:trPr/>
        <w:tc>
          <w:tcPr>
            <w:tcW w:w="47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Loss per share - basic and diluted</w:t>
            </w:r>
          </w:p>
        </w:tc>
        <w:tc>
          <w:tcPr>
            <w:tcW w:w="14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(0.58)</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r>
    </w:tbl>
    <w:p>
      <w:pPr>
        <w:pStyle w:val="TextBody"/>
        <w:spacing w:before="0" w:after="240"/>
        <w:ind w:left="0" w:right="0" w:hanging="0"/>
        <w:jc w:val="both"/>
        <w:rPr>
          <w:highlight w:val="yellow"/>
        </w:rPr>
      </w:pPr>
      <w:r>
        <w:rPr>
          <w:highlight w:val="yellow"/>
        </w:rPr>
        <w:t>​</w:t>
      </w:r>
    </w:p>
    <w:p>
      <w:pPr>
        <w:pStyle w:val="TextBody"/>
        <w:spacing w:before="0" w:after="0"/>
        <w:ind w:left="0" w:right="0" w:hanging="0"/>
        <w:rPr>
          <w:highlight w:val="yellow"/>
        </w:rPr>
      </w:pPr>
      <w:r>
        <w:rPr>
          <w:highlight w:val="yellow"/>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 months ended March 31, 2023 and 2022, all shares of options to purchase shares of the Company’s common stock were excluded from the computation of diluted net loss per share as the effect would have been anti-dilutive.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00"/>
        <w:ind w:left="0" w:right="0" w:hanging="0"/>
        <w:jc w:val="both"/>
        <w:rPr>
          <w:rFonts w:ascii="Times New Roman;Times;serif" w:hAnsi="Times New Roman;Times;serif"/>
          <w:sz w:val="20"/>
        </w:rPr>
      </w:pPr>
      <w:bookmarkStart w:id="689" w:name="Tc_VExe9eonI0WrNE2AttbA5Q_3_0"/>
      <w:bookmarkStart w:id="690" w:name="Tc_tCw46ZVE8kqRvVDpFrptDw_2_5"/>
      <w:bookmarkStart w:id="691" w:name="Tc_Wx-Q26f62kCIDGH7bdxBTg_2_3"/>
      <w:bookmarkStart w:id="692" w:name="Tc_oBqX_wjr8UCE0NF5wRr6kw_1_3"/>
      <w:bookmarkEnd w:id="689"/>
      <w:bookmarkEnd w:id="690"/>
      <w:bookmarkEnd w:id="691"/>
      <w:bookmarkEnd w:id="692"/>
      <w:r>
        <w:rPr>
          <w:rFonts w:ascii="Times New Roman;Times;serif" w:hAnsi="Times New Roman;Times;serif"/>
          <w:sz w:val="20"/>
        </w:rPr>
        <w:t xml:space="preserve">Therefore, the weighted average number of common shares outstanding used to calculate both basic and diluted net loss per share attributable to common stockholders is the same. </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excluded the following potential common shares, presented based on amounts outstanding at period end, from the computation of diluted net loss per share attributable to common stockholders for the period indicated because including them would have had an anti-dilutive effect:</w:t>
      </w:r>
    </w:p>
    <w:p>
      <w:pPr>
        <w:pStyle w:val="TextBody"/>
        <w:spacing w:before="0" w:after="0"/>
        <w:ind w:left="0" w:right="0" w:hanging="0"/>
        <w:rPr/>
      </w:pPr>
      <w:r>
        <w:rPr/>
        <w:t>​</w:t>
      </w:r>
    </w:p>
    <w:tbl>
      <w:tblPr>
        <w:tblW w:w="6659" w:type="dxa"/>
        <w:jc w:val="left"/>
        <w:tblInd w:w="0" w:type="dxa"/>
        <w:tblCellMar>
          <w:top w:w="0" w:type="dxa"/>
          <w:left w:w="0" w:type="dxa"/>
          <w:bottom w:w="0" w:type="dxa"/>
          <w:right w:w="0" w:type="dxa"/>
        </w:tblCellMar>
      </w:tblPr>
      <w:tblGrid>
        <w:gridCol w:w="3991"/>
        <w:gridCol w:w="326"/>
        <w:gridCol w:w="109"/>
        <w:gridCol w:w="931"/>
        <w:gridCol w:w="326"/>
        <w:gridCol w:w="976"/>
      </w:tblGrid>
      <w:tr>
        <w:trPr/>
        <w:tc>
          <w:tcPr>
            <w:tcW w:w="3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534285" cy="175260"/>
                      <wp:effectExtent l="0" t="0" r="0" b="0"/>
                      <wp:wrapNone/>
                      <wp:docPr id="124" name="Frame124"/>
                      <a:graphic xmlns:a="http://schemas.openxmlformats.org/drawingml/2006/main">
                        <a:graphicData uri="http://schemas.microsoft.com/office/word/2010/wordprocessingShape">
                          <wps:wsp>
                            <wps:cNvSpPr txBox="1"/>
                            <wps:spPr>
                              <a:xfrm>
                                <a:off x="0" y="0"/>
                                <a:ext cx="2534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591185" cy="175260"/>
                      <wp:effectExtent l="0" t="0" r="0" b="0"/>
                      <wp:wrapNone/>
                      <wp:docPr id="127" name="Frame12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19760" cy="175260"/>
                      <wp:effectExtent l="0" t="0" r="0" b="0"/>
                      <wp:wrapNone/>
                      <wp:docPr id="129" name="Frame129"/>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jc w:val="center"/>
              <w:rPr/>
            </w:pPr>
            <w:r>
              <w:rPr/>
              <w:t>​</w:t>
            </w:r>
          </w:p>
        </w:tc>
        <w:tc>
          <w:tcPr>
            <w:tcW w:w="223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 w:type="dxa"/>
            <w:tcBorders/>
            <w:shd w:fill="auto" w:val="clear"/>
            <w:vAlign w:val="center"/>
          </w:tcPr>
          <w:p>
            <w:pPr>
              <w:pStyle w:val="TableContents"/>
              <w:spacing w:before="0" w:after="0"/>
              <w:ind w:left="0" w:right="0" w:hanging="0"/>
              <w:jc w:val="center"/>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Outstanding options to purchase common stock</w:t>
            </w:r>
          </w:p>
        </w:tc>
        <w:tc>
          <w:tcPr>
            <w:tcW w:w="326" w:type="dxa"/>
            <w:tcBorders/>
            <w:shd w:fill="CCEEFF" w:val="clear"/>
            <w:vAlign w:val="center"/>
          </w:tcPr>
          <w:p>
            <w:pPr>
              <w:pStyle w:val="TableContents"/>
              <w:spacing w:before="0" w:after="0"/>
              <w:ind w:left="0" w:right="0" w:hanging="0"/>
              <w:rPr/>
            </w:pPr>
            <w:r>
              <w:rPr/>
              <w:t> </w:t>
            </w:r>
          </w:p>
        </w:tc>
        <w:tc>
          <w:tcPr>
            <w:tcW w:w="109" w:type="dxa"/>
            <w:tcBorders/>
            <w:shd w:fill="CCEEFF" w:val="clear"/>
            <w:vAlign w:val="center"/>
          </w:tcPr>
          <w:p>
            <w:pPr>
              <w:pStyle w:val="TableContents"/>
              <w:spacing w:before="0" w:after="0"/>
              <w:ind w:left="0" w:right="0" w:hanging="0"/>
              <w:rPr/>
            </w:pPr>
            <w:r>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7,030,160</w:t>
            </w:r>
          </w:p>
        </w:tc>
        <w:tc>
          <w:tcPr>
            <w:tcW w:w="326" w:type="dxa"/>
            <w:tcBorders/>
            <w:shd w:fill="CCEEFF" w:val="clear"/>
            <w:vAlign w:val="center"/>
          </w:tcPr>
          <w:p>
            <w:pPr>
              <w:pStyle w:val="TableContents"/>
              <w:spacing w:before="0" w:after="0"/>
              <w:ind w:left="0" w:right="0" w:hanging="0"/>
              <w:rPr/>
            </w:pPr>
            <w:r>
              <w:rPr/>
              <w:t>​</w:t>
            </w:r>
          </w:p>
        </w:tc>
        <w:tc>
          <w:tcPr>
            <w:tcW w:w="9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5,638,992</w:t>
            </w:r>
          </w:p>
        </w:tc>
      </w:tr>
      <w:tr>
        <w:trPr/>
        <w:tc>
          <w:tcPr>
            <w:tcW w:w="39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8. Income Taxes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did not record a provision or benefit for income taxes during the three month periods ended March 31, 2023 and 2022. The Company continues to maintain a full valuation allowance against its deferred tax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evaluated the positive and negative evidence involving its ability to realize its deferred tax assets. Management has considered the Company’s history of cumulative net losses incurred since inception and its lack of any commercially ready products. It has concluded that it is more likely than not that the Company will not realize the benefits of the deferred tax assets. Management reevaluates the positive and negative evidence at each reporting period.</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provisions of Sections 382 and 383 of the Internal Revenue Code (“IRC”), certain substantial changes in the Company’s ownership may have limited, or may limit in the future, the amount of net operating loss and research and development credit carryforwards that can be used to reduce future income taxes. We have not performed a detailed analysis to determine whether an ownership change under Section 382 of the IRC occurred. The effect of an ownership change would be the imposition of an annual limitation on the use of losses and credits attributable to periods before the change and could result in a reduction in the total losses and credits available.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9. Commitments and Contingencies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Legal Proceedings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21, 2020, a putative stockholder class action was filed in the U.S. District Court for the Southern District of New York styled Ye Zhou v. NextCure, Inc., et. al., Case 1:20-cv-0772 (S.D.N.Y.) (the “Ye Zhou action”). On February 26, 2021, the Lead Plaintiff filed a consolidated amended complaint that asserts claims against us, certain of our officers and members of our board of directors, and the underwriters in our May 2019 initial public offering and November 2019 underwritten secondary public offering. The complaint alleges that the defendants violated provisions of the Securities Exchange Act of 1934, as amended (the “Exchange Act”), and the Securities Act of 1933, as amended, with respect to statements made regarding the Company’s NC318 product candidate and the FIND-IO platform. The complaint seeks unspecified damages on behalf of a purported class of purchasers of our securities between May 8, 2019 and July 14, 2020. Defendants filed a motion to dismiss the consolidated amended complaint on April 27, 2021, and discovery is stayed pending resolution of that motion.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March 24, 2021, a purported shareholder derivative lawsuit was filed in the U.S. District Court for the District of Maryland, Southern Division, styled Zach Liu v. Richman et. al., Case:21-cv-00754 (the “Liu action”), alleging breaches of fiduciary duty by officers and/or directors, unjust enrichment, abuse of control, gross mismanagement, waste of corporate assets, and violations of the Exchange Act and the Securities Act of 1933. The Complaint seeks unspecified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NEXTCURE,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damages, attorneys’ fees and costs, declaratory relief, corporate governance changes, and restitution. On May 17, 2021, the Court granted the parties’ joint motion to stay the derivative lawsuit pending resolution of the defendants’ motion to dismiss filed in respect of the Ye Zhou action.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14, 2021, a purported misappropriation of certain trade secrets lawsuit was filed in Federal District Court for the District of Delaware, styled Immunaccel, LLC v. NextCure, Inc., Case No. 1:21-cv-01755-UNA (the “Immunaccel action”). The lawsuit alleges that the Company misappropriated certain trade secrets belonging to Immunaccel related to a drug discovery and screening platform named IMMUNE 3D. The complaint alleged two causes of action, one under the Delaware Uniform Trade Secrets Act and another under the Federal Defend Trade Secrets Act.  The Company filed a motion to dismiss the complaint on April 22, 2022.  In response to the Company’s motion to dismiss, Immunaccel filed an amended complaint on June 21, 2022 (“Amended Complaint”). The Amended Complaint added as parties to the Immunaccel action Screen Therapeutics LLC (“Screen”), an affiliate entity of Immunaccel, and the Company’s CEO, Michael Richman, in his capacity as an individual. The Amended Complaint alleges that Mr. Richman breached certain contractual and fiduciary duties owed to Screen due to Mr. Richman’s prior relationship as an investor in, and purported advisor to, Screen. The Amended Complaint alleges four causes of action for breach of contract against Mr. Richman and three related causes of action against Mr. Richman for breach of fiduciary duty, unjust enrichment, and fraudulent misrepresentation.  In addition to two trade secrets causes of action similar to those previously alleged against the Company, the Amended Complaint also alleges that the Company tortiously interfered with the contracts between Mr. Richman and Screen and that the Company aided and abetted the alleged breach of fiduciary duty by Mr. Richman. The Amended Complaint seeks unspecified monetary damages, a permanent injunction and other miscellaneous relief.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and Mr. Richman each separately filed separate motions to dismiss the Amended Complaint on August 5, 2022.  Both defendants’ motions seek to dismiss all claims asserted against them by the plaintiffs and briefing for these motions have been completed.  The motions currently remain pending before the court for disposition.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intends to vigorously defend the Ye Zhou, Liu and Immunaccel actions. Based on the Company’s assessment of the facts underlying these claims, the uncertainty of litigation, and the preliminary stage of these cases, the Company cannot estimate the reasonably possible loss or range of loss that may result from these actions. </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693" w:name="Item2ManagementsDiscussionandAnalysisofF"/>
      <w:bookmarkStart w:id="694" w:name="_ee5bf213_353b_4ae8_bb2f_3cc32b1fe325"/>
      <w:bookmarkEnd w:id="693"/>
      <w:bookmarkEnd w:id="694"/>
      <w:r>
        <w:rPr>
          <w:rFonts w:ascii="Times New Roman;Times;serif" w:hAnsi="Times New Roman;Times;serif"/>
          <w:b/>
          <w:sz w:val="20"/>
        </w:rPr>
        <w:t>Item 2. Management’s Discussion and Analysis of Financial Condition and Results of Operations</w:t>
      </w:r>
    </w:p>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should be read in conjunction with the unaudited condensed financial statements and the notes thereto included in this Quarterly Report and the audited financial information and related notes, as well as Management’s Discussion and Analysis of Financial Condition and Results of Operations and other disclosures, included in our Annual Report on Form 10-K for the fiscal year ended December 31, 2022, or our “2022 Annual Report.” Some of the statements contained in this discussion and analysis or set forth elsewhere in this Quarterly Report are forward-looking statements within the meaning of the Private Securities Litigation Reform Act of 1995. Any statements contained herein that are not statements of historical fact may be deemed to be forward-looking statements. In some cases, you can identify forward-looking statements by terminology such as “aim,” “anticipate,” “assume,” “believe,” “continue,” “could,” “should,” “due,” “estimate,” “expect,” “intend,” “hope,” “may,” “objective,” “plan,” “predict,” “potential,” “positioned,” “seek,” “target,” “towards,” “forward,” “later,” “will,” “would” and other similar expressions that are predictions of or indicate future events and future trends, or the negative of these terms or similar language. Forward-looking statements include, but are not limited to, statements about: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expectations regarding the timing, progress and results of preclinical studies and clinical trials for NC410, NC525, NC762 and any other product candidates we develop, including statements regarding the timing of initiation and completion of studies or trials and related preparatory work, the period during which the results of the trials will become available and our research and development programs;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the timing or likelihood of regulatory filings for NC410, NC525, NC762 and any other product candidates we develop and our ability to obtain and maintain regulatory approvals for such product candidates for any indication; </w:t>
            </w:r>
          </w:p>
        </w:tc>
      </w:tr>
    </w:tbl>
    <w:p>
      <w:pPr>
        <w:pStyle w:val="Normal"/>
        <w:spacing w:before="0" w:after="0"/>
        <w:rPr>
          <w:sz w:val="4"/>
          <w:szCs w:val="4"/>
        </w:rPr>
      </w:pPr>
      <w:r>
        <w:rPr>
          <w:sz w:val="4"/>
          <w:szCs w:val="4"/>
        </w:rPr>
      </w:r>
      <w:bookmarkStart w:id="695" w:name="_cp_text_1_40"/>
      <w:bookmarkStart w:id="696" w:name="_cp_blt_1_39"/>
      <w:bookmarkStart w:id="697" w:name="_cp_text_1_40"/>
      <w:bookmarkStart w:id="698" w:name="_cp_blt_1_39"/>
      <w:bookmarkEnd w:id="697"/>
      <w:bookmarkEnd w:id="698"/>
    </w:p>
    <w:tbl>
      <w:tblPr>
        <w:tblW w:w="6336" w:type="dxa"/>
        <w:jc w:val="left"/>
        <w:tblInd w:w="0" w:type="dxa"/>
        <w:tblCellMar>
          <w:top w:w="28" w:type="dxa"/>
          <w:left w:w="28" w:type="dxa"/>
          <w:bottom w:w="28" w:type="dxa"/>
          <w:right w:w="28" w:type="dxa"/>
        </w:tblCellMar>
      </w:tblPr>
      <w:tblGrid>
        <w:gridCol w:w="124"/>
        <w:gridCol w:w="256"/>
        <w:gridCol w:w="59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the identification, analysis and use of biomarkers and biomarker data;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development of patient selection assays and companion or complementary diagnostics for NC410, NC525, NC762 or any other product candidates we develop;</w:t>
            </w:r>
          </w:p>
        </w:tc>
      </w:tr>
    </w:tbl>
    <w:tbl>
      <w:tblPr>
        <w:tblW w:w="10071" w:type="dxa"/>
        <w:jc w:val="left"/>
        <w:tblInd w:w="0" w:type="dxa"/>
        <w:tblCellMar>
          <w:top w:w="28" w:type="dxa"/>
          <w:left w:w="28" w:type="dxa"/>
          <w:bottom w:w="28" w:type="dxa"/>
          <w:right w:w="28" w:type="dxa"/>
        </w:tblCellMar>
      </w:tblPr>
      <w:tblGrid>
        <w:gridCol w:w="124"/>
        <w:gridCol w:w="256"/>
        <w:gridCol w:w="969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69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manufacturing capabilities and strategy, including the scalability of our manufacturing methods and processes;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expectations regarding the potential benefits, activity, effectiveness and safety of NC410, NC525, NC762 and any other product candidates we develop; </w:t>
            </w:r>
          </w:p>
        </w:tc>
      </w:tr>
    </w:tbl>
    <w:tbl>
      <w:tblPr>
        <w:tblW w:w="7146" w:type="dxa"/>
        <w:jc w:val="left"/>
        <w:tblInd w:w="0" w:type="dxa"/>
        <w:tblCellMar>
          <w:top w:w="28" w:type="dxa"/>
          <w:left w:w="28" w:type="dxa"/>
          <w:bottom w:w="28" w:type="dxa"/>
          <w:right w:w="28" w:type="dxa"/>
        </w:tblCellMar>
      </w:tblPr>
      <w:tblGrid>
        <w:gridCol w:w="124"/>
        <w:gridCol w:w="256"/>
        <w:gridCol w:w="67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intentions and ability to successfully commercialize our product candidates; </w:t>
            </w:r>
          </w:p>
        </w:tc>
      </w:tr>
    </w:tbl>
    <w:tbl>
      <w:tblPr>
        <w:tblW w:w="7386" w:type="dxa"/>
        <w:jc w:val="left"/>
        <w:tblInd w:w="0" w:type="dxa"/>
        <w:tblCellMar>
          <w:top w:w="28" w:type="dxa"/>
          <w:left w:w="28" w:type="dxa"/>
          <w:bottom w:w="28" w:type="dxa"/>
          <w:right w:w="28" w:type="dxa"/>
        </w:tblCellMar>
      </w:tblPr>
      <w:tblGrid>
        <w:gridCol w:w="124"/>
        <w:gridCol w:w="256"/>
        <w:gridCol w:w="70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0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expectations regarding the nature of the biological pathways we are targeting;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expectations for our Functional, Integrated, NextCure Discovery in Immuno-Oncology (“FIND-IO”) platform, including our ability to discover and advance product candidates using our FIND-IO platform; </w:t>
            </w:r>
          </w:p>
        </w:tc>
      </w:tr>
    </w:tbl>
    <w:tbl>
      <w:tblPr>
        <w:tblW w:w="9426" w:type="dxa"/>
        <w:jc w:val="left"/>
        <w:tblInd w:w="0" w:type="dxa"/>
        <w:tblCellMar>
          <w:top w:w="28" w:type="dxa"/>
          <w:left w:w="28" w:type="dxa"/>
          <w:bottom w:w="28" w:type="dxa"/>
          <w:right w:w="28" w:type="dxa"/>
        </w:tblCellMar>
      </w:tblPr>
      <w:tblGrid>
        <w:gridCol w:w="124"/>
        <w:gridCol w:w="256"/>
        <w:gridCol w:w="90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0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the potential benefits of and our ability to maintain our relationship and collaboration with Yale University;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our estimates regarding our expenses, future revenues, capital requirements, our needs for or ability to obtain additional financing and the period over which we expect our current cash, cash equivalents and marketable securities to be sufficient to fund our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intended reliance on and the performance of third parties, including collaborators, contract research organizations and third-party manufacturers; </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161" w:type="dxa"/>
        <w:jc w:val="left"/>
        <w:tblInd w:w="0" w:type="dxa"/>
        <w:tblCellMar>
          <w:top w:w="28" w:type="dxa"/>
          <w:left w:w="28" w:type="dxa"/>
          <w:bottom w:w="28" w:type="dxa"/>
          <w:right w:w="28" w:type="dxa"/>
        </w:tblCellMar>
      </w:tblPr>
      <w:tblGrid>
        <w:gridCol w:w="124"/>
        <w:gridCol w:w="256"/>
        <w:gridCol w:w="9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our ability to protect and enforce our intellectual property protection and the scope and duration of such protection; </w:t>
            </w:r>
          </w:p>
        </w:tc>
      </w:tr>
    </w:tbl>
    <w:tbl>
      <w:tblPr>
        <w:tblW w:w="9621" w:type="dxa"/>
        <w:jc w:val="left"/>
        <w:tblInd w:w="0" w:type="dxa"/>
        <w:tblCellMar>
          <w:top w:w="28" w:type="dxa"/>
          <w:left w:w="28" w:type="dxa"/>
          <w:bottom w:w="28" w:type="dxa"/>
          <w:right w:w="28" w:type="dxa"/>
        </w:tblCellMar>
      </w:tblPr>
      <w:tblGrid>
        <w:gridCol w:w="124"/>
        <w:gridCol w:w="256"/>
        <w:gridCol w:w="92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any failure of our information technology systems such as security breaches, loss of data and other disruptions;</w:t>
            </w:r>
          </w:p>
        </w:tc>
      </w:tr>
    </w:tbl>
    <w:tbl>
      <w:tblPr>
        <w:tblW w:w="9651" w:type="dxa"/>
        <w:jc w:val="left"/>
        <w:tblInd w:w="0" w:type="dxa"/>
        <w:tblCellMar>
          <w:top w:w="28" w:type="dxa"/>
          <w:left w:w="28" w:type="dxa"/>
          <w:bottom w:w="28" w:type="dxa"/>
          <w:right w:w="28" w:type="dxa"/>
        </w:tblCellMar>
      </w:tblPr>
      <w:tblGrid>
        <w:gridCol w:w="124"/>
        <w:gridCol w:w="256"/>
        <w:gridCol w:w="92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2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developments and projections relating to our competitors and our industry, including competing therapies; and</w:t>
            </w:r>
          </w:p>
        </w:tc>
      </w:tr>
    </w:tbl>
    <w:tbl>
      <w:tblPr>
        <w:tblW w:w="5001" w:type="dxa"/>
        <w:jc w:val="left"/>
        <w:tblInd w:w="0" w:type="dxa"/>
        <w:tblCellMar>
          <w:top w:w="28" w:type="dxa"/>
          <w:left w:w="28" w:type="dxa"/>
          <w:bottom w:w="28" w:type="dxa"/>
          <w:right w:w="28" w:type="dxa"/>
        </w:tblCellMar>
      </w:tblPr>
      <w:tblGrid>
        <w:gridCol w:w="124"/>
        <w:gridCol w:w="256"/>
        <w:gridCol w:w="462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62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 xml:space="preserve">the impact of current and future laws and regulations. </w:t>
            </w:r>
          </w:p>
        </w:tc>
      </w:tr>
    </w:tbl>
    <w:p>
      <w:pPr>
        <w:pStyle w:val="TextBody"/>
        <w:spacing w:before="0" w:after="240"/>
        <w:ind w:left="0" w:right="0" w:firstLine="720"/>
        <w:jc w:val="both"/>
        <w:rPr>
          <w:rFonts w:ascii="Times New Roman;Times;serif" w:hAnsi="Times New Roman;Times;serif"/>
          <w:i/>
          <w:sz w:val="20"/>
        </w:rPr>
      </w:pPr>
      <w:r>
        <w:rPr>
          <w:rFonts w:ascii="Times New Roman;Times;serif" w:hAnsi="Times New Roman;Times;serif"/>
          <w:i/>
          <w:sz w:val="20"/>
        </w:rPr>
        <w:t>Forward-looking statements involve substantial risks and uncertainties that could cause actual results to differ materially from those projected in any forward-looking statement. Such risks and uncertainties include, among others: the continued impacts of the COVID-19 pandemic (including the emergence of variant strains) on our business, including our clinical trials, third parties on which we rely and our operations; positive results in preclinical studies may not be predictive of the results of clinical trials; our limited operating history and no products approved for commercial sale; our history of significant losses; our need to obtain additional financing; risks related to clinical development, marketing approval and commercialization; the unproven approach to the discovery and development of product candidates based on our FIND-IO platform; and dependence on key personnel. More detailed information on these and additional factors that could affect our actual results are described under the heading “Risk Factors” in our 2022 Annual Report and in our other filings with the Securities and Exchange Commission (“SEC”). You should not place undue reliance on any forward-looking statements. Forward-looking statements speak only as of the date of this report, and we assume no obligation to update any forward-looking statements, even if expectations change.</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Overview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clinical-stage biopharmaceutical company committed to discovering and developing novel, first-in-class immunomedicines to treat cancer and other immune-related diseases by restoring normal immune function. We view the immune system holistically and, rather than target one specific immune cell type, we focus on understanding biological pathways, the interactions of cells and the role each interaction plays in an immune response. Through our proprietary Functional, Integrated, NextCure Discovery in Immuno-Oncology, or “FIND-IO”, platform, we study various immune cells to discover and understand targets and structural components of immune cells and their functional impact in order to develop immunomedicines. We are focused on patients who do not respond to current therapies, patients whose cancer progresses despite treatment and patients with cancer types not adequately addressed by available therapies. We are committed to discovering and developing first-in-class immunomedicines, which are immunomedicines that use new or unique mechanisms of action to treat a medical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product candidate NC410 is a fusion protein of LAIR-2, a naturally occurring soluble version of and decoy protein for LAIR-1 and is designed to block immune suppression mediated by LAIR-1.  In June 2020, we initiated a Phase 1/2 clinical trial of NC410 in patients with advanced or metastatic solid tumors. The Phase 1 dose-escalation portion of this open-label trial was designed to evaluate the safety and tolerability of NC410 and determine its pharmacologically active and/or maximum tolerated dose. In October 2022, we announced the initiation of a Phase 1b/2 clinical trial to evaluate NC410 in combination with KEYTRUDA® (pembrolizumab), Merck’s anti-PD-1 therapy, in immune checkpoint refractory patients (colorectal, esophageal, endometrial and head and neck cancers) or immune checkpoint naïve solid tumor patients (colorectal and ovarian cancers).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candidate NC762 is a monoclonal antibody that binds specifically to human B7 homolog 4 protein, or “B7-H4”, a protein expressed on multiple tumor types. In July 2021, we initiated a Phase 1/2 clinical trial of NC762 in patients with lung cancer, breast cancer, ovarian cancer or potentially other tumor types. The Phase 1 dose-escalation portion of this open-label trial was designed to evaluate the safety and tolerability of NC762 and determine its pharmacologically active and/or maximum tolerated dose. In November 2022, we announced initial data from the Phase 1 portion of this trial which indicate that NC762 appears to be well tolerated. Safety expansion studies are ongoing with the intent of selecting a recommended Phase 2 dose.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product candidate NC525 (LAIR-1 mAb) is a novel LAIR-1 antibody that selectively targets Acute Myeloid Leukemia, or “AML”, blast cells and leukemic stem cells, or “LSCs”. Preclinical data show that NC525 kills AML blast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cells and LSCs while sparing hematopoietic stem and progenitor cells, or “HSPCs”. In February 2023 we initiated a Phase 1 trial for NC525 to evaluate the safety and preliminary efficacy of NC525 in AML, high-risk myelodysplastic syndrome, and chronic myelomonocytic leukemia (CMML).  </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Financial Overview</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Since commencing operations in 2015, we have devoted substantially all our efforts and financial resources to organizing and staffing our company, identifying business development opportunities, raising capital, securing intellectual property rights related to our product candidates, building and optimizing our manufacturing capabilities, and conducting discovery, research and development activities for our product candidates, discovery programs and FIND-IO platform.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 date, we have not generated any revenue from product sales and have financed our operations primarily through proceeds from public offerings of our common stock, with private placements of our preferred stock and with upfront fees received under our former research and development collaboration agreement. Since inception through March 31, 2023, we raised approximately $423 million in gross proceeds from the sale of equity instruments and had received a $25 million upfront payment from our former collaboration partner.  Our net loss for the three months ended March 31, 2023 and 2022, was $16.1 million and $20.6 million, respectively. As of March 31, 2023, we had an accumulated deficit of $277.9 million, primarily as a result of research and development and general and administrative expenses. We do not expect to generate product revenue unless and until we obtain marketing approval and commercialize a product candidate, and we cannot assure you that we will ever generate significant revenue or profits.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2023, we had cash, cash equivalents and marketable securities of $145.5 million. We believe that our existing cash, cash equivalents and marketable securities will be sufficient to fund our planned operations into mid-2025. We have based this estimate on assumptions that may prove to be incorrect, and we could use our available capital resources sooner than we currently expect.</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incur substantial expenditures in the foreseeable future as we advance our product candidates through clinical development, the regulatory approval process and, if approved, commercialization. Specifically, in the near term, we expect to incur substantial expenses relating to our Phase 1b/2 clinical trial of NC410 in combination with pembrolizumab, our ongoing Phase 1/2 clinical trial for NC762, our ongoing Phase 1 clinical trial for NC525, and other research and development activities. We expect to continue to incur significantly increased costs as a result of operating as a public company, including significant legal, accounting, investor relations and other expenses that we did not incur as a private company.</w:t>
      </w:r>
    </w:p>
    <w:p>
      <w:pPr>
        <w:pStyle w:val="TextBody"/>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substantial additional funding to support our continuing operations and to pursue our development strategy. Until such time as we can generate significant revenue from sales of our product candidates, if ever, we expect to finance our operations through a combination of public and private equity offerings, debt financings, marketing and distribution arrangements, other collaborations, strategic alliances and licensing arrangements. Adequate funding may not be available to us on acceptable terms, or at all. If we fail to raise capital or enter into such agreements as and when needed, we may be required to delay, limit, reduce or terminate preclinical studies, clinical trials, or other research and development activities or one or more of our development programs.</w:t>
      </w:r>
    </w:p>
    <w:p>
      <w:pPr>
        <w:pStyle w:val="TextBody"/>
        <w:pBdr/>
        <w:spacing w:before="0" w:after="0"/>
        <w:ind w:left="0" w:right="0" w:hanging="0"/>
        <w:jc w:val="both"/>
        <w:rPr>
          <w:rFonts w:ascii="Times New Roman;Times;serif" w:hAnsi="Times New Roman;Times;serif"/>
          <w:b/>
          <w:i/>
          <w:sz w:val="20"/>
        </w:rPr>
      </w:pPr>
      <w:r>
        <w:rPr>
          <w:rFonts w:ascii="Times New Roman;Times;serif" w:hAnsi="Times New Roman;Times;serif"/>
          <w:b/>
          <w:i/>
          <w:sz w:val="20"/>
        </w:rPr>
        <w:t>Components of Our Results of Operations</w:t>
      </w:r>
    </w:p>
    <w:p>
      <w:pPr>
        <w:pStyle w:val="TextBody"/>
        <w:shd w:fill="FFFFFF" w:val="clear"/>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Operating Expenses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clinical trials, discovery efforts, research activities, and development and testing of our product candidates:</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under agreements with third parties, including agreements with third parties that conduct research, preclinical activities or clinical trials on our behalf, such as our license agreement with Yale University;</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8961" w:type="dxa"/>
        <w:jc w:val="left"/>
        <w:tblInd w:w="0" w:type="dxa"/>
        <w:tblCellMar>
          <w:top w:w="28" w:type="dxa"/>
          <w:left w:w="28" w:type="dxa"/>
          <w:bottom w:w="28" w:type="dxa"/>
          <w:right w:w="28" w:type="dxa"/>
        </w:tblCellMar>
      </w:tblPr>
      <w:tblGrid>
        <w:gridCol w:w="124"/>
        <w:gridCol w:w="256"/>
        <w:gridCol w:w="85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5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outside consultants, including their fees, stock-based compensation and related travel expenses;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costs of laboratory supplies and acquiring, developing and manufacturing preclinical study and clinical trial materials; </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salaries, benefits and other related costs, including stock-based compensation, for personnel engaged in research and development functions;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facility-related expenses, which include direct depreciation costs and allocated expenses for rent and maintenance of facilities and other operating costs.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expense research and development costs as incurred. Our expenses related to clinical trials are based on actual costs incurred and estimates of other incurred costs. These estimated costs are based on several factors, including patient enrollment and related expenses at clinical investigator sites, contract services received, consulting agreement costs and efforts expended under contracts with research institutions and third-party contract research organizations that conduct and manage clinical trials on our behalf. We generally accrue estimated costs related to clinical trials based on contracted amounts applied to the level of patient enrollment and other activity according to the protocol. If future timelines or contracts are modified based on changes in the clinical trial protocol or scope of work to be performed, we would modify our estimates of accrued expenses accordingly on a prospective basis. Historically, any such modifications have not been material.</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activities are central to our business model. We expect that our research and development expenses will continue to increase substantially for the foreseeable future as we advance our product candidates through development and expand the number of trials we are conducting and the patients enrolled in those trials, as we utilize our current good manufacturing practice, or “cGMP”, manufacturing capacity, including to provide drug supply of NC410, NC762 and NC525 for future clinical trials.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determine with certainty the duration and costs of future clinical trials of NC410, NC762, NC525 or any other product candidate we may develop or if, when or to what extent we will generate revenue from the commercialization and sale of any product candidate for which we may obtain marketing approval. We may never succeed in obtaining marketing approval for any product candidate. The duration, costs and timing of clinical trials and development of NC410, NC762, NC525 and any other product candidate we may develop will depend on a variety of factors, including:</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progress, results and costs of clinical trials of NC410, NC762 and NC525, as well as of any future clinical trials of other product candidates and other research and development activities that we may conduct;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COVID-19 pandemic, including delays and slowdowns as a result of strain on our clinical trial sites and concerns about patient safety;</w:t>
            </w:r>
          </w:p>
        </w:tc>
      </w:tr>
    </w:tbl>
    <w:tbl>
      <w:tblPr>
        <w:tblW w:w="7776" w:type="dxa"/>
        <w:jc w:val="left"/>
        <w:tblInd w:w="0" w:type="dxa"/>
        <w:tblCellMar>
          <w:top w:w="28" w:type="dxa"/>
          <w:left w:w="28" w:type="dxa"/>
          <w:bottom w:w="28" w:type="dxa"/>
          <w:right w:w="28" w:type="dxa"/>
        </w:tblCellMar>
      </w:tblPr>
      <w:tblGrid>
        <w:gridCol w:w="124"/>
        <w:gridCol w:w="256"/>
        <w:gridCol w:w="73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3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in selection of indications, clinical trial design and patient enrollment rates;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probability of success for our product candidates, including safety and efficacy, early clinical data, competition, ease and ability of manufacturing and commercial viability;</w:t>
            </w:r>
          </w:p>
        </w:tc>
      </w:tr>
    </w:tbl>
    <w:tbl>
      <w:tblPr>
        <w:tblW w:w="6546" w:type="dxa"/>
        <w:jc w:val="left"/>
        <w:tblInd w:w="0" w:type="dxa"/>
        <w:tblCellMar>
          <w:top w:w="28" w:type="dxa"/>
          <w:left w:w="28" w:type="dxa"/>
          <w:bottom w:w="28" w:type="dxa"/>
          <w:right w:w="28" w:type="dxa"/>
        </w:tblCellMar>
      </w:tblPr>
      <w:tblGrid>
        <w:gridCol w:w="124"/>
        <w:gridCol w:w="256"/>
        <w:gridCol w:w="61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1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and changing government regulation and regulatory guidance;</w:t>
            </w:r>
          </w:p>
        </w:tc>
      </w:tr>
    </w:tbl>
    <w:tbl>
      <w:tblPr>
        <w:tblW w:w="6306" w:type="dxa"/>
        <w:jc w:val="left"/>
        <w:tblInd w:w="0" w:type="dxa"/>
        <w:tblCellMar>
          <w:top w:w="28" w:type="dxa"/>
          <w:left w:w="28" w:type="dxa"/>
          <w:bottom w:w="28" w:type="dxa"/>
          <w:right w:w="28" w:type="dxa"/>
        </w:tblCellMar>
      </w:tblPr>
      <w:tblGrid>
        <w:gridCol w:w="124"/>
        <w:gridCol w:w="256"/>
        <w:gridCol w:w="592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9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receipt of any development or marketing approvals; and</w:t>
            </w:r>
          </w:p>
        </w:tc>
      </w:tr>
    </w:tbl>
    <w:tbl>
      <w:tblPr>
        <w:tblW w:w="9876" w:type="dxa"/>
        <w:jc w:val="left"/>
        <w:tblInd w:w="0" w:type="dxa"/>
        <w:tblCellMar>
          <w:top w:w="28" w:type="dxa"/>
          <w:left w:w="28" w:type="dxa"/>
          <w:bottom w:w="28" w:type="dxa"/>
          <w:right w:w="28" w:type="dxa"/>
        </w:tblCellMar>
      </w:tblPr>
      <w:tblGrid>
        <w:gridCol w:w="124"/>
        <w:gridCol w:w="256"/>
        <w:gridCol w:w="94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expense of filing, prosecuting, defending and enforcing any patent claims and other intellectual property rights.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firstLine="720"/>
        <w:jc w:val="both"/>
        <w:rPr>
          <w:rFonts w:ascii="Times New Roman;Times;serif" w:hAnsi="Times New Roman;Times;serif"/>
          <w:sz w:val="20"/>
        </w:rPr>
      </w:pPr>
      <w:r>
        <w:rPr>
          <w:rFonts w:ascii="Times New Roman;Times;serif" w:hAnsi="Times New Roman;Times;serif"/>
          <w:sz w:val="20"/>
        </w:rPr>
        <w:t>A change in the outcome of any of these variables with respect to the development of a product candidate could lead to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to complete clinical development for any such product candidate.</w:t>
      </w:r>
    </w:p>
    <w:p>
      <w:pPr>
        <w:pStyle w:val="TextBody"/>
        <w:pBdr/>
        <w:shd w:fill="FFFFFF" w:val="clear"/>
        <w:spacing w:before="0" w:after="0"/>
        <w:ind w:left="0" w:right="0" w:hanging="0"/>
        <w:jc w:val="both"/>
        <w:rPr>
          <w:rFonts w:ascii="Times New Roman;Times;serif" w:hAnsi="Times New Roman;Times;serif"/>
          <w:b w:val="false"/>
          <w:i/>
          <w:color w:val="212529"/>
          <w:sz w:val="20"/>
        </w:rPr>
      </w:pPr>
      <w:r>
        <w:rPr>
          <w:rFonts w:ascii="Times New Roman;Times;serif" w:hAnsi="Times New Roman;Times;serif"/>
          <w:b w:val="false"/>
          <w:i/>
          <w:color w:val="212529"/>
          <w:sz w:val="20"/>
        </w:rPr>
        <w:t>General and Administrative Expenses</w:t>
      </w:r>
    </w:p>
    <w:p>
      <w:pPr>
        <w:pStyle w:val="TextBody"/>
        <w:pBdr/>
        <w:shd w:fill="FFFFFF" w:val="clear"/>
        <w:spacing w:before="0" w:after="0"/>
        <w:ind w:left="0" w:right="0" w:firstLine="720"/>
        <w:jc w:val="both"/>
        <w:rPr>
          <w:rFonts w:ascii="Times New Roman;Times;serif" w:hAnsi="Times New Roman;Times;serif"/>
          <w:b w:val="false"/>
          <w:color w:val="000000"/>
          <w:sz w:val="20"/>
        </w:rPr>
      </w:pPr>
      <w:r>
        <w:rPr>
          <w:rFonts w:ascii="Times New Roman;Times;serif" w:hAnsi="Times New Roman;Times;serif"/>
          <w:b w:val="false"/>
          <w:color w:val="000000"/>
          <w:sz w:val="20"/>
        </w:rPr>
        <w:t>General and administrative expenses consist primarily of personnel related costs, including payroll and stock based compensation, for personnel in executive, finance, human resources, business and corporate development and other administrative functions, professional fees for legal, intellectual property, consulting and accounting services, rent and other facility related costs, depreciation and other general operating expenses not otherwise classified as research and development expenses. General and administrative expenses also include all patent related costs incurred in connection with filing and prosecuting patent applications, which are expensed as incurred.</w:t>
      </w:r>
    </w:p>
    <w:p>
      <w:pPr>
        <w:pStyle w:val="TextBody"/>
        <w:pBdr/>
        <w:shd w:fill="FFFFFF" w:val="clear"/>
        <w:spacing w:before="0" w:after="0"/>
        <w:ind w:left="0" w:right="0" w:firstLine="720"/>
        <w:jc w:val="both"/>
        <w:rPr>
          <w:rFonts w:ascii="Times New Roman;Times;serif" w:hAnsi="Times New Roman;Times;serif"/>
          <w:b w:val="false"/>
          <w:color w:val="000000"/>
          <w:sz w:val="20"/>
        </w:rPr>
      </w:pPr>
      <w:r>
        <w:rPr>
          <w:rFonts w:ascii="Times New Roman;Times;serif" w:hAnsi="Times New Roman;Times;serif"/>
          <w:b w:val="false"/>
          <w:color w:val="000000"/>
          <w:sz w:val="20"/>
        </w:rPr>
        <w:t>We anticipate that our general and administrative expenses will increase during the next few years as a result of staff expansion, additional occupancy costs, higher legal and accounting fees, investor relations costs, higher insurance premiums and other compliance costs.</w:t>
      </w:r>
    </w:p>
    <w:p>
      <w:pPr>
        <w:pStyle w:val="TextBody"/>
        <w:shd w:fill="FFFFFF" w:val="clear"/>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Other Income, Net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consists primarily of interest income earned on marketable securities.</w:t>
      </w:r>
    </w:p>
    <w:p>
      <w:pPr>
        <w:pStyle w:val="TextBody"/>
        <w:pBdr/>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Results of Operations</w:t>
      </w:r>
    </w:p>
    <w:p>
      <w:pPr>
        <w:pStyle w:val="TextBody"/>
        <w:shd w:fill="FFFFFF" w:val="clear"/>
        <w:spacing w:before="0" w:after="120"/>
        <w:ind w:left="0" w:right="0" w:hanging="0"/>
        <w:jc w:val="both"/>
        <w:rPr>
          <w:rFonts w:ascii="Times New Roman;Times;serif" w:hAnsi="Times New Roman;Times;serif"/>
          <w:b/>
          <w:color w:val="212529"/>
          <w:sz w:val="20"/>
        </w:rPr>
      </w:pPr>
      <w:r>
        <w:rPr>
          <w:rFonts w:ascii="Times New Roman;Times;serif" w:hAnsi="Times New Roman;Times;serif"/>
          <w:b/>
          <w:color w:val="212529"/>
          <w:sz w:val="20"/>
        </w:rPr>
        <w:t>Comparison of the Three Months Ended March 31, 2023 and 2022</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results of operations for the periods indicated (in thousands):</w:t>
      </w:r>
    </w:p>
    <w:p>
      <w:pPr>
        <w:pStyle w:val="TextBody"/>
        <w:spacing w:before="0" w:after="240"/>
        <w:ind w:left="0" w:right="0" w:firstLine="720"/>
        <w:jc w:val="both"/>
        <w:rPr/>
      </w:pPr>
      <w:r>
        <w:rPr/>
        <w:t>​</w:t>
      </w:r>
    </w:p>
    <w:tbl>
      <w:tblPr>
        <w:tblW w:w="6250" w:type="dxa"/>
        <w:jc w:val="left"/>
        <w:tblInd w:w="0" w:type="dxa"/>
        <w:tblCellMar>
          <w:top w:w="0" w:type="dxa"/>
          <w:left w:w="0" w:type="dxa"/>
          <w:bottom w:w="0" w:type="dxa"/>
          <w:right w:w="0" w:type="dxa"/>
        </w:tblCellMar>
      </w:tblPr>
      <w:tblGrid>
        <w:gridCol w:w="2311"/>
        <w:gridCol w:w="326"/>
        <w:gridCol w:w="211"/>
        <w:gridCol w:w="796"/>
        <w:gridCol w:w="326"/>
        <w:gridCol w:w="211"/>
        <w:gridCol w:w="796"/>
        <w:gridCol w:w="326"/>
        <w:gridCol w:w="211"/>
        <w:gridCol w:w="736"/>
      </w:tblGrid>
      <w:tr>
        <w:trPr/>
        <w:tc>
          <w:tcPr>
            <w:tcW w:w="23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67485" cy="175260"/>
                      <wp:effectExtent l="0" t="0" r="0" b="0"/>
                      <wp:wrapNone/>
                      <wp:docPr id="130" name="Frame130"/>
                      <a:graphic xmlns:a="http://schemas.openxmlformats.org/drawingml/2006/main">
                        <a:graphicData uri="http://schemas.microsoft.com/office/word/2010/wordprocessingShape">
                          <wps:wsp>
                            <wps:cNvSpPr txBox="1"/>
                            <wps:spPr>
                              <a:xfrm>
                                <a:off x="0" y="0"/>
                                <a:ext cx="1467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505460" cy="175260"/>
                      <wp:effectExtent l="0" t="0" r="0" b="0"/>
                      <wp:wrapNone/>
                      <wp:docPr id="133" name="Frame13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505460" cy="175260"/>
                      <wp:effectExtent l="0" t="0" r="0" b="0"/>
                      <wp:wrapNone/>
                      <wp:docPr id="136" name="Frame136"/>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33985" cy="175260"/>
                      <wp:effectExtent l="0" t="0" r="0" b="0"/>
                      <wp:wrapNone/>
                      <wp:docPr id="138" name="Frame13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67360" cy="175260"/>
                      <wp:effectExtent l="0" t="0" r="0" b="0"/>
                      <wp:wrapNone/>
                      <wp:docPr id="139" name="Frame13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4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4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23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pPr>
            <w:r>
              <w:rPr/>
              <w:t>  </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5,424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5,747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(17,071)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(20,771)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r>
      <w:tr>
        <w:trPr/>
        <w:tc>
          <w:tcPr>
            <w:tcW w:w="23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806</w:t>
            </w:r>
          </w:p>
        </w:tc>
      </w:tr>
      <w:tr>
        <w:trPr/>
        <w:tc>
          <w:tcPr>
            <w:tcW w:w="23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(16,096)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(20,602)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4,506</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summarizes our research and development expenses by product candidate for the periods indicated (in thousands):</w:t>
      </w:r>
    </w:p>
    <w:tbl>
      <w:tblPr>
        <w:tblW w:w="7915" w:type="dxa"/>
        <w:jc w:val="left"/>
        <w:tblInd w:w="0" w:type="dxa"/>
        <w:tblCellMar>
          <w:top w:w="0" w:type="dxa"/>
          <w:left w:w="0" w:type="dxa"/>
          <w:bottom w:w="0" w:type="dxa"/>
          <w:right w:w="0" w:type="dxa"/>
        </w:tblCellMar>
      </w:tblPr>
      <w:tblGrid>
        <w:gridCol w:w="4216"/>
        <w:gridCol w:w="326"/>
        <w:gridCol w:w="211"/>
        <w:gridCol w:w="676"/>
        <w:gridCol w:w="326"/>
        <w:gridCol w:w="211"/>
        <w:gridCol w:w="676"/>
        <w:gridCol w:w="326"/>
        <w:gridCol w:w="211"/>
        <w:gridCol w:w="736"/>
      </w:tblGrid>
      <w:tr>
        <w:trPr/>
        <w:tc>
          <w:tcPr>
            <w:tcW w:w="42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677160" cy="175260"/>
                      <wp:effectExtent l="0" t="0" r="0" b="0"/>
                      <wp:wrapNone/>
                      <wp:docPr id="140" name="Frame140"/>
                      <a:graphic xmlns:a="http://schemas.openxmlformats.org/drawingml/2006/main">
                        <a:graphicData uri="http://schemas.microsoft.com/office/word/2010/wordprocessingShape">
                          <wps:wsp>
                            <wps:cNvSpPr txBox="1"/>
                            <wps:spPr>
                              <a:xfrm>
                                <a:off x="0" y="0"/>
                                <a:ext cx="26771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429260" cy="175260"/>
                      <wp:effectExtent l="0" t="0" r="0" b="0"/>
                      <wp:wrapNone/>
                      <wp:docPr id="143" name="Frame14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29260" cy="175260"/>
                      <wp:effectExtent l="0" t="0" r="0" b="0"/>
                      <wp:wrapNone/>
                      <wp:docPr id="146" name="Frame146"/>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467360" cy="175260"/>
                      <wp:effectExtent l="0" t="0" r="0" b="0"/>
                      <wp:wrapNone/>
                      <wp:docPr id="149" name="Frame149"/>
                      <a:graphic xmlns:a="http://schemas.openxmlformats.org/drawingml/2006/main">
                        <a:graphicData uri="http://schemas.microsoft.com/office/word/2010/wordprocessingShape">
                          <wps:wsp>
                            <wps:cNvSpPr txBox="1"/>
                            <wps:spPr>
                              <a:xfrm>
                                <a:off x="0" y="0"/>
                                <a:ext cx="467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42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0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jc w:val="center"/>
              <w:rPr/>
            </w:pPr>
            <w:r>
              <w:rPr/>
              <w:t>​</w:t>
            </w:r>
          </w:p>
        </w:tc>
        <w:tc>
          <w:tcPr>
            <w:tcW w:w="736" w:type="dxa"/>
            <w:tcBorders/>
            <w:shd w:fill="auto" w:val="clear"/>
            <w:vAlign w:val="center"/>
          </w:tcPr>
          <w:p>
            <w:pPr>
              <w:pStyle w:val="TableContents"/>
              <w:spacing w:before="0" w:after="0"/>
              <w:ind w:left="0" w:right="0" w:hanging="0"/>
              <w:jc w:val="center"/>
              <w:rPr/>
            </w:pPr>
            <w:r>
              <w:rPr/>
              <w:t>​</w:t>
            </w:r>
          </w:p>
        </w:tc>
      </w:tr>
      <w:tr>
        <w:trPr/>
        <w:tc>
          <w:tcPr>
            <w:tcW w:w="421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(in thousands)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0"/>
              <w:ind w:left="0" w:right="0" w:hanging="0"/>
              <w:rPr/>
            </w:pPr>
            <w:r>
              <w:rPr/>
              <w:t>    </w:t>
            </w:r>
          </w:p>
        </w:tc>
        <w:tc>
          <w:tcPr>
            <w:tcW w:w="9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External research and development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676" w:type="dxa"/>
            <w:tcBorders/>
            <w:shd w:fill="CCEEFF" w:val="clear"/>
            <w:vAlign w:val="center"/>
          </w:tcPr>
          <w:p>
            <w:pPr>
              <w:pStyle w:val="TableContents"/>
              <w:spacing w:before="0" w:after="0"/>
              <w:ind w:left="0" w:right="0" w:hanging="0"/>
              <w:jc w:val="center"/>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jc w:val="center"/>
              <w:rPr/>
            </w:pPr>
            <w:r>
              <w:rPr/>
              <w:t>​</w:t>
            </w:r>
          </w:p>
        </w:tc>
        <w:tc>
          <w:tcPr>
            <w:tcW w:w="736" w:type="dxa"/>
            <w:tcBorders/>
            <w:shd w:fill="CCEEFF" w:val="clear"/>
            <w:vAlign w:val="center"/>
          </w:tcPr>
          <w:p>
            <w:pPr>
              <w:pStyle w:val="TableContents"/>
              <w:spacing w:before="0" w:after="0"/>
              <w:ind w:left="0" w:right="0" w:hanging="0"/>
              <w:jc w:val="center"/>
              <w:rPr/>
            </w:pPr>
            <w:r>
              <w:rPr/>
              <w:t>​</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NC410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1,772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NC762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NC525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(1,138)</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programs and preclinical development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4,826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(1,983)</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external research and development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(3,677)</w:t>
            </w:r>
          </w:p>
        </w:tc>
      </w:tr>
      <w:tr>
        <w:trPr/>
        <w:tc>
          <w:tcPr>
            <w:tcW w:w="42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Total internal research and development expenses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r>
      <w:tr>
        <w:trPr/>
        <w:tc>
          <w:tcPr>
            <w:tcW w:w="42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research and development expenses</w:t>
            </w:r>
          </w:p>
        </w:tc>
        <w:tc>
          <w:tcPr>
            <w:tcW w:w="326" w:type="dxa"/>
            <w:tcBorders/>
            <w:shd w:fill="auto" w:val="clear"/>
            <w:vAlign w:val="center"/>
          </w:tcPr>
          <w:p>
            <w:pPr>
              <w:pStyle w:val="TableContents"/>
              <w:spacing w:before="0" w:after="0"/>
              <w:ind w:left="0" w:right="0" w:hanging="0"/>
              <w:rPr/>
            </w:pPr>
            <w:r>
              <w:rPr/>
              <w:t> </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11,647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(3,377)</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We do not allocate personnel-related costs, including stock-based compensation costs, or other indirect costs to specific programs, as they are deployed across multiple projects under development and discovery and, as such, are separately classified as internal research and development expenses in the table above.</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Research and development expenses for the three months ended March 31, 2023 decreased $3.4 million, or 22.5% compared to the three months ended March 31, 2022, as lower external research and development expenses were partially offset by higher internal research and development expenses, primarily higher personnel costs. The lower external research and development costs were largely attributable to the decision to discontinue clinical development of NC318 announced in the fourth quarter of 2022 and lower costs associated with NC525, as this program initiated a phase 1 trial in February 2023.</w:t>
      </w:r>
    </w:p>
    <w:p>
      <w:pPr>
        <w:pStyle w:val="TextBody"/>
        <w:spacing w:before="0" w:after="240"/>
        <w:ind w:left="0" w:right="0" w:hanging="0"/>
        <w:jc w:val="both"/>
        <w:rPr>
          <w:rFonts w:ascii="Times New Roman;Times;serif" w:hAnsi="Times New Roman;Times;serif"/>
          <w:i/>
          <w:sz w:val="20"/>
          <w:highlight w:val="white"/>
        </w:rPr>
      </w:pPr>
      <w:r>
        <w:rPr>
          <w:rFonts w:ascii="Times New Roman;Times;serif" w:hAnsi="Times New Roman;Times;serif"/>
          <w:i/>
          <w:sz w:val="20"/>
          <w:highlight w:val="white"/>
        </w:rPr>
        <w:t>General and Administrative Expenses</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General and administrative expenses for the three months ended March 31, 2023 decreased by $0.3 million compared to the three months ended March 31, 2022. The decrease was primarily due to lower stock compensation expense and lower professional services expenses.</w:t>
      </w:r>
    </w:p>
    <w:p>
      <w:pPr>
        <w:pStyle w:val="TextBody"/>
        <w:spacing w:before="0" w:after="240"/>
        <w:ind w:left="0" w:right="0" w:hanging="0"/>
        <w:jc w:val="both"/>
        <w:rPr>
          <w:rFonts w:ascii="Times New Roman;Times;serif" w:hAnsi="Times New Roman;Times;serif"/>
          <w:i/>
          <w:sz w:val="20"/>
          <w:highlight w:val="white"/>
        </w:rPr>
      </w:pPr>
      <w:r>
        <w:rPr>
          <w:rFonts w:ascii="Times New Roman;Times;serif" w:hAnsi="Times New Roman;Times;serif"/>
          <w:i/>
          <w:sz w:val="20"/>
          <w:highlight w:val="white"/>
        </w:rPr>
        <w:t>Other Income, Net</w:t>
      </w:r>
    </w:p>
    <w:p>
      <w:pPr>
        <w:pStyle w:val="TextBody"/>
        <w:spacing w:before="0" w:after="240"/>
        <w:ind w:left="0" w:right="0" w:firstLine="720"/>
        <w:jc w:val="both"/>
        <w:rPr>
          <w:rFonts w:ascii="Times New Roman;Times;serif" w:hAnsi="Times New Roman;Times;serif"/>
          <w:sz w:val="20"/>
          <w:highlight w:val="white"/>
        </w:rPr>
      </w:pPr>
      <w:r>
        <w:rPr>
          <w:rFonts w:ascii="Times New Roman;Times;serif" w:hAnsi="Times New Roman;Times;serif"/>
          <w:sz w:val="20"/>
          <w:highlight w:val="white"/>
        </w:rPr>
        <w:t>Other income, net for the three months ended March 31, 2023 increased by $0.8 million compared to the three months ended March 31, 2022, due to higher interest income as a result of higher interest rates on our investments.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Liquidity and Capital Resources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financed our operations primarily with proceeds from public offerings of our common stock, private placements of our preferred stock and upfront fees received under the the Company’s former agreement with Eli Lilly and Company, which was terminated in March 2020 (the “Lilly Agreement”). On May 13, 2019, we closed our IPO, in which we sold 5,750,000 shares of common stock at a public offering price of $15.00 per share, for net offering proceeds to us of approximately $77.0 million after deducting underwriting discounts and commissions and offering expenses. On November 19, 2019, we completed an underwritten public offering in which we sold 4,077,192 shares of common stock at a public offering price of $36.75 per share. On December 2, 2019, the underwriters exercised in full their option to purchase an additional 611,578 shares of common stock at a public offering price of $36.75. Net offering proceeds to us were approximately $160.9 million after deducting underwriting discounts and commissions and offering expenses. Since inception, we have received aggregate gross proceeds of $164.4 million from the sale and issuance of shares of our preferred stock. In addition, in November 2018, we received an upfront payment of $25.0 million in cash from Lilly pursuant to the Lilly Agreement. Our cash and cash equivalents are held in money market funds.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May 6, 2021, the Company entered into a sales agreement (the “Sales Agreement”) with SVB Leerink LLC (the “Agent”), pursuant to which the Company may sell, from time to time, up to an aggregate sales price of $75 million of its common stock through the Agent in negotiated transactions that are deemed to be an “at the market offering.” The Agent will be entitled to compensation equal to 3.0% of the gross proceeds from the sale of all shares of common stock sold through it as Agent under the Sales Agreement. Actual sales will depend on a variety of factors to be determined by the Company from time to time, including, among other things, market conditions, the trading price of the common stock, capital needs and determinations by the Company of the appropriate sources of funding for the Company. We have not yet sold any shares of our common stock pursuant to the Sales Agreement.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of March 31, 2023, we had cash, cash equivalents and marketable securities of $145.5 million. We believe that our existing cash, cash equivalents and marketable securities will be sufficient to fund our planned operations into mid-2025.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will continue to require additional capital to develop our product candidates and fund operations for the foreseeable future. We may seek to raise capital through sale of equity, debt financings, strategic alliances and licensing arrangements. Adequate additional funding may not be available to us on acceptable terms or at all. If we fail to raise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capital or enter into such arrangements as and when needed, we may have to significantly delay, scale back or discontinue the development of our product candidates or delay our efforts to expand our pipeline of product candidates.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Cash Flows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primary sources and uses of cash and cash equivalents for each of the periods presented below (in thousands):</w:t>
      </w:r>
    </w:p>
    <w:p>
      <w:pPr>
        <w:pStyle w:val="TextBody"/>
        <w:spacing w:before="0" w:after="240"/>
        <w:ind w:left="0" w:right="0" w:firstLine="720"/>
        <w:jc w:val="both"/>
        <w:rPr/>
      </w:pPr>
      <w:r>
        <w:rPr/>
        <w:t>​</w:t>
      </w:r>
    </w:p>
    <w:tbl>
      <w:tblPr>
        <w:tblW w:w="7032" w:type="dxa"/>
        <w:jc w:val="left"/>
        <w:tblInd w:w="0" w:type="dxa"/>
        <w:tblCellMar>
          <w:top w:w="0" w:type="dxa"/>
          <w:left w:w="0" w:type="dxa"/>
          <w:bottom w:w="0" w:type="dxa"/>
          <w:right w:w="0" w:type="dxa"/>
        </w:tblCellMar>
      </w:tblPr>
      <w:tblGrid>
        <w:gridCol w:w="4321"/>
        <w:gridCol w:w="326"/>
        <w:gridCol w:w="211"/>
        <w:gridCol w:w="796"/>
        <w:gridCol w:w="326"/>
        <w:gridCol w:w="211"/>
        <w:gridCol w:w="841"/>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743835" cy="175260"/>
                      <wp:effectExtent l="0" t="0" r="0" b="0"/>
                      <wp:wrapNone/>
                      <wp:docPr id="150" name="Frame150"/>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05460" cy="175260"/>
                      <wp:effectExtent l="0" t="0" r="0" b="0"/>
                      <wp:wrapNone/>
                      <wp:docPr id="153" name="Frame153"/>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33985" cy="175260"/>
                      <wp:effectExtent l="0" t="0" r="0" b="0"/>
                      <wp:wrapNone/>
                      <wp:docPr id="155" name="Frame1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534035" cy="175260"/>
                      <wp:effectExtent l="0" t="0" r="0" b="0"/>
                      <wp:wrapNone/>
                      <wp:docPr id="156" name="Frame156"/>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8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r>
      <w:tr>
        <w:trPr/>
        <w:tc>
          <w:tcPr>
            <w:tcW w:w="4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(used in) provided by:</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796" w:type="dxa"/>
            <w:tcBorders/>
            <w:shd w:fill="CCEEFF" w:val="clear"/>
            <w:vAlign w:val="center"/>
          </w:tcPr>
          <w:p>
            <w:pPr>
              <w:pStyle w:val="TableContents"/>
              <w:spacing w:before="0" w:after="0"/>
              <w:ind w:left="0" w:right="0" w:hanging="0"/>
              <w:jc w:val="right"/>
              <w:rPr/>
            </w:pPr>
            <w:r>
              <w:rPr/>
              <w:t>  </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pPr>
            <w:r>
              <w:rPr/>
              <w:t>​</w:t>
            </w:r>
          </w:p>
        </w:tc>
        <w:tc>
          <w:tcPr>
            <w:tcW w:w="841" w:type="dxa"/>
            <w:tcBorders/>
            <w:shd w:fill="CCEEFF" w:val="clear"/>
            <w:vAlign w:val="center"/>
          </w:tcPr>
          <w:p>
            <w:pPr>
              <w:pStyle w:val="TableContents"/>
              <w:spacing w:before="0" w:after="0"/>
              <w:ind w:left="0" w:right="0" w:hanging="0"/>
              <w:jc w:val="right"/>
              <w:rPr/>
            </w:pPr>
            <w:r>
              <w:rPr/>
              <w:t>  </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(14,779)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(15,447)</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18,122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13,702</w:t>
            </w:r>
          </w:p>
        </w:tc>
      </w:tr>
      <w:tr>
        <w:trPr/>
        <w:tc>
          <w:tcPr>
            <w:tcW w:w="432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r>
      <w:tr>
        <w:trPr/>
        <w:tc>
          <w:tcPr>
            <w:tcW w:w="432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increase (decrease) in 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3,343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(1,685)</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Used in Operating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$14.8 million for the three months ended March 31, 2023, which was primarily the result of our net loss of $16.1 million and a $2.0 million net use of operating assets and liabilities, partially offset by non-cash charges for depreciation and amortization of $1.0 million and stock-based compensation of $2.1 million. Net cash used in operating activities was $15.4 million for the three months ended March 31, 2022, which was primarily the result of our net loss of $20.6 million, partially offset by non-cash charges for depreciation and amortization of $1.1 million, amortization of premiums and discounts on marketable securities of $1.0 million, and stock-based compensation of $2.6 million.</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Investing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for the three months ended March 31, 2023 was $18.1 million, which was primarily due to net proceeds from sales and maturities of marketable securities of $18.4 million, partially offset by purchases of property and equipment of $0.2 million. Net cash provided by investing activities for the three months ended March 31, 2022 was $13.7 million, which was primarily due to net proceeds from sales and maturities of marketable securities of $14.0 million, partially offset by purchases of property and equipment of $0.3 million.</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Net Cash Provided by (Used in) Financing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$0 for the three months ended March 31, 2023. Net cash provided by financing activities was $60 thousand for the three months ended March 31, 2022, which was due to the exercise of stock options.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to our contractual obligations during the three months ended March 31, 2023, as compared to those disclosed in our 2022 Annual Report.</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Critical Accounting Policies, Significant Judgments and Use of Estimates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Our condensed financial statements have been prepared in accordance with U.S. generally accepted accounting principles, or “GAAP”. The preparation of our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The most significant assumptions used in the financial statements are the underlying assumptions used in revenue recognition and valuing share-based compensation, including the fair value of our common stock in periods before our IPO. Our estimates are based on our historical experience and on various other factors that we believe are reasonable under the circumstances, the results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of which form the basis for making judgments about the carrying value of assets and liabilities that are not readily apparent from other sources. We evaluate our estimates and assumptions on an ongoing basis. Actual results may differ from these estimates under different assumptions or conditions.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 months ended March 31, 2023, there were no material changes to our critical accounting policies reported in our 2022 Annual Report.</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Off-Balance Sheet Arrangements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not engaged in any off-balance sheet arrangements, as defined in the rules and regulations of the SEC.</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Note 2 to our unaudited condensed financial statements included elsewhere in this Quarterly Report for a discussion of recent accounting pronouncements that may impact our financial position and results of operations.</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Emerging Growth Company Status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an emerging growth company, or “EGC”, under the Jumpstart Our Business Startups Act of 2012, or the “JOBS Act”, we are eligible to take advantage of certain exemptions from various reporting requirements that are applicable to other public companies that are not EGCs. We have elected to take advantage of the extended transition period for adopting new or revised accounting standards that have different effective dates for public and private companies until such time as those standards apply to private companies.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699" w:name="Item3QuantitativeandQualitativeDisclosur"/>
      <w:bookmarkStart w:id="700" w:name="_d22dfd47_38fd_4981_b9de_6422eee5a3fe"/>
      <w:bookmarkEnd w:id="699"/>
      <w:bookmarkEnd w:id="700"/>
      <w:r>
        <w:rPr>
          <w:rFonts w:ascii="Times New Roman;Times;serif" w:hAnsi="Times New Roman;Times;serif"/>
          <w:b/>
          <w:sz w:val="20"/>
        </w:rPr>
        <w:t>Item 3. Quantitative and Qualitative Disclosures About Market Risk.</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“smaller reporting company” as defined by Rule 12b-2 of the Securities Exchange Act of 1934, as amended, or the “Exchange Act”, we are not required to provide the information requested by this Item. </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01" w:name="Item4ControlsandProcedures_238918"/>
      <w:bookmarkStart w:id="702" w:name="_c4ba4c8a_855d_4d9e_8c9d_b1b9cbd0e5f1"/>
      <w:bookmarkEnd w:id="701"/>
      <w:bookmarkEnd w:id="702"/>
      <w:r>
        <w:rPr>
          <w:rFonts w:ascii="Times New Roman;Times;serif" w:hAnsi="Times New Roman;Times;serif"/>
          <w:b/>
          <w:sz w:val="20"/>
        </w:rPr>
        <w:t>Item 4. Controls and Procedures.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defined in Rules 13a-15(e) and 15d-15(e) under the Exchange Act as of March 31, 2023.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March 31, 2023, our Chief Executive Officer and Chief Financial Officer concluded that, as of such date, our disclosure controls and procedures were effective at the reasonable assurance level.</w:t>
      </w:r>
    </w:p>
    <w:p>
      <w:pPr>
        <w:pStyle w:val="TextBody"/>
        <w:spacing w:before="0" w:after="200"/>
        <w:ind w:left="0" w:right="0" w:hanging="0"/>
        <w:jc w:val="both"/>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was no change in our internal control over financial reporting, as defined in Rules 13a-15(f) and 15d-15(f) under the Exchange Act, that occurred during the quarter ended March 31, 2023, that has materially affected, or is reasonably likely to materially affect, our internal control over financial reporting.</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03" w:name="PARTIIOTHERINFORMATION_389335"/>
      <w:bookmarkStart w:id="704" w:name="_2372ef2e_e78d_4cae_9f9e_b1d3f19899e4"/>
      <w:bookmarkEnd w:id="703"/>
      <w:bookmarkEnd w:id="704"/>
      <w:r>
        <w:rPr>
          <w:rFonts w:ascii="Times New Roman;Times;serif" w:hAnsi="Times New Roman;Times;serif"/>
          <w:b/>
          <w:sz w:val="20"/>
        </w:rPr>
        <w:t>PART II—OTHER INFORMATION</w:t>
      </w:r>
    </w:p>
    <w:p>
      <w:pPr>
        <w:pStyle w:val="TextBody"/>
        <w:spacing w:before="0" w:after="240"/>
        <w:ind w:left="0" w:right="0" w:hanging="0"/>
        <w:rPr>
          <w:rFonts w:ascii="Times New Roman;Times;serif" w:hAnsi="Times New Roman;Times;serif"/>
          <w:b/>
          <w:sz w:val="20"/>
        </w:rPr>
      </w:pPr>
      <w:bookmarkStart w:id="705" w:name="Item1LegalProceedings_501881"/>
      <w:bookmarkEnd w:id="705"/>
      <w:r>
        <w:rPr>
          <w:rFonts w:ascii="Times New Roman;Times;serif" w:hAnsi="Times New Roman;Times;serif"/>
          <w:b/>
          <w:sz w:val="20"/>
        </w:rPr>
        <w:t xml:space="preserve">Item 1. Legal Proceedings.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set forth under the heading “Legal Proceedings” in Note 9, Commitments and Contingencies, in Notes to Condensed Financial Statements in Item 1 of Part I of this Quarterly Report, is incorporated herein by reference. In addition, from time to time, we are involved in litigation or other legal proceedings as part of our ordinary course of business. In the opinion of our management, the ultimate disposition of these legal proceedings in the ordinary course of business is not likely to have a material adverse effect on our business.</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06" w:name="Item1ARiskFactors_504818"/>
      <w:bookmarkStart w:id="707" w:name="_6c4066af_91af_4cfe_89ec_f27fe9e6640b"/>
      <w:bookmarkEnd w:id="706"/>
      <w:bookmarkEnd w:id="707"/>
      <w:r>
        <w:rPr>
          <w:rFonts w:ascii="Times New Roman;Times;serif" w:hAnsi="Times New Roman;Times;serif"/>
          <w:b/>
          <w:sz w:val="20"/>
        </w:rPr>
        <w:t xml:space="preserve">Item 1A. Risk Factors.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material updates to the risk factors set forth in our 2022 Annual Report.</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08" w:name="Item2UnregisteredSalesofEquitySecurities"/>
      <w:bookmarkStart w:id="709" w:name="_5bc08c4f_8e5e_4103_9039_4b301e2ef728"/>
      <w:bookmarkEnd w:id="708"/>
      <w:bookmarkEnd w:id="709"/>
      <w:r>
        <w:rPr>
          <w:rFonts w:ascii="Times New Roman;Times;serif" w:hAnsi="Times New Roman;Times;serif"/>
          <w:b/>
          <w:sz w:val="20"/>
        </w:rPr>
        <w:t>Item 2. Unregistered Sales of Equity Securities and Use of Proceeds.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10" w:name="Item3DefaultsUponSeniorSecurities_191585"/>
      <w:bookmarkStart w:id="711" w:name="_9b94cc90_e853_4bfe_a32d_0a3fd3f36f85"/>
      <w:bookmarkEnd w:id="710"/>
      <w:bookmarkEnd w:id="711"/>
      <w:r>
        <w:rPr>
          <w:rFonts w:ascii="Times New Roman;Times;serif" w:hAnsi="Times New Roman;Times;serif"/>
          <w:b/>
          <w:sz w:val="20"/>
        </w:rPr>
        <w:t>Item 3. Defaults Upon Senior Securities.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12" w:name="Item4MineSafetyDisclosures_21766"/>
      <w:bookmarkStart w:id="713" w:name="_0593aaad_d543_4747_b9bb_d4a8a2688edd"/>
      <w:bookmarkEnd w:id="712"/>
      <w:bookmarkEnd w:id="713"/>
      <w:r>
        <w:rPr>
          <w:rFonts w:ascii="Times New Roman;Times;serif" w:hAnsi="Times New Roman;Times;serif"/>
          <w:b/>
          <w:sz w:val="20"/>
        </w:rPr>
        <w:t>Item 4. Mine Safety Disclosures.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714" w:name="Item5OtherInformation_899953"/>
      <w:bookmarkStart w:id="715" w:name="_22cd9752_8495_488d_b062_a4b5d0a841d2"/>
      <w:bookmarkEnd w:id="714"/>
      <w:bookmarkEnd w:id="715"/>
      <w:r>
        <w:rPr>
          <w:rFonts w:ascii="Times New Roman;Times;serif" w:hAnsi="Times New Roman;Times;serif"/>
          <w:b/>
          <w:sz w:val="20"/>
        </w:rPr>
        <w:t>Item 5. Other Information.</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bookmarkStart w:id="716" w:name="Item6Exhibits_48299"/>
      <w:bookmarkStart w:id="717" w:name="_ce72f2ae_8e76_432e_bfea_4049d0b9efdc"/>
      <w:bookmarkEnd w:id="716"/>
      <w:bookmarkEnd w:id="717"/>
      <w:r>
        <w:rPr>
          <w:rFonts w:ascii="Times New Roman;Times;serif" w:hAnsi="Times New Roman;Times;serif"/>
          <w:b/>
          <w:sz w:val="20"/>
        </w:rPr>
        <w:t>Item 6. Exhibits.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exhibits filed or furnished as part of this Quarterly Report are set forth on the Exhibit Index, below.</w:t>
      </w:r>
    </w:p>
    <w:p>
      <w:pPr>
        <w:pStyle w:val="TextBody"/>
        <w:spacing w:before="0" w:after="0"/>
        <w:ind w:left="0" w:right="0" w:hanging="0"/>
        <w:jc w:val="center"/>
        <w:rPr/>
      </w:pPr>
      <w:bookmarkStart w:id="718" w:name="_38a243aa_6be0_4bd7_b51a_40876f56b094"/>
      <w:bookmarkEnd w:id="718"/>
      <w:r>
        <w:rPr/>
        <w:t>​</w:t>
      </w:r>
    </w:p>
    <w:tbl>
      <w:tblPr>
        <w:tblW w:w="10205" w:type="dxa"/>
        <w:jc w:val="left"/>
        <w:tblInd w:w="0" w:type="dxa"/>
        <w:tblCellMar>
          <w:top w:w="0" w:type="dxa"/>
          <w:left w:w="0" w:type="dxa"/>
          <w:bottom w:w="0" w:type="dxa"/>
          <w:right w:w="0" w:type="dxa"/>
        </w:tblCellMar>
      </w:tblPr>
      <w:tblGrid>
        <w:gridCol w:w="993"/>
        <w:gridCol w:w="326"/>
        <w:gridCol w:w="8886"/>
      </w:tblGrid>
      <w:tr>
        <w:trPr/>
        <w:tc>
          <w:tcPr>
            <w:tcW w:w="993"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8886" w:type="dxa"/>
            <w:tcBorders/>
            <w:shd w:fill="auto" w:val="clear"/>
            <w:vAlign w:val="center"/>
          </w:tcPr>
          <w:p>
            <w:pPr>
              <w:pStyle w:val="TableContents"/>
              <w:spacing w:before="0" w:after="283"/>
              <w:ind w:left="0" w:right="0" w:hanging="0"/>
              <w:rPr>
                <w:sz w:val="4"/>
                <w:szCs w:val="4"/>
              </w:rPr>
            </w:pPr>
            <w:r>
              <w:rPr>
                <w:sz w:val="4"/>
                <w:szCs w:val="4"/>
              </w:rPr>
            </w:r>
          </w:p>
        </w:tc>
      </w:tr>
      <w:tr>
        <w:trPr/>
        <w:tc>
          <w:tcPr>
            <w:tcW w:w="993"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Exhibit No.</w:t>
            </w:r>
          </w:p>
        </w:tc>
        <w:tc>
          <w:tcPr>
            <w:tcW w:w="326" w:type="dxa"/>
            <w:tcBorders/>
            <w:shd w:fill="auto" w:val="clear"/>
            <w:vAlign w:val="center"/>
          </w:tcPr>
          <w:p>
            <w:pPr>
              <w:pStyle w:val="TableContents"/>
              <w:spacing w:before="0" w:after="0"/>
              <w:ind w:left="0" w:right="0" w:hanging="0"/>
              <w:rPr/>
            </w:pPr>
            <w:r>
              <w:rPr/>
              <w:t>    </w:t>
            </w:r>
          </w:p>
        </w:tc>
        <w:tc>
          <w:tcPr>
            <w:tcW w:w="888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Exhibit Description </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hyperlink w:anchor="nxtc-20230331xex10d1.htm">
              <w:r>
                <w:rPr>
                  <w:rStyle w:val="InternetLink"/>
                  <w:rFonts w:ascii="Times New Roman;Times;serif" w:hAnsi="Times New Roman;Times;serif"/>
                  <w:b w:val="false"/>
                  <w:i w:val="false"/>
                  <w:caps w:val="false"/>
                  <w:smallCaps w:val="false"/>
                  <w:sz w:val="20"/>
                </w:rPr>
                <w:t>Sixth Amendment to Lease Agreement, dated April 19, 2023, by and between the Company and ARE-8000/9000-10000 Virginia Manor, LLC.</w:t>
              </w:r>
            </w:hyperlink>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hyperlink w:anchor="nxtc-20230331xex31d1.htm">
              <w:r>
                <w:rPr>
                  <w:rStyle w:val="InternetLink"/>
                  <w:rFonts w:ascii="Times New Roman;Times;serif" w:hAnsi="Times New Roman;Times;serif"/>
                  <w:b w:val="false"/>
                  <w:i w:val="false"/>
                  <w:caps w:val="false"/>
                  <w:smallCaps w:val="false"/>
                  <w:sz w:val="20"/>
                </w:rPr>
                <w:t>Certification of Michael Richman pursuant to Rule 13a-14(a) under the Securities Exchange Act of 1934 as adopted pursuant to Section 302 of the Sarbanes-Oxley Act of 2002.</w:t>
              </w:r>
            </w:hyperlink>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hyperlink w:anchor="nxtc-20230331xex31d2.htm">
              <w:r>
                <w:rPr>
                  <w:rStyle w:val="InternetLink"/>
                  <w:rFonts w:ascii="Times New Roman;Times;serif" w:hAnsi="Times New Roman;Times;serif"/>
                  <w:b w:val="false"/>
                  <w:i w:val="false"/>
                  <w:caps w:val="false"/>
                  <w:smallCaps w:val="false"/>
                  <w:sz w:val="20"/>
                </w:rPr>
                <w:t>Certification of Steven P. Cobourn pursuant to Rule 13a-14(a) under the Securities Exchange Act of 1934 as adopted pursuant to Section 302 of the Sarbanes-Oxley Act of 2002.</w:t>
              </w:r>
            </w:hyperlink>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hyperlink w:anchor="nxtc-20230331xex32d1.htm">
              <w:r>
                <w:rPr>
                  <w:rStyle w:val="InternetLink"/>
                  <w:rFonts w:ascii="Times New Roman;Times;serif" w:hAnsi="Times New Roman;Times;serif"/>
                  <w:b w:val="false"/>
                  <w:i w:val="false"/>
                  <w:caps w:val="false"/>
                  <w:smallCaps w:val="false"/>
                  <w:sz w:val="20"/>
                </w:rPr>
                <w:t>Certification of Michael Richman and Steven P. Cobourn pursuant to 18 U.S.C. Section 1350 as adopted pursuant to Section 906 of the Sarbanes-Oxley Act of 2002.</w:t>
              </w:r>
            </w:hyperlink>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EX-101.INS</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EX-101.SCH</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EX-101.CAL</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EX-101.DEF</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EX-101.LAB</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EX-101.PRE</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99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pPr>
            <w:r>
              <w:rPr/>
              <w:t>​</w:t>
            </w:r>
          </w:p>
        </w:tc>
      </w:tr>
      <w:tr>
        <w:trPr/>
        <w:tc>
          <w:tcPr>
            <w:tcW w:w="99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888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Coverage Page Interactive Data File (formatted as Inline XBRL and contained in Exhibit 101).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719" w:name="SIGNATURES_917919"/>
      <w:bookmarkStart w:id="720" w:name="_36f82840_85ef_4a7b_9db5_2a3199c0e73b"/>
      <w:bookmarkEnd w:id="719"/>
      <w:bookmarkEnd w:id="720"/>
      <w:r>
        <w:rPr>
          <w:rFonts w:ascii="Times New Roman;Times;serif" w:hAnsi="Times New Roman;Times;serif"/>
          <w:b/>
          <w:sz w:val="20"/>
        </w:rPr>
        <w:t>SIGNATURES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Normal"/>
        <w:spacing w:before="0" w:after="0"/>
        <w:rPr>
          <w:sz w:val="4"/>
          <w:szCs w:val="4"/>
        </w:rPr>
      </w:pPr>
      <w:r>
        <w:rPr>
          <w:sz w:val="4"/>
          <w:szCs w:val="4"/>
        </w:rPr>
      </w:r>
      <w:bookmarkStart w:id="721" w:name="_cp_text_1_167"/>
      <w:bookmarkStart w:id="722" w:name="_cp_text_1_167"/>
      <w:bookmarkEnd w:id="722"/>
    </w:p>
    <w:tbl>
      <w:tblPr>
        <w:tblW w:w="5523" w:type="dxa"/>
        <w:jc w:val="left"/>
        <w:tblInd w:w="0" w:type="dxa"/>
        <w:tblCellMar>
          <w:top w:w="0" w:type="dxa"/>
          <w:left w:w="0" w:type="dxa"/>
          <w:bottom w:w="0" w:type="dxa"/>
          <w:right w:w="0" w:type="dxa"/>
        </w:tblCellMar>
      </w:tblPr>
      <w:tblGrid>
        <w:gridCol w:w="1636"/>
        <w:gridCol w:w="631"/>
        <w:gridCol w:w="3256"/>
      </w:tblGrid>
      <w:tr>
        <w:trPr/>
        <w:tc>
          <w:tcPr>
            <w:tcW w:w="1636" w:type="dxa"/>
            <w:tcBorders/>
            <w:shd w:fill="auto" w:val="clear"/>
            <w:vAlign w:val="center"/>
          </w:tcPr>
          <w:p>
            <w:pPr>
              <w:pStyle w:val="TableContents"/>
              <w:spacing w:lineRule="auto" w:line="304" w:before="0" w:after="0"/>
              <w:ind w:left="0" w:right="0" w:hanging="0"/>
              <w:rPr/>
            </w:pPr>
            <w:r>
              <w:rPr/>
              <w:t>​</w:t>
            </w:r>
          </w:p>
        </w:tc>
        <w:tc>
          <w:tcPr>
            <w:tcW w:w="3887" w:type="dxa"/>
            <w:gridSpan w:val="2"/>
            <w:tcBorders/>
            <w:shd w:fill="auto" w:val="clear"/>
            <w:vAlign w:val="center"/>
          </w:tcPr>
          <w:p>
            <w:pPr>
              <w:pStyle w:val="TableContents"/>
              <w:spacing w:lineRule="auto" w:line="304" w:before="0" w:after="0"/>
              <w:ind w:left="0" w:right="0" w:hanging="0"/>
              <w:rPr>
                <w:rFonts w:ascii="Times New Roman;Times;serif" w:hAnsi="Times New Roman;Times;serif"/>
                <w:b/>
                <w:sz w:val="20"/>
              </w:rPr>
            </w:pPr>
            <w:r>
              <w:rPr>
                <w:rFonts w:ascii="Times New Roman;Times;serif" w:hAnsi="Times New Roman;Times;serif"/>
                <w:b/>
                <w:sz w:val="20"/>
              </w:rPr>
              <w:t>NEXTCURE, INC.</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3256" w:type="dxa"/>
            <w:tcBorders/>
            <w:shd w:fill="auto" w:val="clear"/>
            <w:vAlign w:val="center"/>
          </w:tcPr>
          <w:p>
            <w:pPr>
              <w:pStyle w:val="TableContents"/>
              <w:spacing w:before="0" w:after="283"/>
              <w:ind w:left="0" w:right="0" w:hanging="0"/>
              <w:rPr>
                <w:sz w:val="4"/>
                <w:szCs w:val="4"/>
              </w:rPr>
            </w:pPr>
            <w:r>
              <w:rPr>
                <w:sz w:val="4"/>
                <w:szCs w:val="4"/>
              </w:rPr>
            </w:r>
          </w:p>
        </w:tc>
      </w:tr>
      <w:tr>
        <w:trPr/>
        <w:tc>
          <w:tcPr>
            <w:tcW w:w="163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/s/ Michael Richman</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Michael Richman</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325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 xml:space="preserve">President and Chief Executive Officer </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256" w:type="dxa"/>
            <w:tcBorders/>
            <w:shd w:fill="auto" w:val="clear"/>
            <w:vAlign w:val="center"/>
          </w:tcPr>
          <w:p>
            <w:pPr>
              <w:pStyle w:val="TableContents"/>
              <w:spacing w:lineRule="auto" w:line="304" w:before="0" w:after="0"/>
              <w:ind w:left="0" w:right="0" w:hanging="0"/>
              <w:rPr/>
            </w:pPr>
            <w:r>
              <w:rPr/>
              <w:t>​</w:t>
            </w:r>
          </w:p>
        </w:tc>
      </w:tr>
      <w:tr>
        <w:trPr/>
        <w:tc>
          <w:tcPr>
            <w:tcW w:w="163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By:</w:t>
            </w:r>
          </w:p>
        </w:tc>
        <w:tc>
          <w:tcPr>
            <w:tcW w:w="3256" w:type="dxa"/>
            <w:tcBorders>
              <w:bottom w:val="single" w:sz="2" w:space="0" w:color="000000"/>
            </w:tcBorders>
            <w:shd w:fill="auto" w:val="clear"/>
            <w:tcMar>
              <w:bottom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/s/ Steven P. Cobourn</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56" w:type="dxa"/>
            <w:tcBorders>
              <w:top w:val="single" w:sz="2" w:space="0" w:color="000000"/>
            </w:tcBorders>
            <w:shd w:fill="auto" w:val="clear"/>
            <w:tcMar>
              <w:top w:w="28" w:type="dxa"/>
            </w:tcM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Steven P. Cobourn</w:t>
            </w:r>
          </w:p>
        </w:tc>
      </w:tr>
      <w:tr>
        <w:trPr/>
        <w:tc>
          <w:tcPr>
            <w:tcW w:w="1636" w:type="dxa"/>
            <w:tcBorders/>
            <w:shd w:fill="auto" w:val="clear"/>
            <w:vAlign w:val="center"/>
          </w:tcPr>
          <w:p>
            <w:pPr>
              <w:pStyle w:val="TableContents"/>
              <w:spacing w:lineRule="auto" w:line="304" w:before="0" w:after="0"/>
              <w:ind w:left="0" w:right="0" w:hanging="0"/>
              <w:rPr/>
            </w:pPr>
            <w:r>
              <w:rPr/>
              <w:t>​</w:t>
            </w:r>
          </w:p>
        </w:tc>
        <w:tc>
          <w:tcPr>
            <w:tcW w:w="631" w:type="dxa"/>
            <w:tcBorders/>
            <w:shd w:fill="auto" w:val="clear"/>
            <w:vAlign w:val="center"/>
          </w:tcPr>
          <w:p>
            <w:pPr>
              <w:pStyle w:val="TableContents"/>
              <w:spacing w:before="0" w:after="283"/>
              <w:ind w:left="0" w:right="0" w:hanging="0"/>
              <w:rPr>
                <w:sz w:val="4"/>
                <w:szCs w:val="4"/>
              </w:rPr>
            </w:pPr>
            <w:r>
              <w:rPr>
                <w:sz w:val="4"/>
                <w:szCs w:val="4"/>
              </w:rPr>
            </w:r>
          </w:p>
        </w:tc>
        <w:tc>
          <w:tcPr>
            <w:tcW w:w="3256" w:type="dxa"/>
            <w:tcBorders/>
            <w:shd w:fill="auto" w:val="clear"/>
            <w:vAlign w:val="center"/>
          </w:tcPr>
          <w:p>
            <w:pPr>
              <w:pStyle w:val="TableContents"/>
              <w:spacing w:lineRule="auto" w:line="304"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r>
        <w:br w:type="page"/>
      </w:r>
    </w:p>
    <w:p>
      <w:pPr>
        <w:pStyle w:val="TextBody"/>
        <w:spacing w:lineRule="auto" w:line="285" w:before="0" w:after="0"/>
        <w:ind w:left="0" w:right="0" w:hanging="0"/>
        <w:jc w:val="right"/>
        <w:rPr>
          <w:rFonts w:ascii="Arial;Helvetica;sans-serif" w:hAnsi="Arial;Helvetica;sans-serif"/>
          <w:b/>
          <w:sz w:val="20"/>
        </w:rPr>
      </w:pPr>
      <w:bookmarkStart w:id="723" w:name="nxtc-20230331xex10d1.htm"/>
      <w:bookmarkStart w:id="724" w:name="ksnxtc20230331xex10d1"/>
      <w:bookmarkEnd w:id="723"/>
      <w:bookmarkEnd w:id="724"/>
      <w:r>
        <w:rPr>
          <w:rFonts w:ascii="Arial;Helvetica;sans-serif" w:hAnsi="Arial;Helvetica;sans-serif"/>
          <w:b/>
          <w:sz w:val="20"/>
        </w:rPr>
        <w:t>Exhibit 10.1</w:t>
      </w:r>
    </w:p>
    <w:p>
      <w:pPr>
        <w:pStyle w:val="TextBody"/>
        <w:spacing w:lineRule="auto" w:line="285" w:before="0" w:after="0"/>
        <w:ind w:left="0" w:right="0" w:hanging="0"/>
        <w:jc w:val="center"/>
        <w:rPr/>
      </w:pPr>
      <w:r>
        <w:rPr/>
        <w:t>​</w:t>
      </w:r>
    </w:p>
    <w:p>
      <w:pPr>
        <w:pStyle w:val="TextBody"/>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SIXTH AMENDMENT TO LEASE AGREEMENT</w:t>
      </w:r>
    </w:p>
    <w:p>
      <w:pPr>
        <w:pStyle w:val="TextBody"/>
        <w:spacing w:lineRule="auto" w:line="285" w:before="0" w:after="0"/>
        <w:ind w:left="0" w:right="0" w:hanging="0"/>
        <w:rPr/>
      </w:pPr>
      <w:r>
        <w:rPr/>
        <w:t>​</w:t>
      </w:r>
    </w:p>
    <w:p>
      <w:pPr>
        <w:pStyle w:val="TextBody"/>
        <w:spacing w:lineRule="auto" w:line="285" w:before="0" w:after="0"/>
        <w:ind w:left="0" w:right="0" w:firstLine="720"/>
        <w:jc w:val="both"/>
        <w:rPr>
          <w:rFonts w:ascii="Times New Roman;Times;serif" w:hAnsi="Times New Roman;Times;serif"/>
          <w:sz w:val="20"/>
        </w:rPr>
      </w:pPr>
      <w:r>
        <w:rPr>
          <w:rFonts w:ascii="Arial;Helvetica;sans-serif" w:hAnsi="Arial;Helvetica;sans-serif"/>
          <w:b/>
          <w:caps/>
          <w:sz w:val="20"/>
        </w:rPr>
        <w:t>This</w:t>
      </w:r>
      <w:r>
        <w:rPr>
          <w:rFonts w:ascii="Times New Roman;Times;serif" w:hAnsi="Times New Roman;Times;serif"/>
          <w:sz w:val="20"/>
        </w:rPr>
        <w:t xml:space="preserve"> </w:t>
      </w:r>
      <w:r>
        <w:rPr>
          <w:rFonts w:ascii="Arial;Helvetica;sans-serif" w:hAnsi="Arial;Helvetica;sans-serif"/>
          <w:b/>
          <w:sz w:val="20"/>
        </w:rPr>
        <w:t>SIXTH AMENDMENT TO LEASE AGREEMENT</w:t>
      </w:r>
      <w:r>
        <w:rPr>
          <w:rFonts w:ascii="Times New Roman;Times;serif" w:hAnsi="Times New Roman;Times;serif"/>
          <w:sz w:val="20"/>
        </w:rPr>
        <w:t xml:space="preserve"> </w:t>
      </w:r>
      <w:r>
        <w:rPr>
          <w:rFonts w:ascii="Arial;Helvetica;sans-serif" w:hAnsi="Arial;Helvetica;sans-serif"/>
          <w:sz w:val="20"/>
        </w:rPr>
        <w:t>(“</w:t>
      </w:r>
      <w:r>
        <w:rPr>
          <w:rFonts w:ascii="Arial;Helvetica;sans-serif" w:hAnsi="Arial;Helvetica;sans-serif"/>
          <w:b/>
          <w:sz w:val="20"/>
        </w:rPr>
        <w:t>this Sixth Amendment</w:t>
      </w:r>
      <w:r>
        <w:rPr>
          <w:rFonts w:ascii="Times New Roman;Times;serif" w:hAnsi="Times New Roman;Times;serif"/>
          <w:sz w:val="20"/>
        </w:rPr>
        <w:t>”</w:t>
      </w:r>
      <w:r>
        <w:rPr>
          <w:rFonts w:ascii="Arial;Helvetica;sans-serif" w:hAnsi="Arial;Helvetica;sans-serif"/>
          <w:sz w:val="20"/>
        </w:rPr>
        <w:t>) is dated as of April </w:t>
      </w:r>
      <w:r>
        <w:rPr>
          <w:rFonts w:ascii="Arial;Helvetica;sans-serif" w:hAnsi="Arial;Helvetica;sans-serif"/>
          <w:sz w:val="20"/>
          <w:u w:val="single"/>
        </w:rPr>
        <w:t>19</w:t>
      </w:r>
      <w:r>
        <w:rPr>
          <w:rFonts w:ascii="Arial;Helvetica;sans-serif" w:hAnsi="Arial;Helvetica;sans-serif"/>
          <w:sz w:val="20"/>
        </w:rPr>
        <w:t>, 2023 (“</w:t>
      </w:r>
      <w:r>
        <w:rPr>
          <w:rFonts w:ascii="Arial;Helvetica;sans-serif" w:hAnsi="Arial;Helvetica;sans-serif"/>
          <w:b/>
          <w:sz w:val="20"/>
        </w:rPr>
        <w:t>Effective Date</w:t>
      </w:r>
      <w:r>
        <w:rPr>
          <w:rFonts w:ascii="Times New Roman;Times;serif" w:hAnsi="Times New Roman;Times;serif"/>
          <w:sz w:val="20"/>
        </w:rPr>
        <w:t>”</w:t>
      </w:r>
      <w:r>
        <w:rPr>
          <w:rFonts w:ascii="Arial;Helvetica;sans-serif" w:hAnsi="Arial;Helvetica;sans-serif"/>
          <w:sz w:val="20"/>
        </w:rPr>
        <w:t xml:space="preserve">), by and between </w:t>
      </w:r>
      <w:r>
        <w:rPr>
          <w:rFonts w:ascii="Arial;Helvetica;sans-serif" w:hAnsi="Arial;Helvetica;sans-serif"/>
          <w:b/>
          <w:sz w:val="20"/>
        </w:rPr>
        <w:t>ARE-8000/9000/10000 VIRGINIA MANOR, LLC</w:t>
      </w:r>
      <w:r>
        <w:rPr>
          <w:rFonts w:ascii="Arial;Helvetica;sans-serif" w:hAnsi="Arial;Helvetica;sans-serif"/>
          <w:sz w:val="20"/>
        </w:rPr>
        <w:t>, a Delaware limited liability company, having an address at 26 North Euclid Avenue, Pasadena, California  91101 (“</w:t>
      </w:r>
      <w:r>
        <w:rPr>
          <w:rFonts w:ascii="Arial;Helvetica;sans-serif" w:hAnsi="Arial;Helvetica;sans-serif"/>
          <w:b/>
          <w:sz w:val="20"/>
        </w:rPr>
        <w:t>Landlord</w:t>
      </w:r>
      <w:r>
        <w:rPr>
          <w:rFonts w:ascii="Times New Roman;Times;serif" w:hAnsi="Times New Roman;Times;serif"/>
          <w:sz w:val="20"/>
        </w:rPr>
        <w:t>”</w:t>
      </w:r>
      <w:r>
        <w:rPr>
          <w:rFonts w:ascii="Arial;Helvetica;sans-serif" w:hAnsi="Arial;Helvetica;sans-serif"/>
          <w:sz w:val="20"/>
        </w:rPr>
        <w:t xml:space="preserve">), and </w:t>
      </w:r>
      <w:r>
        <w:rPr>
          <w:rFonts w:ascii="Arial;Helvetica;sans-serif" w:hAnsi="Arial;Helvetica;sans-serif"/>
          <w:b/>
          <w:sz w:val="20"/>
        </w:rPr>
        <w:t>NEXTCURE, INC</w:t>
      </w:r>
      <w:r>
        <w:rPr>
          <w:rFonts w:ascii="Arial;Helvetica;sans-serif" w:hAnsi="Arial;Helvetica;sans-serif"/>
          <w:sz w:val="20"/>
        </w:rPr>
        <w:t>., a Delaware corporation, having an address at Suite 140, 8000 Virginia Manor Road, Beltsville, Maryland  20705 (“</w:t>
      </w:r>
      <w:r>
        <w:rPr>
          <w:rFonts w:ascii="Arial;Helvetica;sans-serif" w:hAnsi="Arial;Helvetica;sans-serif"/>
          <w:b/>
          <w:sz w:val="20"/>
        </w:rPr>
        <w:t>Tenant</w:t>
      </w:r>
      <w:r>
        <w:rPr>
          <w:rFonts w:ascii="Times New Roman;Times;serif" w:hAnsi="Times New Roman;Times;serif"/>
          <w:sz w:val="20"/>
        </w:rPr>
        <w:t>”</w:t>
      </w:r>
      <w:r>
        <w:rPr>
          <w:rFonts w:ascii="Arial;Helvetica;sans-serif" w:hAnsi="Arial;Helvetica;sans-serif"/>
          <w:sz w:val="20"/>
        </w:rPr>
        <w:t>).</w:t>
      </w:r>
    </w:p>
    <w:p>
      <w:pPr>
        <w:pStyle w:val="TextBody"/>
        <w:spacing w:lineRule="auto" w:line="285" w:before="0" w:after="0"/>
        <w:ind w:left="0" w:right="0" w:hanging="0"/>
        <w:jc w:val="both"/>
        <w:rPr/>
      </w:pPr>
      <w:r>
        <w:rPr/>
        <w:t>​</w:t>
      </w:r>
    </w:p>
    <w:p>
      <w:pPr>
        <w:pStyle w:val="TextBody"/>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RECITALS</w:t>
      </w:r>
    </w:p>
    <w:p>
      <w:pPr>
        <w:pStyle w:val="TextBody"/>
        <w:spacing w:lineRule="auto" w:line="285" w:before="0" w:after="0"/>
        <w:ind w:left="0" w:right="0" w:hanging="0"/>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A.Landlord and Tenant have entered into that certain Lease Agreement dated as of January 30, 2019 (“</w:t>
      </w:r>
      <w:r>
        <w:rPr>
          <w:rFonts w:ascii="Arial;Helvetica;sans-serif" w:hAnsi="Arial;Helvetica;sans-serif"/>
          <w:b/>
          <w:sz w:val="20"/>
        </w:rPr>
        <w:t>Original</w:t>
      </w:r>
      <w:r>
        <w:rPr>
          <w:rFonts w:ascii="Times New Roman;Times;serif" w:hAnsi="Times New Roman;Times;serif"/>
          <w:sz w:val="24"/>
        </w:rPr>
        <w:t xml:space="preserv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as amended by that certain First Amendment to Lease Agreement dated as of August 2, 2019 (“</w:t>
      </w:r>
      <w:r>
        <w:rPr>
          <w:rFonts w:ascii="Arial;Helvetica;sans-serif" w:hAnsi="Arial;Helvetica;sans-serif"/>
          <w:b/>
          <w:sz w:val="20"/>
        </w:rPr>
        <w:t>First Amendment</w:t>
      </w:r>
      <w:r>
        <w:rPr>
          <w:rFonts w:ascii="Times New Roman;Times;serif" w:hAnsi="Times New Roman;Times;serif"/>
          <w:sz w:val="24"/>
        </w:rPr>
        <w:t>”</w:t>
      </w:r>
      <w:r>
        <w:rPr>
          <w:rFonts w:ascii="Arial;Helvetica;sans-serif" w:hAnsi="Arial;Helvetica;sans-serif"/>
          <w:sz w:val="20"/>
        </w:rPr>
        <w:t>), that certain Second Amendment to Lease Agreement dated as of February 19, 2020 (“</w:t>
      </w:r>
      <w:r>
        <w:rPr>
          <w:rFonts w:ascii="Arial;Helvetica;sans-serif" w:hAnsi="Arial;Helvetica;sans-serif"/>
          <w:b/>
          <w:sz w:val="20"/>
        </w:rPr>
        <w:t>Second Amendment</w:t>
      </w:r>
      <w:r>
        <w:rPr>
          <w:rFonts w:ascii="Times New Roman;Times;serif" w:hAnsi="Times New Roman;Times;serif"/>
          <w:sz w:val="24"/>
        </w:rPr>
        <w:t>”</w:t>
      </w:r>
      <w:r>
        <w:rPr>
          <w:rFonts w:ascii="Arial;Helvetica;sans-serif" w:hAnsi="Arial;Helvetica;sans-serif"/>
          <w:sz w:val="20"/>
        </w:rPr>
        <w:t>), that certain Third Amendment to Lease Agreement dated as of February 4, 2022 (“</w:t>
      </w:r>
      <w:r>
        <w:rPr>
          <w:rFonts w:ascii="Arial;Helvetica;sans-serif" w:hAnsi="Arial;Helvetica;sans-serif"/>
          <w:b/>
          <w:sz w:val="20"/>
        </w:rPr>
        <w:t>Third Amendment</w:t>
      </w:r>
      <w:r>
        <w:rPr>
          <w:rFonts w:ascii="Times New Roman;Times;serif" w:hAnsi="Times New Roman;Times;serif"/>
          <w:sz w:val="24"/>
        </w:rPr>
        <w:t>”</w:t>
      </w:r>
      <w:r>
        <w:rPr>
          <w:rFonts w:ascii="Arial;Helvetica;sans-serif" w:hAnsi="Arial;Helvetica;sans-serif"/>
          <w:sz w:val="20"/>
        </w:rPr>
        <w:t>), and that certain Fourth Amendment to Lease Agreement dated as of June 10, 2022 (“</w:t>
      </w:r>
      <w:r>
        <w:rPr>
          <w:rFonts w:ascii="Arial;Helvetica;sans-serif" w:hAnsi="Arial;Helvetica;sans-serif"/>
          <w:b/>
          <w:sz w:val="20"/>
        </w:rPr>
        <w:t>Fourth Amendment</w:t>
      </w:r>
      <w:r>
        <w:rPr>
          <w:rFonts w:ascii="Times New Roman;Times;serif" w:hAnsi="Times New Roman;Times;serif"/>
          <w:sz w:val="24"/>
        </w:rPr>
        <w:t>”</w:t>
      </w:r>
      <w:r>
        <w:rPr>
          <w:rFonts w:ascii="Arial;Helvetica;sans-serif" w:hAnsi="Arial;Helvetica;sans-serif"/>
          <w:sz w:val="20"/>
        </w:rPr>
        <w:t>), and that certain Fifth Amendment to Lease Agreement dated as of November 28, 2022 (“Fifth Amendment”; together with the Original Lease, the First Amendment, the Second Amendment, the Third Amendment, and the Fourth Amendment, the “</w:t>
      </w:r>
      <w:r>
        <w:rPr>
          <w:rFonts w:ascii="Arial;Helvetica;sans-serif" w:hAnsi="Arial;Helvetica;sans-serif"/>
          <w:b/>
          <w:sz w:val="20"/>
        </w:rPr>
        <w:t>Lease</w:t>
      </w:r>
      <w:r>
        <w:rPr>
          <w:rFonts w:ascii="Times New Roman;Times;serif" w:hAnsi="Times New Roman;Times;serif"/>
          <w:sz w:val="24"/>
        </w:rPr>
        <w:t>”</w:t>
      </w:r>
      <w:r>
        <w:rPr>
          <w:rFonts w:ascii="Arial;Helvetica;sans-serif" w:hAnsi="Arial;Helvetica;sans-serif"/>
          <w:sz w:val="20"/>
        </w:rPr>
        <w:t>), wherein Landlord leased to Tenant approximately 63,576 rentable square feet (“</w:t>
      </w:r>
      <w:r>
        <w:rPr>
          <w:rFonts w:ascii="Arial;Helvetica;sans-serif" w:hAnsi="Arial;Helvetica;sans-serif"/>
          <w:b/>
          <w:sz w:val="20"/>
        </w:rPr>
        <w:t>Existing Premises</w:t>
      </w:r>
      <w:r>
        <w:rPr>
          <w:rFonts w:ascii="Times New Roman;Times;serif" w:hAnsi="Times New Roman;Times;serif"/>
          <w:sz w:val="24"/>
        </w:rPr>
        <w:t>”</w:t>
      </w:r>
      <w:r>
        <w:rPr>
          <w:rFonts w:ascii="Arial;Helvetica;sans-serif" w:hAnsi="Arial;Helvetica;sans-serif"/>
          <w:sz w:val="20"/>
        </w:rPr>
        <w:t>) located at Suite 140, 8000 Virginia Manor Road, Beltsville, Maryland  20705, as more particularly described in the Lease.</w:t>
      </w:r>
    </w:p>
    <w:p>
      <w:pPr>
        <w:pStyle w:val="TextBody"/>
        <w:spacing w:lineRule="auto" w:line="285" w:before="0" w:after="0"/>
        <w:ind w:left="720" w:right="0" w:hanging="0"/>
        <w:jc w:val="both"/>
        <w:rPr/>
      </w:pPr>
      <w:r>
        <w:rPr/>
        <w:t>​</w:t>
      </w:r>
    </w:p>
    <w:p>
      <w:pPr>
        <w:pStyle w:val="TextBody"/>
        <w:spacing w:lineRule="auto" w:line="285"/>
        <w:ind w:left="0" w:right="0" w:hanging="0"/>
        <w:jc w:val="both"/>
        <w:rPr>
          <w:rFonts w:ascii="Arial;Helvetica;sans-serif" w:hAnsi="Arial;Helvetica;sans-serif"/>
          <w:sz w:val="20"/>
        </w:rPr>
      </w:pPr>
      <w:r>
        <w:rPr>
          <w:rFonts w:ascii="Arial;Helvetica;sans-serif" w:hAnsi="Arial;Helvetica;sans-serif"/>
          <w:sz w:val="20"/>
        </w:rPr>
        <w:t>B.Landlord and Tenant desire to amend the Lease, among other things, to permit the Security Deposit to be in the form of cash rather than in the form of a Letter of Credit and provide that certain administrative rent specified in the First Amendment will be paid by Tenant to Landlord without deducting that amount from any tenant improvement allowances provided under the First Amendment or the Third Amendment.</w:t>
      </w:r>
    </w:p>
    <w:p>
      <w:pPr>
        <w:pStyle w:val="TextBody"/>
        <w:spacing w:lineRule="auto" w:line="285" w:before="0" w:after="0"/>
        <w:ind w:left="0" w:right="0" w:hanging="0"/>
        <w:jc w:val="both"/>
        <w:rPr/>
      </w:pPr>
      <w:r>
        <w:rPr/>
        <w:t>​</w:t>
      </w:r>
    </w:p>
    <w:p>
      <w:pPr>
        <w:pStyle w:val="TextBody"/>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AGREEMENT</w:t>
      </w:r>
    </w:p>
    <w:p>
      <w:pPr>
        <w:pStyle w:val="TextBody"/>
        <w:spacing w:lineRule="auto" w:line="285" w:before="0" w:after="0"/>
        <w:ind w:left="720" w:right="0" w:hanging="0"/>
        <w:jc w:val="both"/>
        <w:rPr/>
      </w:pPr>
      <w:r>
        <w:rPr/>
        <w:t>​</w:t>
      </w:r>
    </w:p>
    <w:p>
      <w:pPr>
        <w:pStyle w:val="TextBody"/>
        <w:spacing w:lineRule="auto" w:line="285" w:before="0" w:after="0"/>
        <w:ind w:left="0" w:right="0" w:firstLine="720"/>
        <w:jc w:val="both"/>
        <w:rPr>
          <w:rFonts w:ascii="Times New Roman;Times;serif" w:hAnsi="Times New Roman;Times;serif"/>
          <w:sz w:val="20"/>
        </w:rPr>
      </w:pPr>
      <w:r>
        <w:rPr>
          <w:rFonts w:ascii="Arial;Helvetica;sans-serif" w:hAnsi="Arial;Helvetica;sans-serif"/>
          <w:caps/>
          <w:sz w:val="20"/>
        </w:rPr>
        <w:t>Now, therefore</w:t>
      </w:r>
      <w:r>
        <w:rPr>
          <w:rFonts w:ascii="Arial;Helvetica;sans-serif" w:hAnsi="Arial;Helvetica;sans-serif"/>
          <w:sz w:val="20"/>
        </w:rPr>
        <w:t>, in consideration of the foregoing Recitals, the mutual promises and conditions contained herein, and for other good and valuable consideration, the receipt and legal sufficiency of which are hereby acknowledged, Landlord and Tenant hereby agree that the Lease is amended as follows:</w:t>
      </w:r>
    </w:p>
    <w:p>
      <w:pPr>
        <w:pStyle w:val="TextBody"/>
        <w:spacing w:lineRule="auto" w:line="285" w:before="0" w:after="0"/>
        <w:ind w:left="0" w:right="0" w:firstLine="720"/>
        <w:jc w:val="both"/>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1.</w:t>
      </w:r>
      <w:r>
        <w:rPr>
          <w:rFonts w:ascii="Arial;Helvetica;sans-serif" w:hAnsi="Arial;Helvetica;sans-serif"/>
          <w:b/>
          <w:sz w:val="20"/>
        </w:rPr>
        <w:t>Definitions; Recitals</w:t>
      </w:r>
      <w:r>
        <w:rPr>
          <w:rFonts w:ascii="Arial;Helvetica;sans-serif" w:hAnsi="Arial;Helvetica;sans-serif"/>
          <w:sz w:val="20"/>
        </w:rPr>
        <w:t>.  Terms used in this Sixth Amendment but not otherwise defined shall have the meanings set forth in the Lease (as amended).  The Recitals form an integral part of this Sixth Amendment and are hereby incorporated by reference.</w:t>
      </w:r>
    </w:p>
    <w:p>
      <w:pPr>
        <w:pStyle w:val="TextBody"/>
        <w:spacing w:lineRule="auto" w:line="285" w:before="0" w:after="0"/>
        <w:ind w:left="720" w:right="0" w:hanging="0"/>
        <w:jc w:val="both"/>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2.</w:t>
      </w:r>
      <w:r>
        <w:rPr>
          <w:rFonts w:ascii="Arial;Helvetica;sans-serif" w:hAnsi="Arial;Helvetica;sans-serif"/>
          <w:b/>
          <w:sz w:val="20"/>
        </w:rPr>
        <w:t>Cash Security Deposit</w:t>
      </w:r>
      <w:r>
        <w:rPr>
          <w:rFonts w:ascii="Arial;Helvetica;sans-serif" w:hAnsi="Arial;Helvetica;sans-serif"/>
          <w:sz w:val="20"/>
        </w:rPr>
        <w:t>.  Tenant has delivered to Landlord a Security Deposit in the form of a Letter of Credit in the amount of $39,292.70.  Tenant desires to replace the Letter of Credit with a Security Deposit in the form of cash, and Landlord is amenable to such replacement.  Accordingly, Landlord shall return the Letter of Credit to Tenant within 15 business days after Landlord’s receipt of $39,292.70 by (a) good check payable to Landlord or (b) by wire transfer via Fedwire or ACH transfer to an account designated in writing by Landlord.  </w:t>
      </w:r>
    </w:p>
    <w:p>
      <w:pPr>
        <w:pStyle w:val="TextBody"/>
        <w:spacing w:lineRule="auto" w:line="285" w:before="0" w:after="0"/>
        <w:ind w:left="720" w:right="0" w:hanging="0"/>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3.</w:t>
      </w:r>
      <w:r>
        <w:rPr>
          <w:rFonts w:ascii="Arial;Helvetica;sans-serif" w:hAnsi="Arial;Helvetica;sans-serif"/>
          <w:b/>
          <w:sz w:val="20"/>
        </w:rPr>
        <w:t>Amendment to Section 6 of Original Lease</w:t>
      </w:r>
      <w:r>
        <w:rPr>
          <w:rFonts w:ascii="Arial;Helvetica;sans-serif" w:hAnsi="Arial;Helvetica;sans-serif"/>
          <w:sz w:val="20"/>
        </w:rPr>
        <w:t>.  Effective as of Landlord’s receipt of a Security Deposit in the form of cash in the amount of $39,292.70, Section 6 of the Original Lease is hereby amended by deleting that Section in its entirety and replacing it with the following new Section:</w:t>
      </w:r>
    </w:p>
    <w:p>
      <w:pPr>
        <w:pStyle w:val="TextBody"/>
        <w:spacing w:lineRule="auto" w:line="285" w:before="0" w:after="0"/>
        <w:ind w:left="720" w:right="0" w:hanging="0"/>
        <w:rPr/>
      </w:pPr>
      <w:r>
        <w:rPr/>
        <w:t>​</w:t>
      </w:r>
    </w:p>
    <w:p>
      <w:pPr>
        <w:pStyle w:val="TextBody"/>
        <w:spacing w:lineRule="auto" w:line="285" w:before="0" w:after="0"/>
        <w:ind w:left="1440" w:right="0" w:hanging="0"/>
        <w:jc w:val="both"/>
        <w:rPr>
          <w:rFonts w:ascii="Times New Roman;Times;serif" w:hAnsi="Times New Roman;Times;serif"/>
          <w:sz w:val="20"/>
        </w:rPr>
      </w:pPr>
      <w:r>
        <w:rPr>
          <w:rFonts w:ascii="Arial;Helvetica;sans-serif" w:hAnsi="Arial;Helvetica;sans-serif"/>
          <w:sz w:val="20"/>
        </w:rPr>
        <w:t>6.  </w:t>
      </w:r>
      <w:bookmarkStart w:id="725" w:name="_Hlk75851945"/>
      <w:bookmarkEnd w:id="725"/>
      <w:r>
        <w:rPr>
          <w:rFonts w:ascii="Arial;Helvetica;sans-serif" w:hAnsi="Arial;Helvetica;sans-serif"/>
          <w:b/>
          <w:sz w:val="20"/>
        </w:rPr>
        <w:t>Security Deposit</w:t>
      </w:r>
      <w:r>
        <w:rPr>
          <w:rFonts w:ascii="Arial;Helvetica;sans-serif" w:hAnsi="Arial;Helvetica;sans-serif"/>
          <w:sz w:val="20"/>
        </w:rPr>
        <w:t xml:space="preserve">.  The Security Deposit shall be held by Landlord without obligation for interest thereon as security for the performance of Tenant’s obligations under this Lease.  The Security Deposit is not an advance rental deposit or a measure of Landlord’s damages in case of Tenant’s default.  Upon each occurrence of a Default (as defined in </w:t>
      </w:r>
    </w:p>
    <w:p>
      <w:pPr>
        <w:pStyle w:val="HorizontalLine"/>
        <w:rPr/>
      </w:pPr>
      <w:r>
        <w:rPr/>
      </w:r>
    </w:p>
    <w:p>
      <w:pPr>
        <w:pStyle w:val="TextBody"/>
        <w:spacing w:lineRule="auto" w:line="285" w:before="0" w:after="0"/>
        <w:ind w:left="1440" w:right="0" w:hanging="0"/>
        <w:jc w:val="both"/>
        <w:rPr>
          <w:rFonts w:ascii="Times New Roman;Times;serif" w:hAnsi="Times New Roman;Times;serif"/>
          <w:sz w:val="20"/>
        </w:rPr>
      </w:pPr>
      <w:r>
        <w:rPr>
          <w:rFonts w:ascii="Arial;Helvetica;sans-serif" w:hAnsi="Arial;Helvetica;sans-serif"/>
          <w:sz w:val="20"/>
          <w:u w:val="single"/>
        </w:rPr>
        <w:t>Section 20</w:t>
      </w:r>
      <w:r>
        <w:rPr>
          <w:rFonts w:ascii="Arial;Helvetica;sans-serif" w:hAnsi="Arial;Helvetica;sans-serif"/>
          <w:sz w:val="20"/>
        </w:rPr>
        <w:t xml:space="preserve">), Landlord may use all or part of the Security Deposit to pay delinquent payments due under this Lease, and the cost of any damage, injury, expense or liability caused by such Default, without prejudice to any other remedy provided herein or provided by law.  Upon any such use of all or any portion of the Security Deposit, Tenant shall pay Landlord on demand the amount that will restore the Security Deposit to its original amount.  Upon bankruptcy or other debtor-creditor proceedings involving Tenant, the Security Deposit shall be deemed to be applied first to the payment of Rent and other charges due Landlord for periods prior to the filing of such proceedings.  Landlord’s obligation respecting the Security Deposit is that of a debtor, not a trustee; no interest shall accrue thereon.  The Security Deposit shall be the property of Landlord, but shall be paid to Tenant when Tenant’s obligations under this Lease have been completely fulfilled.  If Landlord transfers its interest in the Project or this Lease, Landlord shall either (a) transfer any Security Deposit then held by Landlord to a person or entity assuming Landlord’s obligations under this </w:t>
      </w:r>
      <w:r>
        <w:rPr>
          <w:rFonts w:ascii="Arial;Helvetica;sans-serif" w:hAnsi="Arial;Helvetica;sans-serif"/>
          <w:sz w:val="20"/>
          <w:u w:val="single"/>
        </w:rPr>
        <w:t>Section 6</w:t>
      </w:r>
      <w:r>
        <w:rPr>
          <w:rFonts w:ascii="Arial;Helvetica;sans-serif" w:hAnsi="Arial;Helvetica;sans-serif"/>
          <w:sz w:val="20"/>
        </w:rPr>
        <w:t>, or (b) return to Tenant any Security Deposit then held by Landlord and remaining after the deductions permitted herein.  Upon such transfer to such transferee or the return of the Security Deposit to Tenant, Landlord shall have no further obligation with respect to the Security Deposit, and Tenant’s right to the return of the Security Deposit shall apply solely against Landlord’s transferee.  Tenant hereby waives the provisions of any law, now or hereafter in force, which provide that Landlord may claim from a security deposit only those sums reasonably necessary to remedy defaults in the payment of Rent, to repair damage caused by Tenant or to clean the Premises, it being agreed that Landlord may, in addition, claim those sums reasonably necessary to compensate Landlord for any other loss or damage, foreseeable or unforeseeable, caused by the act or omission of Tenant or any officer, employee, agent or invitee of Tenant.  The Security Deposit, or any balance thereof (i.e., after deducting therefrom all amounts to which Landlord is entitled under the provisions of this Lease), shall be returned to Tenant (or, at Landlord’s option, to the last assignee of Tenant’s interest hereunder) within 90 days after the expiration or earlier termination of this Lease.</w:t>
      </w:r>
    </w:p>
    <w:p>
      <w:pPr>
        <w:pStyle w:val="TextBody"/>
        <w:spacing w:lineRule="auto" w:line="285" w:before="0" w:after="0"/>
        <w:ind w:left="720" w:right="0" w:hanging="0"/>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4.</w:t>
      </w:r>
      <w:r>
        <w:rPr>
          <w:rFonts w:ascii="Arial;Helvetica;sans-serif" w:hAnsi="Arial;Helvetica;sans-serif"/>
          <w:b/>
          <w:sz w:val="20"/>
        </w:rPr>
        <w:t>Expansion Premises Administrative Rent</w:t>
      </w:r>
      <w:r>
        <w:rPr>
          <w:rFonts w:ascii="Arial;Helvetica;sans-serif" w:hAnsi="Arial;Helvetica;sans-serif"/>
          <w:sz w:val="20"/>
        </w:rPr>
        <w:t>.  The total amount of Administrative Rent due under the Expansion Premises Work Letter attached as an exhibit to the First Amendment is $2,455.82 (“</w:t>
      </w:r>
      <w:r>
        <w:rPr>
          <w:rFonts w:ascii="Arial;Helvetica;sans-serif" w:hAnsi="Arial;Helvetica;sans-serif"/>
          <w:b/>
          <w:sz w:val="20"/>
        </w:rPr>
        <w:t>Expansion Premises Administrative Rent</w:t>
      </w:r>
      <w:r>
        <w:rPr>
          <w:rFonts w:ascii="Times New Roman;Times;serif" w:hAnsi="Times New Roman;Times;serif"/>
          <w:sz w:val="24"/>
        </w:rPr>
        <w:t>”</w:t>
      </w:r>
      <w:r>
        <w:rPr>
          <w:rFonts w:ascii="Arial;Helvetica;sans-serif" w:hAnsi="Arial;Helvetica;sans-serif"/>
          <w:sz w:val="20"/>
        </w:rPr>
        <w:t>), which amount represents 1% of the Base Expansion Premises TI Allowance.  In lieu of Tenant resorting to the Additional Expansion Premises TI Allowance under the Expansion Premises Work Letter to pay the Expansion Premises Administrative Rent, Tenant hereby agrees to pay the Expansion Premises Administrative Rent to Landlord by wire transfer via Fedwire to an account designated in writing by Landlord.  Tenant shall remit such payment within 5 business days after the Effective Date.  As a result, the Expansion Premises Administrative Rent shall not be deducted from any tenant improvement allowances available to Tenant under the Lease, including the Additional Expansion Premises TI Allowance or the Base 2022 Expansion Premises TI Allowance.</w:t>
      </w:r>
    </w:p>
    <w:p>
      <w:pPr>
        <w:pStyle w:val="TextBody"/>
        <w:spacing w:lineRule="auto" w:line="285" w:before="0" w:after="0"/>
        <w:ind w:left="1440" w:right="0" w:hanging="0"/>
        <w:jc w:val="both"/>
        <w:rPr/>
      </w:pPr>
      <w:r>
        <w:rPr/>
        <w:t>​</w:t>
      </w:r>
    </w:p>
    <w:tbl>
      <w:tblPr>
        <w:tblW w:w="1623" w:type="dxa"/>
        <w:jc w:val="left"/>
        <w:tblInd w:w="0" w:type="dxa"/>
        <w:tblCellMar>
          <w:top w:w="0" w:type="dxa"/>
          <w:left w:w="0" w:type="dxa"/>
          <w:bottom w:w="0" w:type="dxa"/>
          <w:right w:w="0" w:type="dxa"/>
        </w:tblCellMar>
      </w:tblPr>
      <w:tblGrid>
        <w:gridCol w:w="23"/>
        <w:gridCol w:w="185"/>
        <w:gridCol w:w="1415"/>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rFonts w:ascii="Arial;Helvetica;sans-serif" w:hAnsi="Arial;Helvetica;sans-serif"/>
                <w:sz w:val="20"/>
              </w:rPr>
            </w:pPr>
            <w:r>
              <w:rPr>
                <w:rFonts w:ascii="Arial;Helvetica;sans-serif" w:hAnsi="Arial;Helvetica;sans-serif"/>
                <w:sz w:val="20"/>
              </w:rPr>
              <w:t>5.</w:t>
            </w:r>
          </w:p>
        </w:tc>
        <w:tc>
          <w:tcPr>
            <w:tcW w:w="1415" w:type="dxa"/>
            <w:tcBorders/>
            <w:shd w:fill="auto" w:val="clear"/>
            <w:vAlign w:val="center"/>
          </w:tcPr>
          <w:p>
            <w:pPr>
              <w:pStyle w:val="TableContents"/>
              <w:spacing w:before="0" w:after="283"/>
              <w:rPr/>
            </w:pPr>
            <w:r>
              <w:rPr>
                <w:rFonts w:ascii="Arial;Helvetica;sans-serif" w:hAnsi="Arial;Helvetica;sans-serif"/>
                <w:b/>
                <w:i w:val="false"/>
                <w:caps w:val="false"/>
                <w:smallCaps w:val="false"/>
                <w:sz w:val="20"/>
              </w:rPr>
              <w:t>Miscellaneous</w:t>
            </w:r>
            <w:r>
              <w:rPr>
                <w:rFonts w:ascii="Arial;Helvetica;sans-serif" w:hAnsi="Arial;Helvetica;sans-serif"/>
                <w:b w:val="false"/>
                <w:i w:val="false"/>
                <w:caps w:val="false"/>
                <w:smallCaps w:val="false"/>
                <w:sz w:val="20"/>
              </w:rPr>
              <w:t>.</w:t>
            </w:r>
          </w:p>
        </w:tc>
      </w:tr>
    </w:tbl>
    <w:p>
      <w:pPr>
        <w:pStyle w:val="TextBody"/>
        <w:spacing w:lineRule="auto" w:line="285" w:before="0" w:after="0"/>
        <w:ind w:left="720" w:right="0" w:hanging="0"/>
        <w:jc w:val="both"/>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a.</w:t>
      </w:r>
      <w:r>
        <w:rPr>
          <w:rFonts w:ascii="Arial;Helvetica;sans-serif" w:hAnsi="Arial;Helvetica;sans-serif"/>
          <w:b/>
          <w:sz w:val="20"/>
        </w:rPr>
        <w:t>Entire Agreement</w:t>
      </w:r>
      <w:r>
        <w:rPr>
          <w:rFonts w:ascii="Arial;Helvetica;sans-serif" w:hAnsi="Arial;Helvetica;sans-serif"/>
          <w:sz w:val="20"/>
        </w:rPr>
        <w:t>.  The Lease, as amended by this Sixth Amendment, is the entire agreement between the parties with respect to the subject matter hereof and supersedes all prior and contemporaneous oral and written agreements and discussions.  The Lease, as so amended by this Sixth Amendment, may be amended only by an agreement in writing, signed by the parties hereto.</w:t>
      </w:r>
    </w:p>
    <w:p>
      <w:pPr>
        <w:pStyle w:val="TextBody"/>
        <w:spacing w:lineRule="auto" w:line="285" w:before="0" w:after="0"/>
        <w:ind w:left="1440" w:right="0" w:hanging="0"/>
        <w:jc w:val="both"/>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b.</w:t>
      </w:r>
      <w:r>
        <w:rPr>
          <w:rFonts w:ascii="Arial;Helvetica;sans-serif" w:hAnsi="Arial;Helvetica;sans-serif"/>
          <w:b/>
          <w:sz w:val="20"/>
        </w:rPr>
        <w:t>Binding Effect</w:t>
      </w:r>
      <w:r>
        <w:rPr>
          <w:rFonts w:ascii="Arial;Helvetica;sans-serif" w:hAnsi="Arial;Helvetica;sans-serif"/>
          <w:sz w:val="20"/>
        </w:rPr>
        <w:t>.  This Sixth Amendment is binding upon and shall inure to the benefit of the parties hereto, their respective agents, employees, members, representatives, officers, directors, divisions, subsidiaries, affiliates, assigns, heirs, successors in interest and shareholders.</w:t>
      </w:r>
    </w:p>
    <w:p>
      <w:pPr>
        <w:pStyle w:val="TextBody"/>
        <w:spacing w:lineRule="auto" w:line="285" w:before="0" w:after="0"/>
        <w:ind w:left="720" w:right="0" w:hanging="0"/>
        <w:rPr/>
      </w:pPr>
      <w:r>
        <w:rPr/>
        <w:t>​</w:t>
      </w:r>
    </w:p>
    <w:p>
      <w:pPr>
        <w:pStyle w:val="TextBody"/>
        <w:spacing w:lineRule="auto" w:line="285" w:before="0" w:after="0"/>
        <w:ind w:left="0" w:right="0" w:hanging="0"/>
        <w:jc w:val="both"/>
        <w:rPr>
          <w:rFonts w:ascii="Times New Roman;Times;serif" w:hAnsi="Times New Roman;Times;serif"/>
          <w:sz w:val="24"/>
        </w:rPr>
      </w:pPr>
      <w:r>
        <w:rPr>
          <w:rFonts w:ascii="Arial;Helvetica;sans-serif" w:hAnsi="Arial;Helvetica;sans-serif"/>
          <w:sz w:val="20"/>
        </w:rPr>
        <w:t>c.</w:t>
      </w:r>
      <w:r>
        <w:rPr>
          <w:rFonts w:ascii="Arial;Helvetica;sans-serif" w:hAnsi="Arial;Helvetica;sans-serif"/>
          <w:b/>
          <w:sz w:val="20"/>
        </w:rPr>
        <w:t>Broker</w:t>
      </w:r>
      <w:r>
        <w:rPr>
          <w:rFonts w:ascii="Arial;Helvetica;sans-serif" w:hAnsi="Arial;Helvetica;sans-serif"/>
          <w:sz w:val="20"/>
        </w:rPr>
        <w:t>.  Landlord and Tenant each represents and warrants that it has not dealt with any broker, agent, or other person (collectively, “</w:t>
      </w:r>
      <w:r>
        <w:rPr>
          <w:rFonts w:ascii="Arial;Helvetica;sans-serif" w:hAnsi="Arial;Helvetica;sans-serif"/>
          <w:b/>
          <w:sz w:val="20"/>
        </w:rPr>
        <w:t>Broker</w:t>
      </w:r>
      <w:r>
        <w:rPr>
          <w:rFonts w:ascii="Times New Roman;Times;serif" w:hAnsi="Times New Roman;Times;serif"/>
          <w:sz w:val="24"/>
        </w:rPr>
        <w:t>”</w:t>
      </w:r>
      <w:r>
        <w:rPr>
          <w:rFonts w:ascii="Arial;Helvetica;sans-serif" w:hAnsi="Arial;Helvetica;sans-serif"/>
          <w:sz w:val="20"/>
        </w:rPr>
        <w:t xml:space="preserve">) in connection with this Sixth Amendment and that no Broker brought about this Sixth Amendment.  Landlord and Tenant each hereby agree to indemnify and hold the other harmless from and against any claims by any Broker claiming a commission or other form of compensation by virtue of having dealt with Tenant or Landlord, as applicable, with regard </w:t>
      </w:r>
    </w:p>
    <w:p>
      <w:pPr>
        <w:pStyle w:val="HorizontalLine"/>
        <w:rPr/>
      </w:pPr>
      <w:r>
        <w:rPr/>
      </w:r>
    </w:p>
    <w:p>
      <w:pPr>
        <w:pStyle w:val="TextBody"/>
        <w:spacing w:lineRule="auto" w:line="285"/>
        <w:ind w:left="0" w:right="0" w:hanging="0"/>
        <w:jc w:val="both"/>
        <w:rPr>
          <w:rFonts w:ascii="Arial;Helvetica;sans-serif" w:hAnsi="Arial;Helvetica;sans-serif"/>
          <w:sz w:val="20"/>
        </w:rPr>
      </w:pPr>
      <w:r>
        <w:rPr>
          <w:rFonts w:ascii="Arial;Helvetica;sans-serif" w:hAnsi="Arial;Helvetica;sans-serif"/>
          <w:sz w:val="20"/>
        </w:rPr>
        <w:t>to this Sixth Amendment.</w:t>
      </w:r>
    </w:p>
    <w:p>
      <w:pPr>
        <w:pStyle w:val="TextBody"/>
        <w:spacing w:lineRule="auto" w:line="285" w:before="0" w:after="0"/>
        <w:ind w:left="720" w:right="0" w:hanging="0"/>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d.</w:t>
      </w:r>
      <w:r>
        <w:rPr>
          <w:rFonts w:ascii="Arial;Helvetica;sans-serif" w:hAnsi="Arial;Helvetica;sans-serif"/>
          <w:b/>
          <w:sz w:val="20"/>
        </w:rPr>
        <w:t>Counterparts</w:t>
      </w:r>
      <w:r>
        <w:rPr>
          <w:rFonts w:ascii="Arial;Helvetica;sans-serif" w:hAnsi="Arial;Helvetica;sans-serif"/>
          <w:sz w:val="20"/>
        </w:rPr>
        <w:t>.  This Sixth Amendment may be executed in 2 or more counterparts, each of which shall be deemed an original, but all of which together shall constitute one and the same instrument.  Counterparts may be delivered via facsimile, electronic mail (including pdf or any electronic signature process complying with the U.S. federal ESIGN Act of 2000, including DocuSign) or other transmission method and any counterpart so delivered shall be deemed to have been duly and validly delivered and be valid and effective for all purposes.  Electronic signatures shall be deemed original signatures for purposes of this Sixth Amendment and all matters related thereto, with such electronic signatures having the same legal effect as original signatures.</w:t>
      </w:r>
    </w:p>
    <w:p>
      <w:pPr>
        <w:pStyle w:val="TextBody"/>
        <w:spacing w:lineRule="auto" w:line="285" w:before="0" w:after="0"/>
        <w:ind w:left="720" w:right="0" w:hanging="0"/>
        <w:rPr/>
      </w:pPr>
      <w:r>
        <w:rPr/>
        <w:t>​</w:t>
      </w:r>
    </w:p>
    <w:p>
      <w:pPr>
        <w:pStyle w:val="TextBody"/>
        <w:spacing w:lineRule="auto" w:line="285"/>
        <w:ind w:left="0" w:right="0" w:hanging="0"/>
        <w:jc w:val="both"/>
        <w:rPr>
          <w:rFonts w:ascii="Times New Roman;Times;serif" w:hAnsi="Times New Roman;Times;serif"/>
          <w:sz w:val="24"/>
        </w:rPr>
      </w:pPr>
      <w:r>
        <w:rPr>
          <w:rFonts w:ascii="Arial;Helvetica;sans-serif" w:hAnsi="Arial;Helvetica;sans-serif"/>
          <w:sz w:val="20"/>
        </w:rPr>
        <w:t>e.</w:t>
      </w:r>
      <w:r>
        <w:rPr>
          <w:rFonts w:ascii="Arial;Helvetica;sans-serif" w:hAnsi="Arial;Helvetica;sans-serif"/>
          <w:b/>
          <w:sz w:val="20"/>
        </w:rPr>
        <w:t>Ratification; Conflicts</w:t>
      </w:r>
      <w:r>
        <w:rPr>
          <w:rFonts w:ascii="Arial;Helvetica;sans-serif" w:hAnsi="Arial;Helvetica;sans-serif"/>
          <w:sz w:val="20"/>
        </w:rPr>
        <w:t>.  Except as amended and/or modified by this Sixth Amendment, the Lease is hereby ratified and confirmed and all other terms of the Lease shall remain in full force and effect, unaltered and unchanged by this Sixth Amendment.  In the event of any conflict between the provisions of this Sixth Amendment and the provisions of the Lease, the provisions of this Sixth Amendment shall prevail.  Regardless of whether specifically amended by this Sixth Amendment, all of the terms and provisions of the Lease are hereby amended to the extent necessary to give effect to the purpose and intent of this Sixth Amendment.</w:t>
      </w:r>
    </w:p>
    <w:p>
      <w:pPr>
        <w:pStyle w:val="TextBody"/>
        <w:spacing w:lineRule="auto" w:line="285" w:before="0" w:after="0"/>
        <w:ind w:left="420" w:right="0" w:hanging="0"/>
        <w:jc w:val="both"/>
        <w:rPr/>
      </w:pPr>
      <w:r>
        <w:rPr/>
        <w:t>​</w:t>
      </w:r>
    </w:p>
    <w:p>
      <w:pPr>
        <w:pStyle w:val="TextBody"/>
        <w:spacing w:lineRule="auto" w:line="285" w:before="0" w:after="0"/>
        <w:ind w:left="0" w:right="0" w:hanging="0"/>
        <w:jc w:val="center"/>
        <w:rPr>
          <w:rFonts w:ascii="Arial;Helvetica;sans-serif" w:hAnsi="Arial;Helvetica;sans-serif"/>
          <w:b/>
          <w:sz w:val="20"/>
        </w:rPr>
      </w:pPr>
      <w:r>
        <w:rPr>
          <w:rFonts w:ascii="Arial;Helvetica;sans-serif" w:hAnsi="Arial;Helvetica;sans-serif"/>
          <w:b/>
          <w:sz w:val="20"/>
        </w:rPr>
        <w:t>[SIGNATURES APPEAR ON NEXT PAGE]</w:t>
      </w:r>
    </w:p>
    <w:p>
      <w:pPr>
        <w:pStyle w:val="HorizontalLine"/>
        <w:rPr/>
      </w:pPr>
      <w:r>
        <w:rPr/>
      </w:r>
    </w:p>
    <w:p>
      <w:pPr>
        <w:pStyle w:val="TextBody"/>
        <w:spacing w:lineRule="auto" w:line="285" w:before="0" w:after="0"/>
        <w:ind w:left="0" w:right="0" w:firstLine="720"/>
        <w:jc w:val="both"/>
        <w:rPr>
          <w:rFonts w:ascii="Arial;Helvetica;sans-serif" w:hAnsi="Arial;Helvetica;sans-serif"/>
          <w:sz w:val="20"/>
        </w:rPr>
      </w:pPr>
      <w:r>
        <w:rPr>
          <w:rFonts w:ascii="Arial;Helvetica;sans-serif" w:hAnsi="Arial;Helvetica;sans-serif"/>
          <w:sz w:val="20"/>
        </w:rPr>
        <w:t>IN WITNESS WHEREOF, the parties hereto have executed this Sixth Amendment under seal as of the day and year first above written.</w:t>
      </w:r>
    </w:p>
    <w:p>
      <w:pPr>
        <w:pStyle w:val="TextBody"/>
        <w:spacing w:lineRule="auto" w:line="285" w:before="0" w:after="0"/>
        <w:ind w:left="0" w:right="0" w:hanging="0"/>
        <w:rPr/>
      </w:pPr>
      <w:r>
        <w:rPr/>
        <w:t>​</w:t>
      </w:r>
    </w:p>
    <w:p>
      <w:pPr>
        <w:pStyle w:val="TextBody"/>
        <w:spacing w:lineRule="auto" w:line="285" w:before="0" w:after="240"/>
        <w:ind w:left="3600" w:right="0" w:hanging="0"/>
        <w:rPr>
          <w:rFonts w:ascii="Arial;Helvetica;sans-serif" w:hAnsi="Arial;Helvetica;sans-serif"/>
          <w:b/>
          <w:sz w:val="20"/>
        </w:rPr>
      </w:pPr>
      <w:r>
        <w:rPr>
          <w:rFonts w:ascii="Arial;Helvetica;sans-serif" w:hAnsi="Arial;Helvetica;sans-serif"/>
          <w:b/>
          <w:sz w:val="20"/>
        </w:rPr>
        <w:t>TENANT:</w:t>
      </w:r>
    </w:p>
    <w:p>
      <w:pPr>
        <w:pStyle w:val="TextBody"/>
        <w:spacing w:lineRule="auto" w:line="285" w:before="0" w:after="0"/>
        <w:ind w:left="3600" w:right="0" w:hanging="0"/>
        <w:rPr>
          <w:rFonts w:ascii="Times New Roman;Times;serif" w:hAnsi="Times New Roman;Times;serif"/>
          <w:sz w:val="20"/>
        </w:rPr>
      </w:pPr>
      <w:r>
        <w:rPr>
          <w:rFonts w:ascii="Arial;Helvetica;sans-serif" w:hAnsi="Arial;Helvetica;sans-serif"/>
          <w:b/>
          <w:caps/>
          <w:sz w:val="20"/>
        </w:rPr>
        <w:t>nextcure, inc</w:t>
      </w:r>
      <w:r>
        <w:rPr>
          <w:rFonts w:ascii="Arial;Helvetica;sans-serif" w:hAnsi="Arial;Helvetica;sans-serif"/>
          <w:sz w:val="20"/>
        </w:rPr>
        <w:t>.,</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a Delaware corporation</w:t>
      </w:r>
    </w:p>
    <w:p>
      <w:pPr>
        <w:pStyle w:val="TextBody"/>
        <w:spacing w:lineRule="auto" w:line="285" w:before="0" w:after="0"/>
        <w:ind w:left="3600" w:right="0" w:hanging="0"/>
        <w:rPr/>
      </w:pPr>
      <w:r>
        <w:rPr/>
        <w:t>​</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Michael Richman /s/</w:t>
      </w:r>
    </w:p>
    <w:p>
      <w:pPr>
        <w:pStyle w:val="TextBody"/>
        <w:spacing w:lineRule="auto" w:line="285" w:before="0" w:after="0"/>
        <w:ind w:left="3600" w:right="0" w:hanging="0"/>
        <w:rPr/>
      </w:pPr>
      <w:r>
        <w:rPr/>
        <w:t>​</w:t>
      </w:r>
    </w:p>
    <w:p>
      <w:pPr>
        <w:pStyle w:val="TextBody"/>
        <w:spacing w:lineRule="auto" w:line="285" w:before="0" w:after="0"/>
        <w:ind w:left="3600" w:right="0" w:hanging="0"/>
        <w:rPr>
          <w:rFonts w:ascii="Times New Roman;Times;serif" w:hAnsi="Times New Roman;Times;serif"/>
          <w:sz w:val="20"/>
        </w:rPr>
      </w:pPr>
      <w:r>
        <w:rPr>
          <w:rFonts w:ascii="Arial;Helvetica;sans-serif" w:hAnsi="Arial;Helvetica;sans-serif"/>
          <w:sz w:val="20"/>
        </w:rPr>
        <w:t xml:space="preserve">By: </w:t>
      </w:r>
      <w:r>
        <w:rPr>
          <w:rFonts w:ascii="Arial;Helvetica;sans-serif" w:hAnsi="Arial;Helvetica;sans-serif"/>
          <w:sz w:val="20"/>
          <w:u w:val="single"/>
        </w:rPr>
        <w:t xml:space="preserve">Michael Richman </w:t>
      </w:r>
      <w:r>
        <w:rPr>
          <w:rFonts w:ascii="Arial;Helvetica;sans-serif" w:hAnsi="Arial;Helvetica;sans-serif"/>
          <w:sz w:val="20"/>
        </w:rPr>
        <w:t>(SEAL)</w:t>
      </w:r>
    </w:p>
    <w:p>
      <w:pPr>
        <w:pStyle w:val="TextBody"/>
        <w:spacing w:lineRule="auto" w:line="285" w:before="0" w:after="0"/>
        <w:ind w:left="3600" w:right="0" w:hanging="0"/>
        <w:rPr>
          <w:rFonts w:ascii="Times New Roman;Times;serif" w:hAnsi="Times New Roman;Times;serif"/>
          <w:sz w:val="20"/>
        </w:rPr>
      </w:pPr>
      <w:r>
        <w:rPr>
          <w:rFonts w:ascii="Arial;Helvetica;sans-serif" w:hAnsi="Arial;Helvetica;sans-serif"/>
          <w:sz w:val="20"/>
        </w:rPr>
        <w:t xml:space="preserve">Its: </w:t>
      </w:r>
      <w:r>
        <w:rPr>
          <w:rFonts w:ascii="Arial;Helvetica;sans-serif" w:hAnsi="Arial;Helvetica;sans-serif"/>
          <w:sz w:val="20"/>
          <w:u w:val="single"/>
        </w:rPr>
        <w:t>President and CEO _</w:t>
      </w:r>
      <w:r>
        <w:rPr>
          <w:rFonts w:ascii="Times New Roman;Times;serif" w:hAnsi="Times New Roman;Times;serif"/>
          <w:sz w:val="20"/>
        </w:rPr>
        <w:t xml:space="preserve"> </w:t>
      </w:r>
    </w:p>
    <w:p>
      <w:pPr>
        <w:pStyle w:val="TextBody"/>
        <w:spacing w:lineRule="auto" w:line="285" w:before="0" w:after="0"/>
        <w:ind w:left="3600" w:right="0" w:hanging="0"/>
        <w:rPr/>
      </w:pPr>
      <w:r>
        <w:rPr/>
        <w:t>​</w:t>
      </w:r>
    </w:p>
    <w:p>
      <w:pPr>
        <w:pStyle w:val="TextBody"/>
        <w:spacing w:lineRule="auto" w:line="285" w:before="0" w:after="0"/>
        <w:ind w:left="3600" w:right="0" w:hanging="0"/>
        <w:rPr>
          <w:rFonts w:ascii="Times New Roman;Times;serif" w:hAnsi="Times New Roman;Times;serif"/>
          <w:sz w:val="20"/>
        </w:rPr>
      </w:pPr>
      <w:r>
        <w:rPr>
          <w:rFonts w:ascii="Arial;Helvetica;sans-serif" w:hAnsi="Arial;Helvetica;sans-serif"/>
          <w:sz w:val="28"/>
        </w:rPr>
        <w:t>X</w:t>
      </w:r>
      <w:r>
        <w:rPr>
          <w:rFonts w:ascii="Times New Roman;Times;serif" w:hAnsi="Times New Roman;Times;serif"/>
          <w:sz w:val="20"/>
        </w:rPr>
        <w:t xml:space="preserve"> </w:t>
      </w:r>
      <w:r>
        <w:rPr>
          <w:rFonts w:ascii="Arial;Helvetica;sans-serif" w:hAnsi="Arial;Helvetica;sans-serif"/>
          <w:sz w:val="20"/>
        </w:rPr>
        <w:t>I hereby certify that the signature, name, and title</w:t>
        <w:br/>
        <w:t>above are my signature, name, and title.</w:t>
      </w:r>
    </w:p>
    <w:p>
      <w:pPr>
        <w:pStyle w:val="TextBody"/>
        <w:spacing w:lineRule="auto" w:line="285" w:before="0" w:after="0"/>
        <w:ind w:left="3600" w:right="0" w:hanging="0"/>
        <w:rPr/>
      </w:pPr>
      <w:r>
        <w:rPr/>
        <w:t>​</w:t>
      </w:r>
    </w:p>
    <w:p>
      <w:pPr>
        <w:pStyle w:val="TextBody"/>
        <w:spacing w:lineRule="auto" w:line="285" w:before="0" w:after="0"/>
        <w:ind w:left="3600" w:right="0" w:hanging="0"/>
        <w:rPr/>
      </w:pPr>
      <w:r>
        <w:rPr/>
        <w:t>​</w:t>
      </w:r>
    </w:p>
    <w:p>
      <w:pPr>
        <w:pStyle w:val="TextBody"/>
        <w:spacing w:lineRule="auto" w:line="285" w:before="0" w:after="0"/>
        <w:ind w:left="3600" w:right="0" w:hanging="0"/>
        <w:rPr/>
      </w:pPr>
      <w:r>
        <w:rPr/>
        <w:t>​</w:t>
      </w:r>
    </w:p>
    <w:p>
      <w:pPr>
        <w:pStyle w:val="TextBody"/>
        <w:spacing w:lineRule="auto" w:line="285" w:before="0" w:after="240"/>
        <w:ind w:left="3600" w:right="0" w:hanging="0"/>
        <w:rPr>
          <w:rFonts w:ascii="Arial;Helvetica;sans-serif" w:hAnsi="Arial;Helvetica;sans-serif"/>
          <w:b/>
          <w:sz w:val="20"/>
        </w:rPr>
      </w:pPr>
      <w:r>
        <w:rPr>
          <w:rFonts w:ascii="Arial;Helvetica;sans-serif" w:hAnsi="Arial;Helvetica;sans-serif"/>
          <w:b/>
          <w:sz w:val="20"/>
        </w:rPr>
        <w:t>LANDLORD:</w:t>
      </w:r>
    </w:p>
    <w:p>
      <w:pPr>
        <w:pStyle w:val="TextBody"/>
        <w:spacing w:lineRule="auto" w:line="285" w:before="0" w:after="0"/>
        <w:ind w:left="3600" w:right="0" w:hanging="0"/>
        <w:rPr>
          <w:rFonts w:ascii="Times New Roman;Times;serif" w:hAnsi="Times New Roman;Times;serif"/>
          <w:sz w:val="20"/>
        </w:rPr>
      </w:pPr>
      <w:r>
        <w:rPr>
          <w:rFonts w:ascii="Arial;Helvetica;sans-serif" w:hAnsi="Arial;Helvetica;sans-serif"/>
          <w:b/>
          <w:sz w:val="20"/>
        </w:rPr>
        <w:t>ARE-8000/9000/10000 VIRGINIA MANOR, LLC</w:t>
      </w:r>
      <w:r>
        <w:rPr>
          <w:rFonts w:ascii="Arial;Helvetica;sans-serif" w:hAnsi="Arial;Helvetica;sans-serif"/>
          <w:sz w:val="20"/>
        </w:rPr>
        <w:t xml:space="preserve">, </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a Delaware limited liability company</w:t>
      </w:r>
    </w:p>
    <w:p>
      <w:pPr>
        <w:pStyle w:val="TextBody"/>
        <w:spacing w:lineRule="auto" w:line="285" w:before="0" w:after="0"/>
        <w:ind w:left="3600" w:right="0" w:hanging="0"/>
        <w:rPr/>
      </w:pPr>
      <w:r>
        <w:rPr/>
        <w:t>​</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 xml:space="preserve">By:Alexandria Real Estate Equities, L.P., </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 xml:space="preserve">a Delaware limited partnership, </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managing member</w:t>
      </w:r>
    </w:p>
    <w:p>
      <w:pPr>
        <w:pStyle w:val="TextBody"/>
        <w:spacing w:lineRule="auto" w:line="285" w:before="0" w:after="0"/>
        <w:ind w:left="3600" w:right="0" w:hanging="0"/>
        <w:rPr/>
      </w:pPr>
      <w:r>
        <w:rPr/>
        <w:t>​</w:t>
      </w:r>
    </w:p>
    <w:p>
      <w:pPr>
        <w:pStyle w:val="TextBody"/>
        <w:spacing w:lineRule="auto" w:line="285" w:before="0" w:after="0"/>
        <w:ind w:left="4320" w:right="0" w:hanging="0"/>
        <w:rPr>
          <w:rFonts w:ascii="Arial;Helvetica;sans-serif" w:hAnsi="Arial;Helvetica;sans-serif"/>
          <w:sz w:val="20"/>
        </w:rPr>
      </w:pPr>
      <w:r>
        <w:rPr>
          <w:rFonts w:ascii="Arial;Helvetica;sans-serif" w:hAnsi="Arial;Helvetica;sans-serif"/>
          <w:sz w:val="20"/>
        </w:rPr>
        <w:t xml:space="preserve">By:ARE-QRS CORP., </w:t>
      </w:r>
    </w:p>
    <w:p>
      <w:pPr>
        <w:pStyle w:val="TextBody"/>
        <w:spacing w:lineRule="auto" w:line="285" w:before="0" w:after="0"/>
        <w:ind w:left="4320" w:right="0" w:firstLine="720"/>
        <w:rPr>
          <w:rFonts w:ascii="Arial;Helvetica;sans-serif" w:hAnsi="Arial;Helvetica;sans-serif"/>
          <w:sz w:val="20"/>
        </w:rPr>
      </w:pPr>
      <w:r>
        <w:rPr>
          <w:rFonts w:ascii="Arial;Helvetica;sans-serif" w:hAnsi="Arial;Helvetica;sans-serif"/>
          <w:sz w:val="20"/>
        </w:rPr>
        <w:t xml:space="preserve">a Maryland corporation, </w:t>
      </w:r>
    </w:p>
    <w:p>
      <w:pPr>
        <w:pStyle w:val="TextBody"/>
        <w:spacing w:lineRule="auto" w:line="285" w:before="0" w:after="0"/>
        <w:ind w:left="4320" w:right="0" w:hanging="0"/>
        <w:rPr>
          <w:rFonts w:ascii="Arial;Helvetica;sans-serif" w:hAnsi="Arial;Helvetica;sans-serif"/>
          <w:sz w:val="20"/>
        </w:rPr>
      </w:pPr>
      <w:r>
        <w:rPr>
          <w:rFonts w:ascii="Arial;Helvetica;sans-serif" w:hAnsi="Arial;Helvetica;sans-serif"/>
          <w:sz w:val="20"/>
        </w:rPr>
        <w:t>general partner</w:t>
      </w:r>
    </w:p>
    <w:p>
      <w:pPr>
        <w:pStyle w:val="TextBody"/>
        <w:spacing w:lineRule="auto" w:line="285" w:before="0" w:after="0"/>
        <w:ind w:left="4320" w:right="0" w:hanging="0"/>
        <w:rPr/>
      </w:pPr>
      <w:r>
        <w:rPr/>
        <w:t>​</w:t>
      </w:r>
    </w:p>
    <w:p>
      <w:pPr>
        <w:pStyle w:val="TextBody"/>
        <w:spacing w:lineRule="auto" w:line="285" w:before="0" w:after="0"/>
        <w:ind w:left="3600" w:right="0" w:hanging="0"/>
        <w:rPr/>
      </w:pPr>
      <w:r>
        <w:rPr/>
        <w:t>​</w:t>
      </w:r>
    </w:p>
    <w:p>
      <w:pPr>
        <w:pStyle w:val="TextBody"/>
        <w:spacing w:lineRule="auto" w:line="285" w:before="0" w:after="0"/>
        <w:ind w:left="3600" w:right="0" w:hanging="0"/>
        <w:rPr>
          <w:rFonts w:ascii="Arial;Helvetica;sans-serif" w:hAnsi="Arial;Helvetica;sans-serif"/>
          <w:sz w:val="20"/>
        </w:rPr>
      </w:pPr>
      <w:r>
        <w:rPr>
          <w:rFonts w:ascii="Arial;Helvetica;sans-serif" w:hAnsi="Arial;Helvetica;sans-serif"/>
          <w:sz w:val="20"/>
        </w:rPr>
        <w:t>Gregory Kay /s/</w:t>
      </w:r>
    </w:p>
    <w:p>
      <w:pPr>
        <w:pStyle w:val="TextBody"/>
        <w:spacing w:lineRule="auto" w:line="285" w:before="0" w:after="0"/>
        <w:ind w:left="5040" w:right="0" w:hanging="0"/>
        <w:rPr>
          <w:rFonts w:ascii="Arial;Helvetica;sans-serif" w:hAnsi="Arial;Helvetica;sans-serif"/>
          <w:sz w:val="20"/>
        </w:rPr>
      </w:pPr>
      <w:r>
        <w:rPr>
          <w:rFonts w:ascii="Arial;Helvetica;sans-serif" w:hAnsi="Arial;Helvetica;sans-serif"/>
          <w:sz w:val="20"/>
        </w:rPr>
        <w:t>By:____________________(SEAL)</w:t>
      </w:r>
    </w:p>
    <w:p>
      <w:pPr>
        <w:pStyle w:val="TextBody"/>
        <w:spacing w:lineRule="auto" w:line="285" w:before="0" w:after="0"/>
        <w:ind w:left="5040" w:right="0" w:hanging="0"/>
        <w:rPr>
          <w:rFonts w:ascii="Times New Roman;Times;serif" w:hAnsi="Times New Roman;Times;serif"/>
          <w:sz w:val="20"/>
        </w:rPr>
      </w:pPr>
      <w:r>
        <w:rPr>
          <w:rFonts w:ascii="Arial;Helvetica;sans-serif" w:hAnsi="Arial;Helvetica;sans-serif"/>
          <w:sz w:val="20"/>
        </w:rPr>
        <w:t>Name:_</w:t>
      </w:r>
      <w:r>
        <w:rPr>
          <w:rFonts w:ascii="Arial;Helvetica;sans-serif" w:hAnsi="Arial;Helvetica;sans-serif"/>
          <w:sz w:val="20"/>
          <w:u w:val="single"/>
        </w:rPr>
        <w:t>Gregory Kay</w:t>
      </w:r>
      <w:r>
        <w:rPr>
          <w:rFonts w:ascii="Arial;Helvetica;sans-serif" w:hAnsi="Arial;Helvetica;sans-serif"/>
          <w:sz w:val="20"/>
        </w:rPr>
        <w:t>____________</w:t>
      </w:r>
    </w:p>
    <w:p>
      <w:pPr>
        <w:pStyle w:val="TextBody"/>
        <w:spacing w:lineRule="auto" w:line="285" w:before="0" w:after="0"/>
        <w:ind w:left="5040" w:right="0" w:hanging="0"/>
        <w:rPr>
          <w:rFonts w:ascii="Times New Roman;Times;serif" w:hAnsi="Times New Roman;Times;serif"/>
          <w:sz w:val="20"/>
        </w:rPr>
      </w:pPr>
      <w:r>
        <w:rPr>
          <w:rFonts w:ascii="Arial;Helvetica;sans-serif" w:hAnsi="Arial;Helvetica;sans-serif"/>
          <w:sz w:val="20"/>
        </w:rPr>
        <w:t>Title:__</w:t>
      </w:r>
      <w:r>
        <w:rPr>
          <w:rFonts w:ascii="Arial;Helvetica;sans-serif" w:hAnsi="Arial;Helvetica;sans-serif"/>
          <w:sz w:val="20"/>
          <w:u w:val="single"/>
        </w:rPr>
        <w:t>SVP – Real Estate Legal Affairs</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726" w:name="nxtc-20230331xex31d1.htm"/>
      <w:bookmarkStart w:id="727" w:name="ksnxtc20230331xex31d1"/>
      <w:bookmarkEnd w:id="726"/>
      <w:bookmarkEnd w:id="727"/>
      <w:r>
        <w:rPr>
          <w:rFonts w:ascii="Times New Roman;Times;serif" w:hAnsi="Times New Roman;Times;serif"/>
          <w:b/>
          <w:sz w:val="20"/>
        </w:rPr>
        <w:t>EXHIBIT 31.1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Michael Richman, certify that: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108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72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144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3966" w:type="dxa"/>
        <w:jc w:val="center"/>
        <w:tblInd w:w="0" w:type="dxa"/>
        <w:tblCellMar>
          <w:top w:w="0" w:type="dxa"/>
          <w:left w:w="0" w:type="dxa"/>
          <w:bottom w:w="0" w:type="dxa"/>
          <w:right w:w="0" w:type="dxa"/>
        </w:tblCellMar>
      </w:tblPr>
      <w:tblGrid>
        <w:gridCol w:w="646"/>
        <w:gridCol w:w="3166"/>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410210" cy="175260"/>
                      <wp:effectExtent l="0" t="0" r="0" b="0"/>
                      <wp:wrapNone/>
                      <wp:docPr id="157" name="Frame157"/>
                      <a:graphic xmlns:a="http://schemas.openxmlformats.org/drawingml/2006/main">
                        <a:graphicData uri="http://schemas.microsoft.com/office/word/2010/wordprocessingShape">
                          <wps:wsp>
                            <wps:cNvSpPr txBox="1"/>
                            <wps:spPr>
                              <a:xfrm>
                                <a:off x="0" y="0"/>
                                <a:ext cx="410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10410" cy="175260"/>
                      <wp:effectExtent l="0" t="0" r="0" b="0"/>
                      <wp:wrapNone/>
                      <wp:docPr id="158" name="Frame158"/>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8425" cy="175260"/>
                      <wp:effectExtent l="0" t="0" r="0" b="0"/>
                      <wp:wrapNone/>
                      <wp:docPr id="159" name="Frame159"/>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812" w:type="dxa"/>
            <w:gridSpan w:val="2"/>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154" w:type="dxa"/>
            <w:tcBorders/>
            <w:shd w:fill="auto" w:val="clear"/>
            <w:vAlign w:val="center"/>
          </w:tcPr>
          <w:p>
            <w:pPr>
              <w:pStyle w:val="TableContents"/>
              <w:spacing w:before="0" w:after="0"/>
              <w:ind w:left="0" w:right="0" w:hanging="0"/>
              <w:rPr/>
            </w:pPr>
            <w:r>
              <w:rPr/>
              <w:t>​</w:t>
            </w:r>
          </w:p>
        </w:tc>
      </w:tr>
      <w:tr>
        <w:trPr/>
        <w:tc>
          <w:tcPr>
            <w:tcW w:w="3812" w:type="dxa"/>
            <w:gridSpan w:val="2"/>
            <w:tcBorders/>
            <w:shd w:fill="auto" w:val="clear"/>
            <w:vAlign w:val="center"/>
          </w:tcPr>
          <w:p>
            <w:pPr>
              <w:pStyle w:val="TableContents"/>
              <w:pBdr/>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1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3812" w:type="dxa"/>
            <w:gridSpan w:val="2"/>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 Michael Richman</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Richman</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1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728" w:name="nxtc-20230331xex31d2.htm"/>
      <w:bookmarkStart w:id="729" w:name="ksnxtc20230331xex31d2"/>
      <w:bookmarkEnd w:id="728"/>
      <w:bookmarkEnd w:id="729"/>
      <w:r>
        <w:rPr>
          <w:rFonts w:ascii="Times New Roman;Times;serif" w:hAnsi="Times New Roman;Times;serif"/>
          <w:b/>
          <w:sz w:val="20"/>
        </w:rPr>
        <w:t>EXHIBIT 31.2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I, Steven P. Cobourn, certify that: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1.    I have reviewed this quarterly report on Form 10-Q of NextCure, Inc.;</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108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1080" w:right="0" w:hanging="0"/>
        <w:rPr/>
      </w:pPr>
      <w:r>
        <w:rPr/>
        <w:t>​</w:t>
      </w:r>
    </w:p>
    <w:p>
      <w:pPr>
        <w:pStyle w:val="TextBody"/>
        <w:pBdr/>
        <w:spacing w:before="0" w:after="0"/>
        <w:ind w:left="360" w:right="0" w:hanging="360"/>
        <w:rPr>
          <w:rFonts w:ascii="Times New Roman;Times;serif" w:hAnsi="Times New Roman;Times;serif"/>
          <w:sz w:val="20"/>
        </w:rPr>
      </w:pPr>
      <w:r>
        <w:rPr>
          <w:rFonts w:ascii="Times New Roman;Times;serif" w:hAnsi="Times New Roman;Times;serif"/>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72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1440" w:right="0" w:hanging="0"/>
        <w:rPr/>
      </w:pPr>
      <w:r>
        <w:rPr/>
        <w:t>​</w:t>
      </w:r>
    </w:p>
    <w:p>
      <w:pPr>
        <w:pStyle w:val="TextBody"/>
        <w:spacing w:before="0" w:after="0"/>
        <w:ind w:left="1080" w:right="0" w:hanging="0"/>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w:t>
      </w:r>
    </w:p>
    <w:tbl>
      <w:tblPr>
        <w:tblW w:w="2766" w:type="dxa"/>
        <w:jc w:val="center"/>
        <w:tblInd w:w="0" w:type="dxa"/>
        <w:tblCellMar>
          <w:top w:w="0" w:type="dxa"/>
          <w:left w:w="0" w:type="dxa"/>
          <w:bottom w:w="0" w:type="dxa"/>
          <w:right w:w="0" w:type="dxa"/>
        </w:tblCellMar>
      </w:tblPr>
      <w:tblGrid>
        <w:gridCol w:w="646"/>
        <w:gridCol w:w="1966"/>
        <w:gridCol w:w="154"/>
      </w:tblGrid>
      <w:tr>
        <w:trPr/>
        <w:tc>
          <w:tcPr>
            <w:tcW w:w="6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410210" cy="29210"/>
                      <wp:effectExtent l="0" t="0" r="0" b="0"/>
                      <wp:wrapNone/>
                      <wp:docPr id="160" name="Frame160"/>
                      <a:graphic xmlns:a="http://schemas.openxmlformats.org/drawingml/2006/main">
                        <a:graphicData uri="http://schemas.microsoft.com/office/word/2010/wordprocessingShape">
                          <wps:wsp>
                            <wps:cNvSpPr txBox="1"/>
                            <wps:spPr>
                              <a:xfrm>
                                <a:off x="0" y="0"/>
                                <a:ext cx="4102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9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248410" cy="175260"/>
                      <wp:effectExtent l="0" t="0" r="0" b="0"/>
                      <wp:wrapNone/>
                      <wp:docPr id="161" name="Frame161"/>
                      <a:graphic xmlns:a="http://schemas.openxmlformats.org/drawingml/2006/main">
                        <a:graphicData uri="http://schemas.microsoft.com/office/word/2010/wordprocessingShape">
                          <wps:wsp>
                            <wps:cNvSpPr txBox="1"/>
                            <wps:spPr>
                              <a:xfrm>
                                <a:off x="0" y="0"/>
                                <a:ext cx="1248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98425" cy="175260"/>
                      <wp:effectExtent l="0" t="0" r="0" b="0"/>
                      <wp:wrapNone/>
                      <wp:docPr id="162" name="Frame162"/>
                      <a:graphic xmlns:a="http://schemas.openxmlformats.org/drawingml/2006/main">
                        <a:graphicData uri="http://schemas.microsoft.com/office/word/2010/wordprocessingShape">
                          <wps:wsp>
                            <wps:cNvSpPr txBox="1"/>
                            <wps:spPr>
                              <a:xfrm>
                                <a:off x="0" y="0"/>
                                <a:ext cx="984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12" w:type="dxa"/>
            <w:gridSpan w:val="2"/>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 May 4, 2023</w:t>
            </w:r>
          </w:p>
        </w:tc>
        <w:tc>
          <w:tcPr>
            <w:tcW w:w="154" w:type="dxa"/>
            <w:tcBorders/>
            <w:shd w:fill="auto" w:val="clear"/>
            <w:vAlign w:val="center"/>
          </w:tcPr>
          <w:p>
            <w:pPr>
              <w:pStyle w:val="TableContents"/>
              <w:spacing w:before="0" w:after="0"/>
              <w:ind w:left="0" w:right="0" w:hanging="0"/>
              <w:rPr/>
            </w:pPr>
            <w:r>
              <w:rPr/>
              <w:t>​</w:t>
            </w:r>
          </w:p>
        </w:tc>
      </w:tr>
      <w:tr>
        <w:trPr/>
        <w:tc>
          <w:tcPr>
            <w:tcW w:w="2612" w:type="dxa"/>
            <w:gridSpan w:val="2"/>
            <w:tcBorders/>
            <w:shd w:fill="auto" w:val="clear"/>
            <w:vAlign w:val="center"/>
          </w:tcPr>
          <w:p>
            <w:pPr>
              <w:pStyle w:val="TableContents"/>
              <w:pBdr/>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12" w:type="dxa"/>
            <w:gridSpan w:val="2"/>
            <w:tcBorders/>
            <w:shd w:fill="auto" w:val="clear"/>
            <w:vAlign w:val="center"/>
          </w:tcPr>
          <w:p>
            <w:pPr>
              <w:pStyle w:val="TableContents"/>
              <w:spacing w:before="0" w:after="0"/>
              <w:ind w:left="0" w:right="0" w:hanging="0"/>
              <w:rPr/>
            </w:pPr>
            <w:r>
              <w:rPr/>
              <w:t>​</w:t>
            </w:r>
          </w:p>
        </w:tc>
        <w:tc>
          <w:tcPr>
            <w:tcW w:w="154" w:type="dxa"/>
            <w:tcBorders/>
            <w:shd w:fill="auto" w:val="clear"/>
            <w:vAlign w:val="center"/>
          </w:tcPr>
          <w:p>
            <w:pPr>
              <w:pStyle w:val="TableContents"/>
              <w:spacing w:before="0" w:after="0"/>
              <w:ind w:left="0" w:right="0" w:hanging="0"/>
              <w:rPr/>
            </w:pPr>
            <w:r>
              <w:rPr/>
              <w:t>​</w:t>
            </w:r>
          </w:p>
        </w:tc>
      </w:tr>
      <w:tr>
        <w:trPr/>
        <w:tc>
          <w:tcPr>
            <w:tcW w:w="2612" w:type="dxa"/>
            <w:gridSpan w:val="2"/>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 Steven P. Cobourn</w:t>
            </w:r>
          </w:p>
        </w:tc>
        <w:tc>
          <w:tcPr>
            <w:tcW w:w="154"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Steven P. Cobourn</w:t>
            </w:r>
          </w:p>
        </w:tc>
        <w:tc>
          <w:tcPr>
            <w:tcW w:w="154" w:type="dxa"/>
            <w:tcBorders/>
            <w:shd w:fill="auto" w:val="clear"/>
            <w:vAlign w:val="center"/>
          </w:tcPr>
          <w:p>
            <w:pPr>
              <w:pStyle w:val="TableContents"/>
              <w:spacing w:before="0" w:after="0"/>
              <w:ind w:left="0" w:right="0" w:hanging="0"/>
              <w:rPr/>
            </w:pPr>
            <w:r>
              <w:rPr/>
              <w:t>​</w:t>
            </w:r>
          </w:p>
        </w:tc>
      </w:tr>
      <w:tr>
        <w:trPr/>
        <w:tc>
          <w:tcPr>
            <w:tcW w:w="6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19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c>
          <w:tcPr>
            <w:tcW w:w="154"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0"/>
        </w:rPr>
      </w:pPr>
      <w:bookmarkStart w:id="730" w:name="nxtc-20230331xex32d1.htm"/>
      <w:bookmarkStart w:id="731" w:name="ksnxtc20230331xex32d1"/>
      <w:bookmarkEnd w:id="730"/>
      <w:bookmarkEnd w:id="731"/>
      <w:r>
        <w:rPr>
          <w:rFonts w:ascii="Times New Roman;Times;serif" w:hAnsi="Times New Roman;Times;serif"/>
          <w:b/>
          <w:sz w:val="20"/>
        </w:rPr>
        <w:t>EXHIBIT 32.1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before="0" w:after="0"/>
        <w:ind w:left="0" w:right="0" w:hanging="0"/>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In connection with the Quarterly Report on Form 10-Q of NextCure, Inc. (the “Company”) for the quarter ended March 31, 2023, as filed with the Securities and Exchange Commission on the date hereof (the “Report”), the undersigned each hereby certifies pursuant to 18 U.S.C. Section 1350, as adopted pursuant to Section 906 of the Sarbanes-Oxley Act of 2002, that to the best of his knowledge, on the date hereof:</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spacing w:before="0" w:after="0"/>
        <w:ind w:left="0" w:right="0" w:hanging="0"/>
        <w:rPr/>
      </w:pPr>
      <w:r>
        <w:rPr/>
        <w:t>​</w:t>
      </w:r>
    </w:p>
    <w:p>
      <w:pPr>
        <w:pStyle w:val="TextBody"/>
        <w:pBdr/>
        <w:spacing w:before="0" w:after="0"/>
        <w:ind w:left="720" w:right="0" w:hanging="360"/>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spacing w:before="0" w:after="0"/>
        <w:ind w:left="0" w:right="0" w:hanging="0"/>
        <w:rPr/>
      </w:pPr>
      <w:r>
        <w:rPr/>
        <w:t>​</w:t>
      </w:r>
    </w:p>
    <w:tbl>
      <w:tblPr>
        <w:tblW w:w="5583" w:type="dxa"/>
        <w:jc w:val="center"/>
        <w:tblInd w:w="0" w:type="dxa"/>
        <w:tblCellMar>
          <w:top w:w="0" w:type="dxa"/>
          <w:left w:w="0" w:type="dxa"/>
          <w:bottom w:w="0" w:type="dxa"/>
          <w:right w:w="0" w:type="dxa"/>
        </w:tblCellMar>
      </w:tblPr>
      <w:tblGrid>
        <w:gridCol w:w="1741"/>
        <w:gridCol w:w="631"/>
        <w:gridCol w:w="321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105535" cy="175260"/>
                      <wp:effectExtent l="0" t="0" r="0" b="0"/>
                      <wp:wrapNone/>
                      <wp:docPr id="163" name="Frame163"/>
                      <a:graphic xmlns:a="http://schemas.openxmlformats.org/drawingml/2006/main">
                        <a:graphicData uri="http://schemas.microsoft.com/office/word/2010/wordprocessingShape">
                          <wps:wsp>
                            <wps:cNvSpPr txBox="1"/>
                            <wps:spPr>
                              <a:xfrm>
                                <a:off x="0" y="0"/>
                                <a:ext cx="1105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00685" cy="175260"/>
                      <wp:effectExtent l="0" t="0" r="0" b="0"/>
                      <wp:wrapNone/>
                      <wp:docPr id="164" name="Frame164"/>
                      <a:graphic xmlns:a="http://schemas.openxmlformats.org/drawingml/2006/main">
                        <a:graphicData uri="http://schemas.microsoft.com/office/word/2010/wordprocessingShape">
                          <wps:wsp>
                            <wps:cNvSpPr txBox="1"/>
                            <wps:spPr>
                              <a:xfrm>
                                <a:off x="0" y="0"/>
                                <a:ext cx="400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38985" cy="175260"/>
                      <wp:effectExtent l="0" t="0" r="0" b="0"/>
                      <wp:wrapNone/>
                      <wp:docPr id="165" name="Frame165"/>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Dated: May 4, 2023</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Michael Richman</w:t>
            </w:r>
          </w:p>
        </w:tc>
      </w:tr>
      <w:tr>
        <w:trPr/>
        <w:tc>
          <w:tcPr>
            <w:tcW w:w="1741"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Michael Richman</w:t>
            </w:r>
          </w:p>
        </w:tc>
      </w:tr>
      <w:tr>
        <w:trPr/>
        <w:tc>
          <w:tcPr>
            <w:tcW w:w="1741"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President and Chief Executive Officer</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Dated: May 4, 2023</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shd w:fill="auto" w:val="clear"/>
            <w:vAlign w:val="center"/>
          </w:tcPr>
          <w:p>
            <w:pPr>
              <w:pStyle w:val="TableContents"/>
              <w:spacing w:before="0" w:after="0"/>
              <w:ind w:left="0" w:right="0" w:hanging="0"/>
              <w:rPr/>
            </w:pPr>
            <w:r>
              <w:rPr/>
              <w:t>​</w:t>
            </w:r>
          </w:p>
        </w:tc>
      </w:tr>
      <w:tr>
        <w:trPr/>
        <w:tc>
          <w:tcPr>
            <w:tcW w:w="1741" w:type="dxa"/>
            <w:tcBorders/>
            <w:shd w:fill="auto" w:val="clear"/>
            <w:vAlign w:val="center"/>
          </w:tcPr>
          <w:p>
            <w:pPr>
              <w:pStyle w:val="TableContents"/>
              <w:spacing w:before="0" w:after="0"/>
              <w:ind w:left="0" w:right="0" w:hanging="0"/>
              <w:rPr/>
            </w:pPr>
            <w:r>
              <w:rPr/>
              <w:t>​</w:t>
            </w:r>
          </w:p>
        </w:tc>
        <w:tc>
          <w:tcPr>
            <w:tcW w:w="3842" w:type="dxa"/>
            <w:gridSpan w:val="2"/>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Steven P. Cobourn</w:t>
            </w:r>
          </w:p>
        </w:tc>
      </w:tr>
      <w:tr>
        <w:trPr/>
        <w:tc>
          <w:tcPr>
            <w:tcW w:w="1741"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Name: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Steven P. Cobourn</w:t>
            </w:r>
          </w:p>
        </w:tc>
      </w:tr>
      <w:tr>
        <w:trPr/>
        <w:tc>
          <w:tcPr>
            <w:tcW w:w="1741"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Title:</w:t>
            </w:r>
          </w:p>
        </w:tc>
        <w:tc>
          <w:tcPr>
            <w:tcW w:w="3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r>
        <w:trPr/>
        <w:tc>
          <w:tcPr>
            <w:tcW w:w="1741" w:type="dxa"/>
            <w:tcBorders/>
            <w:shd w:fill="auto" w:val="clear"/>
            <w:vAlign w:val="center"/>
          </w:tcPr>
          <w:p>
            <w:pPr>
              <w:pStyle w:val="TableContents"/>
              <w:spacing w:before="0" w:after="0"/>
              <w:ind w:left="0" w:right="0" w:hanging="0"/>
              <w:rPr/>
            </w:pPr>
            <w:r>
              <w:rPr/>
              <w:t>​</w:t>
            </w:r>
          </w:p>
        </w:tc>
        <w:tc>
          <w:tcPr>
            <w:tcW w:w="631" w:type="dxa"/>
            <w:tcBorders/>
            <w:shd w:fill="auto" w:val="clear"/>
            <w:vAlign w:val="center"/>
          </w:tcPr>
          <w:p>
            <w:pPr>
              <w:pStyle w:val="TableContents"/>
              <w:spacing w:before="0" w:after="0"/>
              <w:ind w:left="0" w:right="0" w:hanging="0"/>
              <w:rPr/>
            </w:pPr>
            <w:r>
              <w:rPr/>
              <w:t>​</w:t>
            </w:r>
          </w:p>
        </w:tc>
        <w:tc>
          <w:tcPr>
            <w:tcW w:w="321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12872</Words>
  <CharactersWithSpaces>85546</CharactersWithSpaces>
  <Paragraphs>2924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