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96520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101600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81" w:lineRule="exact"/>
        <w:rPr>
          <w:sz w:val="24"/>
          <w:szCs w:val="24"/>
          <w:color w:val="auto"/>
        </w:rPr>
      </w:pPr>
    </w:p>
    <w:p>
      <w:pPr>
        <w:ind w:left="3760" w:right="2520" w:hanging="3489"/>
        <w:spacing w:after="0" w:line="325" w:lineRule="auto"/>
        <w:tabs>
          <w:tab w:leader="none" w:pos="656" w:val="left"/>
        </w:tabs>
        <w:numPr>
          <w:ilvl w:val="0"/>
          <w:numId w:val="1"/>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180340</wp:posOffset>
            </wp:positionH>
            <wp:positionV relativeFrom="paragraph">
              <wp:posOffset>-276860</wp:posOffset>
            </wp:positionV>
            <wp:extent cx="69215" cy="70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2" w:lineRule="exact"/>
        <w:rPr>
          <w:sz w:val="24"/>
          <w:szCs w:val="24"/>
          <w:color w:val="auto"/>
        </w:rPr>
      </w:pPr>
    </w:p>
    <w:p>
      <w:pPr>
        <w:ind w:left="660" w:hanging="389"/>
        <w:spacing w:after="0"/>
        <w:tabs>
          <w:tab w:leader="none" w:pos="66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180340</wp:posOffset>
            </wp:positionH>
            <wp:positionV relativeFrom="paragraph">
              <wp:posOffset>-95885</wp:posOffset>
            </wp:positionV>
            <wp:extent cx="69215" cy="70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40" w:lineRule="exact"/>
        <w:rPr>
          <w:sz w:val="24"/>
          <w:szCs w:val="24"/>
          <w:color w:val="auto"/>
        </w:rPr>
      </w:pPr>
    </w:p>
    <w:p>
      <w:pPr>
        <w:ind w:left="3920"/>
        <w:spacing w:after="0"/>
        <w:tabs>
          <w:tab w:leader="none" w:pos="5840" w:val="left"/>
          <w:tab w:leader="none" w:pos="626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r>
        <w:rPr>
          <w:sz w:val="20"/>
          <w:szCs w:val="20"/>
          <w:color w:val="auto"/>
        </w:rPr>
        <w:tab/>
      </w:r>
      <w:r>
        <w:rPr>
          <w:rFonts w:ascii="Times New Roman" w:cs="Times New Roman" w:eastAsia="Times New Roman" w:hAnsi="Times New Roman"/>
          <w:sz w:val="13"/>
          <w:szCs w:val="13"/>
          <w:b w:val="1"/>
          <w:bCs w:val="1"/>
          <w:color w:val="auto"/>
        </w:rPr>
        <w:t>.</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001-38905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55245</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96" w:lineRule="exact"/>
        <w:rPr>
          <w:sz w:val="24"/>
          <w:szCs w:val="24"/>
          <w:color w:val="auto"/>
        </w:rPr>
      </w:pPr>
    </w:p>
    <w:tbl>
      <w:tblPr>
        <w:tblLayout w:type="fixed"/>
        <w:tblInd w:w="10" w:type="dxa"/>
        <w:tblCellMar>
          <w:top w:w="0" w:type="dxa"/>
          <w:left w:w="0" w:type="dxa"/>
          <w:bottom w:w="0" w:type="dxa"/>
          <w:right w:w="0" w:type="dxa"/>
        </w:tblCellMar>
      </w:tblPr>
      <w:tr>
        <w:trPr>
          <w:trHeight w:val="353"/>
        </w:trPr>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3"/>
          </w:tcPr>
          <w:p>
            <w:pPr>
              <w:jc w:val="center"/>
              <w:ind w:right="980"/>
              <w:spacing w:after="0"/>
              <w:rPr>
                <w:sz w:val="20"/>
                <w:szCs w:val="20"/>
                <w:color w:val="auto"/>
              </w:rPr>
            </w:pPr>
            <w:r>
              <w:rPr>
                <w:rFonts w:ascii="Times New Roman" w:cs="Times New Roman" w:eastAsia="Times New Roman" w:hAnsi="Times New Roman"/>
                <w:sz w:val="29"/>
                <w:szCs w:val="29"/>
                <w:b w:val="1"/>
                <w:bCs w:val="1"/>
                <w:color w:val="auto"/>
                <w:w w:val="98"/>
              </w:rPr>
              <w:t>NextCure, Inc.</w:t>
            </w:r>
          </w:p>
        </w:tc>
        <w:tc>
          <w:tcPr>
            <w:tcW w:w="3120" w:type="dxa"/>
            <w:vAlign w:val="bottom"/>
          </w:tcPr>
          <w:p>
            <w:pPr>
              <w:spacing w:after="0"/>
              <w:rPr>
                <w:sz w:val="24"/>
                <w:szCs w:val="24"/>
                <w:color w:val="auto"/>
              </w:rPr>
            </w:pPr>
          </w:p>
        </w:tc>
      </w:tr>
      <w:tr>
        <w:trPr>
          <w:trHeight w:val="188"/>
        </w:trPr>
        <w:tc>
          <w:tcPr>
            <w:tcW w:w="3560" w:type="dxa"/>
            <w:vAlign w:val="bottom"/>
          </w:tcPr>
          <w:p>
            <w:pPr>
              <w:spacing w:after="0"/>
              <w:rPr>
                <w:sz w:val="16"/>
                <w:szCs w:val="16"/>
                <w:color w:val="auto"/>
              </w:rPr>
            </w:pPr>
          </w:p>
        </w:tc>
        <w:tc>
          <w:tcPr>
            <w:tcW w:w="35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120" w:type="dxa"/>
            <w:vAlign w:val="bottom"/>
          </w:tcPr>
          <w:p>
            <w:pPr>
              <w:spacing w:after="0"/>
              <w:rPr>
                <w:sz w:val="16"/>
                <w:szCs w:val="16"/>
                <w:color w:val="auto"/>
              </w:rPr>
            </w:pPr>
          </w:p>
        </w:tc>
      </w:tr>
      <w:tr>
        <w:trPr>
          <w:trHeight w:val="78"/>
        </w:trPr>
        <w:tc>
          <w:tcPr>
            <w:tcW w:w="3840" w:type="dxa"/>
            <w:vAlign w:val="bottom"/>
            <w:gridSpan w:val="2"/>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120" w:type="dxa"/>
            <w:vAlign w:val="bottom"/>
          </w:tcPr>
          <w:p>
            <w:pPr>
              <w:spacing w:after="0"/>
              <w:rPr>
                <w:sz w:val="6"/>
                <w:szCs w:val="6"/>
                <w:color w:val="auto"/>
              </w:rPr>
            </w:pPr>
          </w:p>
        </w:tc>
      </w:tr>
      <w:tr>
        <w:trPr>
          <w:trHeight w:val="322"/>
        </w:trPr>
        <w:tc>
          <w:tcPr>
            <w:tcW w:w="4100" w:type="dxa"/>
            <w:vAlign w:val="bottom"/>
            <w:gridSpan w:val="3"/>
          </w:tcPr>
          <w:p>
            <w:pPr>
              <w:jc w:val="center"/>
              <w:ind w:left="9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20" w:type="dxa"/>
            <w:vAlign w:val="bottom"/>
          </w:tcPr>
          <w:p>
            <w:pPr>
              <w:jc w:val="right"/>
              <w:ind w:right="2128"/>
              <w:spacing w:after="0"/>
              <w:rPr>
                <w:sz w:val="20"/>
                <w:szCs w:val="20"/>
                <w:color w:val="auto"/>
              </w:rPr>
            </w:pPr>
            <w:r>
              <w:rPr>
                <w:rFonts w:ascii="Times New Roman" w:cs="Times New Roman" w:eastAsia="Times New Roman" w:hAnsi="Times New Roman"/>
                <w:sz w:val="14"/>
                <w:szCs w:val="14"/>
                <w:b w:val="1"/>
                <w:bCs w:val="1"/>
                <w:color w:val="auto"/>
              </w:rPr>
              <w:t>04-5231247</w:t>
            </w:r>
          </w:p>
        </w:tc>
      </w:tr>
      <w:tr>
        <w:trPr>
          <w:trHeight w:val="176"/>
        </w:trPr>
        <w:tc>
          <w:tcPr>
            <w:tcW w:w="4100" w:type="dxa"/>
            <w:vAlign w:val="bottom"/>
            <w:gridSpan w:val="3"/>
          </w:tcPr>
          <w:p>
            <w:pPr>
              <w:jc w:val="center"/>
              <w:ind w:left="96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2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20" w:type="dxa"/>
            <w:vAlign w:val="bottom"/>
          </w:tcPr>
          <w:p>
            <w:pPr>
              <w:jc w:val="center"/>
              <w:ind w:right="190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4100" w:type="dxa"/>
            <w:vAlign w:val="bottom"/>
            <w:gridSpan w:val="3"/>
          </w:tcPr>
          <w:p>
            <w:pPr>
              <w:jc w:val="center"/>
              <w:ind w:left="100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20" w:type="dxa"/>
            <w:vAlign w:val="bottom"/>
          </w:tcPr>
          <w:p>
            <w:pPr>
              <w:jc w:val="center"/>
              <w:ind w:right="188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42"/>
        </w:trPr>
        <w:tc>
          <w:tcPr>
            <w:tcW w:w="4100" w:type="dxa"/>
            <w:vAlign w:val="bottom"/>
            <w:gridSpan w:val="3"/>
          </w:tcPr>
          <w:p>
            <w:pPr>
              <w:jc w:val="center"/>
              <w:ind w:left="968"/>
              <w:spacing w:after="0"/>
              <w:rPr>
                <w:sz w:val="20"/>
                <w:szCs w:val="20"/>
                <w:color w:val="auto"/>
              </w:rPr>
            </w:pPr>
            <w:r>
              <w:rPr>
                <w:rFonts w:ascii="Times New Roman" w:cs="Times New Roman" w:eastAsia="Times New Roman" w:hAnsi="Times New Roman"/>
                <w:sz w:val="14"/>
                <w:szCs w:val="14"/>
                <w:b w:val="1"/>
                <w:bCs w:val="1"/>
                <w:color w:val="auto"/>
              </w:rPr>
              <w:t>9000 Virginia Manor Road, Suite 200</w:t>
            </w:r>
          </w:p>
        </w:tc>
        <w:tc>
          <w:tcPr>
            <w:tcW w:w="2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120" w:type="dxa"/>
            <w:vAlign w:val="bottom"/>
          </w:tcPr>
          <w:p>
            <w:pPr>
              <w:spacing w:after="0"/>
              <w:rPr>
                <w:sz w:val="21"/>
                <w:szCs w:val="21"/>
                <w:color w:val="auto"/>
              </w:rPr>
            </w:pPr>
          </w:p>
        </w:tc>
      </w:tr>
      <w:tr>
        <w:trPr>
          <w:trHeight w:val="178"/>
        </w:trPr>
        <w:tc>
          <w:tcPr>
            <w:tcW w:w="4100" w:type="dxa"/>
            <w:vAlign w:val="bottom"/>
            <w:gridSpan w:val="3"/>
          </w:tcPr>
          <w:p>
            <w:pPr>
              <w:jc w:val="center"/>
              <w:ind w:left="968"/>
              <w:spacing w:after="0"/>
              <w:rPr>
                <w:sz w:val="20"/>
                <w:szCs w:val="20"/>
                <w:color w:val="auto"/>
              </w:rPr>
            </w:pPr>
            <w:r>
              <w:rPr>
                <w:rFonts w:ascii="Times New Roman" w:cs="Times New Roman" w:eastAsia="Times New Roman" w:hAnsi="Times New Roman"/>
                <w:sz w:val="14"/>
                <w:szCs w:val="14"/>
                <w:b w:val="1"/>
                <w:bCs w:val="1"/>
                <w:color w:val="auto"/>
              </w:rPr>
              <w:t>Beltsville, Maryland</w:t>
            </w:r>
          </w:p>
        </w:tc>
        <w:tc>
          <w:tcPr>
            <w:tcW w:w="2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20" w:type="dxa"/>
            <w:vAlign w:val="bottom"/>
          </w:tcPr>
          <w:p>
            <w:pPr>
              <w:jc w:val="right"/>
              <w:ind w:right="2308"/>
              <w:spacing w:after="0"/>
              <w:rPr>
                <w:sz w:val="20"/>
                <w:szCs w:val="20"/>
                <w:color w:val="auto"/>
              </w:rPr>
            </w:pPr>
            <w:r>
              <w:rPr>
                <w:rFonts w:ascii="Times New Roman" w:cs="Times New Roman" w:eastAsia="Times New Roman" w:hAnsi="Times New Roman"/>
                <w:sz w:val="14"/>
                <w:szCs w:val="14"/>
                <w:b w:val="1"/>
                <w:bCs w:val="1"/>
                <w:color w:val="auto"/>
              </w:rPr>
              <w:t>20705</w:t>
            </w:r>
          </w:p>
        </w:tc>
      </w:tr>
      <w:tr>
        <w:trPr>
          <w:trHeight w:val="188"/>
        </w:trPr>
        <w:tc>
          <w:tcPr>
            <w:tcW w:w="4100" w:type="dxa"/>
            <w:vAlign w:val="bottom"/>
            <w:gridSpan w:val="3"/>
          </w:tcPr>
          <w:p>
            <w:pPr>
              <w:jc w:val="center"/>
              <w:ind w:left="98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20" w:type="dxa"/>
            <w:vAlign w:val="bottom"/>
          </w:tcPr>
          <w:p>
            <w:pPr>
              <w:jc w:val="center"/>
              <w:ind w:right="1928"/>
              <w:spacing w:after="0"/>
              <w:rPr>
                <w:sz w:val="20"/>
                <w:szCs w:val="20"/>
                <w:color w:val="auto"/>
              </w:rPr>
            </w:pPr>
            <w:r>
              <w:rPr>
                <w:rFonts w:ascii="Times New Roman" w:cs="Times New Roman" w:eastAsia="Times New Roman" w:hAnsi="Times New Roman"/>
                <w:sz w:val="14"/>
                <w:szCs w:val="14"/>
                <w:color w:val="auto"/>
              </w:rPr>
              <w:t>(Zip Code)</w:t>
            </w:r>
          </w:p>
        </w:tc>
      </w:tr>
      <w:tr>
        <w:trPr>
          <w:trHeight w:val="243"/>
        </w:trPr>
        <w:tc>
          <w:tcPr>
            <w:tcW w:w="7120" w:type="dxa"/>
            <w:vAlign w:val="bottom"/>
            <w:gridSpan w:val="6"/>
          </w:tcPr>
          <w:p>
            <w:pPr>
              <w:jc w:val="center"/>
              <w:ind w:left="3048"/>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(240) 399-4900</w:t>
            </w:r>
          </w:p>
        </w:tc>
        <w:tc>
          <w:tcPr>
            <w:tcW w:w="3120" w:type="dxa"/>
            <w:vAlign w:val="bottom"/>
          </w:tcPr>
          <w:p>
            <w:pPr>
              <w:spacing w:after="0"/>
              <w:rPr>
                <w:sz w:val="21"/>
                <w:szCs w:val="21"/>
                <w:color w:val="auto"/>
              </w:rPr>
            </w:pPr>
          </w:p>
        </w:tc>
      </w:tr>
      <w:tr>
        <w:trPr>
          <w:trHeight w:val="243"/>
        </w:trPr>
        <w:tc>
          <w:tcPr>
            <w:tcW w:w="410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120" w:type="dxa"/>
            <w:vAlign w:val="bottom"/>
          </w:tcPr>
          <w:p>
            <w:pPr>
              <w:spacing w:after="0"/>
              <w:rPr>
                <w:sz w:val="21"/>
                <w:szCs w:val="21"/>
                <w:color w:val="auto"/>
              </w:rPr>
            </w:pPr>
          </w:p>
        </w:tc>
      </w:tr>
      <w:tr>
        <w:trPr>
          <w:trHeight w:val="64"/>
        </w:trPr>
        <w:tc>
          <w:tcPr>
            <w:tcW w:w="35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r>
      <w:tr>
        <w:trPr>
          <w:trHeight w:val="142"/>
        </w:trPr>
        <w:tc>
          <w:tcPr>
            <w:tcW w:w="356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Title of each class</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40" w:type="dxa"/>
            <w:vAlign w:val="bottom"/>
            <w:tcBorders>
              <w:bottom w:val="single" w:sz="8" w:color="auto"/>
              <w:right w:val="single" w:sz="8" w:color="auto"/>
            </w:tcBorders>
            <w:gridSpan w:val="2"/>
          </w:tcPr>
          <w:p>
            <w:pPr>
              <w:jc w:val="center"/>
              <w:ind w:right="580"/>
              <w:spacing w:after="0" w:line="142" w:lineRule="exact"/>
              <w:rPr>
                <w:sz w:val="20"/>
                <w:szCs w:val="20"/>
                <w:color w:val="auto"/>
              </w:rPr>
            </w:pPr>
            <w:r>
              <w:rPr>
                <w:rFonts w:ascii="Times New Roman" w:cs="Times New Roman" w:eastAsia="Times New Roman" w:hAnsi="Times New Roman"/>
                <w:sz w:val="14"/>
                <w:szCs w:val="14"/>
                <w:color w:val="auto"/>
              </w:rPr>
              <w:t>Trading Symbol(s)</w:t>
            </w:r>
          </w:p>
        </w:tc>
        <w:tc>
          <w:tcPr>
            <w:tcW w:w="380" w:type="dxa"/>
            <w:vAlign w:val="bottom"/>
            <w:tcBorders>
              <w:bottom w:val="single" w:sz="8" w:color="auto"/>
            </w:tcBorders>
          </w:tcPr>
          <w:p>
            <w:pPr>
              <w:spacing w:after="0"/>
              <w:rPr>
                <w:sz w:val="12"/>
                <w:szCs w:val="12"/>
                <w:color w:val="auto"/>
              </w:rPr>
            </w:pPr>
          </w:p>
        </w:tc>
        <w:tc>
          <w:tcPr>
            <w:tcW w:w="3120" w:type="dxa"/>
            <w:vAlign w:val="bottom"/>
            <w:tcBorders>
              <w:bottom w:val="single" w:sz="8" w:color="auto"/>
              <w:right w:val="single" w:sz="8" w:color="auto"/>
            </w:tcBorders>
          </w:tcPr>
          <w:p>
            <w:pPr>
              <w:jc w:val="center"/>
              <w:ind w:right="328"/>
              <w:spacing w:after="0" w:line="142" w:lineRule="exact"/>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42"/>
        </w:trPr>
        <w:tc>
          <w:tcPr>
            <w:tcW w:w="356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Common Stock, $0.001 par value per share</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40" w:type="dxa"/>
            <w:vAlign w:val="bottom"/>
            <w:tcBorders>
              <w:bottom w:val="single" w:sz="8" w:color="auto"/>
              <w:right w:val="single" w:sz="8" w:color="auto"/>
            </w:tcBorders>
            <w:gridSpan w:val="2"/>
          </w:tcPr>
          <w:p>
            <w:pPr>
              <w:jc w:val="center"/>
              <w:ind w:right="580"/>
              <w:spacing w:after="0" w:line="142" w:lineRule="exact"/>
              <w:rPr>
                <w:sz w:val="20"/>
                <w:szCs w:val="20"/>
                <w:color w:val="auto"/>
              </w:rPr>
            </w:pPr>
            <w:r>
              <w:rPr>
                <w:rFonts w:ascii="Times New Roman" w:cs="Times New Roman" w:eastAsia="Times New Roman" w:hAnsi="Times New Roman"/>
                <w:sz w:val="14"/>
                <w:szCs w:val="14"/>
                <w:color w:val="auto"/>
                <w:w w:val="99"/>
              </w:rPr>
              <w:t>NXTC</w:t>
            </w:r>
          </w:p>
        </w:tc>
        <w:tc>
          <w:tcPr>
            <w:tcW w:w="380" w:type="dxa"/>
            <w:vAlign w:val="bottom"/>
            <w:tcBorders>
              <w:bottom w:val="single" w:sz="8" w:color="auto"/>
            </w:tcBorders>
          </w:tcPr>
          <w:p>
            <w:pPr>
              <w:spacing w:after="0"/>
              <w:rPr>
                <w:sz w:val="12"/>
                <w:szCs w:val="12"/>
                <w:color w:val="auto"/>
              </w:rPr>
            </w:pPr>
          </w:p>
        </w:tc>
        <w:tc>
          <w:tcPr>
            <w:tcW w:w="3120" w:type="dxa"/>
            <w:vAlign w:val="bottom"/>
            <w:tcBorders>
              <w:bottom w:val="single" w:sz="8" w:color="auto"/>
              <w:right w:val="single" w:sz="8" w:color="auto"/>
            </w:tcBorders>
          </w:tcPr>
          <w:p>
            <w:pPr>
              <w:jc w:val="center"/>
              <w:ind w:right="348"/>
              <w:spacing w:after="0" w:line="142" w:lineRule="exact"/>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7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8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16" w:lineRule="exact"/>
        <w:rPr>
          <w:sz w:val="24"/>
          <w:szCs w:val="24"/>
          <w:color w:val="auto"/>
        </w:rPr>
      </w:pPr>
    </w:p>
    <w:p>
      <w:pPr>
        <w:ind w:left="20"/>
        <w:spacing w:after="0" w:line="188" w:lineRule="exact"/>
        <w:rPr>
          <w:sz w:val="20"/>
          <w:szCs w:val="20"/>
          <w:color w:val="auto"/>
        </w:rPr>
      </w:pPr>
      <w:r>
        <w:rPr>
          <w:rFonts w:ascii="Times New Roman" w:cs="Times New Roman" w:eastAsia="Times New Roman" w:hAnsi="Times New Roman"/>
          <w:sz w:val="14"/>
          <w:szCs w:val="14"/>
          <w:color w:val="auto"/>
        </w:rPr>
        <w:t xml:space="preserve">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16" w:lineRule="exact"/>
        <w:rPr>
          <w:sz w:val="24"/>
          <w:szCs w:val="24"/>
          <w:color w:val="auto"/>
        </w:rPr>
      </w:pPr>
    </w:p>
    <w:p>
      <w:pPr>
        <w:ind w:left="20"/>
        <w:spacing w:after="0" w:line="188" w:lineRule="exact"/>
        <w:rPr>
          <w:sz w:val="20"/>
          <w:szCs w:val="20"/>
          <w:color w:val="auto"/>
        </w:rPr>
      </w:pPr>
      <w:r>
        <w:rPr>
          <w:rFonts w:ascii="Times New Roman" w:cs="Times New Roman" w:eastAsia="Times New Roman" w:hAnsi="Times New Roman"/>
          <w:sz w:val="14"/>
          <w:szCs w:val="14"/>
          <w:color w:val="auto"/>
        </w:rPr>
        <w:t xml:space="preserve">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1" w:lineRule="exact"/>
        <w:rPr>
          <w:sz w:val="24"/>
          <w:szCs w:val="24"/>
          <w:color w:val="auto"/>
        </w:rPr>
      </w:pPr>
    </w:p>
    <w:p>
      <w:pPr>
        <w:ind w:left="20" w:firstLine="648"/>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180" w:hanging="170"/>
        <w:spacing w:after="0" w:line="188" w:lineRule="exact"/>
        <w:tabs>
          <w:tab w:leader="none" w:pos="180" w:val="left"/>
        </w:tabs>
        <w:numPr>
          <w:ilvl w:val="0"/>
          <w:numId w:val="3"/>
        </w:numPr>
        <w:rPr>
          <w:rFonts w:ascii="Arial" w:cs="Arial" w:eastAsia="Arial" w:hAnsi="Arial"/>
          <w:sz w:val="14"/>
          <w:szCs w:val="14"/>
          <w:color w:val="auto"/>
        </w:rPr>
      </w:pPr>
      <w:r>
        <w:rPr>
          <w:rFonts w:ascii="Times New Roman" w:cs="Times New Roman" w:eastAsia="Times New Roman" w:hAnsi="Times New Roman"/>
          <w:sz w:val="14"/>
          <w:szCs w:val="14"/>
          <w:color w:val="auto"/>
        </w:rPr>
        <w:t xml:space="preserve">No </w:t>
      </w:r>
      <w:r>
        <w:rPr>
          <w:rFonts w:ascii="Arial Unicode MS" w:cs="Arial Unicode MS" w:eastAsia="Arial Unicode MS" w:hAnsi="Arial Unicode MS"/>
          <w:sz w:val="14"/>
          <w:szCs w:val="14"/>
          <w:color w:val="auto"/>
        </w:rPr>
        <w:t>☐</w:t>
      </w:r>
    </w:p>
    <w:p>
      <w:pPr>
        <w:spacing w:after="0" w:line="45" w:lineRule="exact"/>
        <w:rPr>
          <w:sz w:val="24"/>
          <w:szCs w:val="24"/>
          <w:color w:val="auto"/>
        </w:rPr>
      </w:pPr>
    </w:p>
    <w:p>
      <w:pPr>
        <w:jc w:val="both"/>
        <w:ind w:left="20" w:firstLine="648"/>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2" w:lineRule="exact"/>
        <w:rPr>
          <w:sz w:val="24"/>
          <w:szCs w:val="24"/>
          <w:color w:val="auto"/>
        </w:rPr>
      </w:pPr>
    </w:p>
    <w:p>
      <w:pPr>
        <w:jc w:val="both"/>
        <w:ind w:left="20" w:firstLine="648"/>
        <w:spacing w:after="0" w:line="24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61" w:right="839" w:bottom="1440" w:gutter="0" w:footer="0" w:header="0"/>
        </w:sectPr>
      </w:pPr>
    </w:p>
    <w:p>
      <w:pPr>
        <w:spacing w:after="0" w:line="192" w:lineRule="exact"/>
        <w:rPr>
          <w:sz w:val="24"/>
          <w:szCs w:val="24"/>
          <w:color w:val="auto"/>
        </w:rPr>
      </w:pPr>
    </w:p>
    <w:p>
      <w:pPr>
        <w:ind w:left="20"/>
        <w:spacing w:after="0" w:line="188"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Unicode MS" w:cs="Arial Unicode MS" w:eastAsia="Arial Unicode MS" w:hAnsi="Arial Unicode MS"/>
          <w:sz w:val="14"/>
          <w:szCs w:val="14"/>
          <w:color w:val="auto"/>
        </w:rPr>
        <w:t>☐</w:t>
      </w:r>
    </w:p>
    <w:p>
      <w:pPr>
        <w:spacing w:after="0" w:line="26" w:lineRule="exact"/>
        <w:rPr>
          <w:sz w:val="24"/>
          <w:szCs w:val="24"/>
          <w:color w:val="auto"/>
        </w:rPr>
      </w:pPr>
    </w:p>
    <w:p>
      <w:pPr>
        <w:ind w:left="20"/>
        <w:spacing w:after="0" w:line="188"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ind w:left="620"/>
        <w:spacing w:after="0" w:line="188"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Arial Unicode MS" w:cs="Arial Unicode MS" w:eastAsia="Arial Unicode MS" w:hAnsi="Arial Unicode MS"/>
          <w:sz w:val="14"/>
          <w:szCs w:val="14"/>
          <w:color w:val="auto"/>
        </w:rPr>
        <w:t>☐</w:t>
      </w:r>
    </w:p>
    <w:p>
      <w:pPr>
        <w:spacing w:after="0" w:line="15"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Arial Unicode MS" w:cs="Arial Unicode MS" w:eastAsia="Arial Unicode MS" w:hAnsi="Arial Unicode MS"/>
          <w:sz w:val="14"/>
          <w:szCs w:val="14"/>
          <w:color w:val="auto"/>
        </w:rPr>
        <w:t>☒</w:t>
      </w:r>
    </w:p>
    <w:p>
      <w:pPr>
        <w:ind w:left="20"/>
        <w:spacing w:after="0" w:line="187"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Arial Unicode MS" w:cs="Arial Unicode MS" w:eastAsia="Arial Unicode MS" w:hAnsi="Arial Unicode MS"/>
          <w:sz w:val="14"/>
          <w:szCs w:val="14"/>
          <w:color w:val="auto"/>
        </w:rPr>
        <w:t>☒</w:t>
      </w:r>
    </w:p>
    <w:p>
      <w:pPr>
        <w:spacing w:after="0" w:line="54" w:lineRule="exact"/>
        <w:rPr>
          <w:sz w:val="24"/>
          <w:szCs w:val="24"/>
          <w:color w:val="auto"/>
        </w:rPr>
      </w:pPr>
    </w:p>
    <w:p>
      <w:pPr>
        <w:sectPr>
          <w:pgSz w:w="11900" w:h="16838" w:orient="portrait"/>
          <w:cols w:equalWidth="0" w:num="2">
            <w:col w:w="7760" w:space="720"/>
            <w:col w:w="1760"/>
          </w:cols>
          <w:pgMar w:left="820" w:top="661" w:right="839" w:bottom="1440" w:gutter="0" w:footer="0" w:header="0"/>
          <w:type w:val="continuous"/>
        </w:sectPr>
      </w:pPr>
    </w:p>
    <w:p>
      <w:pPr>
        <w:jc w:val="both"/>
        <w:ind w:left="20" w:firstLine="648"/>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2" w:lineRule="exact"/>
        <w:rPr>
          <w:sz w:val="24"/>
          <w:szCs w:val="24"/>
          <w:color w:val="auto"/>
        </w:rPr>
      </w:pPr>
    </w:p>
    <w:p>
      <w:pPr>
        <w:jc w:val="both"/>
        <w:ind w:left="20" w:right="20" w:firstLine="648"/>
        <w:spacing w:after="0" w:line="17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 Oxley Act (15 U.S.C. 7262(b)) by the registered public accounting firm that prepared or issued its audit report.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75" w:lineRule="exact"/>
        <w:rPr>
          <w:sz w:val="24"/>
          <w:szCs w:val="24"/>
          <w:color w:val="auto"/>
        </w:rPr>
      </w:pPr>
    </w:p>
    <w:p>
      <w:pPr>
        <w:ind w:left="66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58" w:lineRule="exact"/>
        <w:rPr>
          <w:sz w:val="24"/>
          <w:szCs w:val="24"/>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as of June 30, 2020 the last business day of the registrant’s most recently completed second fiscal quarter, was approximately $590.0 million, as computed by reference to the closing price of the common stock on the Nasdaq Global Select Market on that date.</w:t>
      </w:r>
    </w:p>
    <w:p>
      <w:pPr>
        <w:spacing w:after="0" w:line="2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As of March 3, 2021, the registrant had 27,599,949 shares of common stock, par value $0.001 per share, issued and outstanding.</w:t>
      </w:r>
    </w:p>
    <w:p>
      <w:pPr>
        <w:spacing w:after="0" w:line="67"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71" w:lineRule="exact"/>
        <w:rPr>
          <w:sz w:val="24"/>
          <w:szCs w:val="24"/>
          <w:color w:val="auto"/>
        </w:rPr>
      </w:pPr>
    </w:p>
    <w:p>
      <w:pPr>
        <w:jc w:val="both"/>
        <w:ind w:left="20"/>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2021 Annual Meeting of Stockholders, which will be filed with the Commission within 120 days after December 31, 2020,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461010</wp:posOffset>
            </wp:positionV>
            <wp:extent cx="64979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32385</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74930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type w:val="continuous"/>
        </w:sectPr>
      </w:pPr>
    </w:p>
    <w:bookmarkStart w:id="1" w:name="page2"/>
    <w:bookmarkEnd w:id="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92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NextCure, Inc.</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92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92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2020</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92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vMerge w:val="restart"/>
          </w:tcPr>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PART I</w:t>
              </w:r>
            </w:hyperlink>
          </w:p>
        </w:tc>
        <w:tc>
          <w:tcPr>
            <w:tcW w:w="70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1"/>
        </w:trPr>
        <w:tc>
          <w:tcPr>
            <w:tcW w:w="82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Item 1</w:t>
              </w:r>
            </w:hyperlink>
          </w:p>
        </w:tc>
        <w:tc>
          <w:tcPr>
            <w:tcW w:w="7620" w:type="dxa"/>
            <w:vAlign w:val="bottom"/>
            <w:gridSpan w:val="3"/>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Business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Item 1A</w:t>
              </w:r>
            </w:hyperlink>
          </w:p>
        </w:tc>
        <w:tc>
          <w:tcPr>
            <w:tcW w:w="7620" w:type="dxa"/>
            <w:vAlign w:val="bottom"/>
            <w:gridSpan w:val="3"/>
          </w:tcPr>
          <w:p>
            <w:pPr>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Risk Factors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Item 1B</w:t>
              </w:r>
            </w:hyperlink>
          </w:p>
        </w:tc>
        <w:tc>
          <w:tcPr>
            <w:tcW w:w="7620" w:type="dxa"/>
            <w:vAlign w:val="bottom"/>
            <w:gridSpan w:val="3"/>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Unresolved Staff Comments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Item 2</w:t>
              </w:r>
            </w:hyperlink>
          </w:p>
        </w:tc>
        <w:tc>
          <w:tcPr>
            <w:tcW w:w="7620" w:type="dxa"/>
            <w:vAlign w:val="bottom"/>
            <w:gridSpan w:val="3"/>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Properties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Item 3</w:t>
              </w:r>
            </w:hyperlink>
          </w:p>
        </w:tc>
        <w:tc>
          <w:tcPr>
            <w:tcW w:w="7620" w:type="dxa"/>
            <w:vAlign w:val="bottom"/>
            <w:gridSpan w:val="3"/>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Legal Proceedings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2"/>
        </w:trPr>
        <w:tc>
          <w:tcPr>
            <w:tcW w:w="820" w:type="dxa"/>
            <w:vAlign w:val="bottom"/>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Item 4</w:t>
              </w:r>
            </w:hyperlink>
          </w:p>
        </w:tc>
        <w:tc>
          <w:tcPr>
            <w:tcW w:w="7620" w:type="dxa"/>
            <w:vAlign w:val="bottom"/>
            <w:gridSpan w:val="3"/>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Mine Safety Disclosures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0"/>
        </w:trPr>
        <w:tc>
          <w:tcPr>
            <w:tcW w:w="82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84">
              <w:r>
                <w:rPr>
                  <w:rFonts w:ascii="Times New Roman" w:cs="Times New Roman" w:eastAsia="Times New Roman" w:hAnsi="Times New Roman"/>
                  <w:sz w:val="18"/>
                  <w:szCs w:val="18"/>
                  <w:b w:val="1"/>
                  <w:bCs w:val="1"/>
                  <w:u w:val="single" w:color="auto"/>
                  <w:color w:val="0000EE"/>
                </w:rPr>
                <w:t>PART II</w:t>
              </w:r>
            </w:hyperlink>
          </w:p>
        </w:tc>
        <w:tc>
          <w:tcPr>
            <w:tcW w:w="70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20" w:type="dxa"/>
            <w:vAlign w:val="bottom"/>
          </w:tcPr>
          <w:p>
            <w:pPr>
              <w:spacing w:after="0" w:line="194" w:lineRule="exact"/>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Item 5</w:t>
              </w:r>
            </w:hyperlink>
          </w:p>
        </w:tc>
        <w:tc>
          <w:tcPr>
            <w:tcW w:w="7620" w:type="dxa"/>
            <w:vAlign w:val="bottom"/>
            <w:gridSpan w:val="3"/>
          </w:tcPr>
          <w:p>
            <w:pPr>
              <w:spacing w:after="0" w:line="194"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Market for Registrant’s Common Equity, Related Stockholder Matters, and Issuer Purchases of Equity</w:t>
              </w:r>
            </w:hyperlink>
          </w:p>
        </w:tc>
        <w:tc>
          <w:tcPr>
            <w:tcW w:w="4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736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Securities</w:t>
              </w:r>
            </w:hyperlink>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9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20" w:type="dxa"/>
            <w:vAlign w:val="bottom"/>
          </w:tcPr>
          <w:p>
            <w:pPr>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Item 6</w:t>
              </w:r>
            </w:hyperlink>
          </w:p>
        </w:tc>
        <w:tc>
          <w:tcPr>
            <w:tcW w:w="7620" w:type="dxa"/>
            <w:vAlign w:val="bottom"/>
            <w:gridSpan w:val="3"/>
          </w:tcPr>
          <w:p>
            <w:pPr>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Selected Financial Data</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Item 7</w:t>
              </w:r>
            </w:hyperlink>
          </w:p>
        </w:tc>
        <w:tc>
          <w:tcPr>
            <w:tcW w:w="7620" w:type="dxa"/>
            <w:vAlign w:val="bottom"/>
            <w:gridSpan w:val="3"/>
          </w:tcPr>
          <w:p>
            <w:pPr>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Item 7A</w:t>
              </w:r>
            </w:hyperlink>
          </w:p>
        </w:tc>
        <w:tc>
          <w:tcPr>
            <w:tcW w:w="7620" w:type="dxa"/>
            <w:vAlign w:val="bottom"/>
            <w:gridSpan w:val="3"/>
          </w:tcPr>
          <w:p>
            <w:pPr>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Quantitative and Qualitative Disclosures About Market Risk</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Times New Roman" w:cs="Times New Roman" w:eastAsia="Times New Roman" w:hAnsi="Times New Roman"/>
                <w:sz w:val="18"/>
                <w:szCs w:val="18"/>
                <w:u w:val="single" w:color="auto"/>
                <w:color w:val="0000EE"/>
              </w:rPr>
            </w:pPr>
            <w:hyperlink w:anchor="page96">
              <w:r>
                <w:rPr>
                  <w:rFonts w:ascii="Times New Roman" w:cs="Times New Roman" w:eastAsia="Times New Roman" w:hAnsi="Times New Roman"/>
                  <w:sz w:val="18"/>
                  <w:szCs w:val="18"/>
                  <w:u w:val="single" w:color="auto"/>
                  <w:color w:val="0000EE"/>
                </w:rPr>
                <w:t>Item 8</w:t>
              </w:r>
            </w:hyperlink>
          </w:p>
        </w:tc>
        <w:tc>
          <w:tcPr>
            <w:tcW w:w="7620" w:type="dxa"/>
            <w:vAlign w:val="bottom"/>
            <w:gridSpan w:val="3"/>
          </w:tcPr>
          <w:p>
            <w:pPr>
              <w:spacing w:after="0"/>
              <w:rPr>
                <w:rFonts w:ascii="Times New Roman" w:cs="Times New Roman" w:eastAsia="Times New Roman" w:hAnsi="Times New Roman"/>
                <w:sz w:val="18"/>
                <w:szCs w:val="18"/>
                <w:u w:val="single" w:color="auto"/>
                <w:color w:val="0000EE"/>
              </w:rPr>
            </w:pPr>
            <w:hyperlink w:anchor="page96">
              <w:r>
                <w:rPr>
                  <w:rFonts w:ascii="Times New Roman" w:cs="Times New Roman" w:eastAsia="Times New Roman" w:hAnsi="Times New Roman"/>
                  <w:sz w:val="18"/>
                  <w:szCs w:val="18"/>
                  <w:u w:val="single" w:color="auto"/>
                  <w:color w:val="0000EE"/>
                </w:rPr>
                <w:t>Financial Statements and Supplementary Data</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Item 9</w:t>
              </w:r>
            </w:hyperlink>
          </w:p>
        </w:tc>
        <w:tc>
          <w:tcPr>
            <w:tcW w:w="7620" w:type="dxa"/>
            <w:vAlign w:val="bottom"/>
            <w:gridSpan w:val="3"/>
          </w:tcPr>
          <w:p>
            <w:pPr>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Changes in and Disagreements with Accountants on Accounting and Financial Disclosure</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Item 9A</w:t>
              </w:r>
            </w:hyperlink>
          </w:p>
        </w:tc>
        <w:tc>
          <w:tcPr>
            <w:tcW w:w="7620" w:type="dxa"/>
            <w:vAlign w:val="bottom"/>
            <w:gridSpan w:val="3"/>
          </w:tcPr>
          <w:p>
            <w:pPr>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Controls and Procedures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2"/>
        </w:trPr>
        <w:tc>
          <w:tcPr>
            <w:tcW w:w="820" w:type="dxa"/>
            <w:vAlign w:val="bottom"/>
          </w:tcPr>
          <w:p>
            <w:pPr>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Item 9B</w:t>
              </w:r>
            </w:hyperlink>
          </w:p>
        </w:tc>
        <w:tc>
          <w:tcPr>
            <w:tcW w:w="7620" w:type="dxa"/>
            <w:vAlign w:val="bottom"/>
            <w:gridSpan w:val="3"/>
          </w:tcPr>
          <w:p>
            <w:pPr>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Other Information</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0"/>
        </w:trPr>
        <w:tc>
          <w:tcPr>
            <w:tcW w:w="82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120">
              <w:r>
                <w:rPr>
                  <w:rFonts w:ascii="Times New Roman" w:cs="Times New Roman" w:eastAsia="Times New Roman" w:hAnsi="Times New Roman"/>
                  <w:sz w:val="18"/>
                  <w:szCs w:val="18"/>
                  <w:b w:val="1"/>
                  <w:bCs w:val="1"/>
                  <w:u w:val="single" w:color="auto"/>
                  <w:color w:val="0000EE"/>
                </w:rPr>
                <w:t>PART III</w:t>
              </w:r>
            </w:hyperlink>
          </w:p>
        </w:tc>
        <w:tc>
          <w:tcPr>
            <w:tcW w:w="70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Item 10</w:t>
              </w:r>
            </w:hyperlink>
          </w:p>
        </w:tc>
        <w:tc>
          <w:tcPr>
            <w:tcW w:w="7620" w:type="dxa"/>
            <w:vAlign w:val="bottom"/>
            <w:gridSpan w:val="3"/>
          </w:tcPr>
          <w:p>
            <w:pPr>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Directors, Executive Officers, and Corporate Governance</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Item 11</w:t>
              </w:r>
            </w:hyperlink>
          </w:p>
        </w:tc>
        <w:tc>
          <w:tcPr>
            <w:tcW w:w="7620" w:type="dxa"/>
            <w:vAlign w:val="bottom"/>
            <w:gridSpan w:val="3"/>
          </w:tcPr>
          <w:p>
            <w:pPr>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Executive Compensation</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Item 12</w:t>
              </w:r>
            </w:hyperlink>
          </w:p>
        </w:tc>
        <w:tc>
          <w:tcPr>
            <w:tcW w:w="7620" w:type="dxa"/>
            <w:vAlign w:val="bottom"/>
            <w:gridSpan w:val="3"/>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Security Ownership of Certain Beneficial Owners and Management and Related Stockholder Matters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Item 13</w:t>
              </w:r>
            </w:hyperlink>
          </w:p>
        </w:tc>
        <w:tc>
          <w:tcPr>
            <w:tcW w:w="7620" w:type="dxa"/>
            <w:vAlign w:val="bottom"/>
            <w:gridSpan w:val="3"/>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Certain Relationships and Related Transactions and Director Independence</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4"/>
        </w:trPr>
        <w:tc>
          <w:tcPr>
            <w:tcW w:w="820" w:type="dxa"/>
            <w:vAlign w:val="bottom"/>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Item 14</w:t>
              </w:r>
            </w:hyperlink>
          </w:p>
        </w:tc>
        <w:tc>
          <w:tcPr>
            <w:tcW w:w="7620" w:type="dxa"/>
            <w:vAlign w:val="bottom"/>
            <w:gridSpan w:val="3"/>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Principal Accounting Fees and Services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414"/>
        </w:trPr>
        <w:tc>
          <w:tcPr>
            <w:tcW w:w="82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121">
              <w:r>
                <w:rPr>
                  <w:rFonts w:ascii="Times New Roman" w:cs="Times New Roman" w:eastAsia="Times New Roman" w:hAnsi="Times New Roman"/>
                  <w:sz w:val="18"/>
                  <w:szCs w:val="18"/>
                  <w:b w:val="1"/>
                  <w:bCs w:val="1"/>
                  <w:u w:val="single" w:color="auto"/>
                  <w:color w:val="0000EE"/>
                </w:rPr>
                <w:t>PART IV</w:t>
              </w:r>
            </w:hyperlink>
          </w:p>
        </w:tc>
        <w:tc>
          <w:tcPr>
            <w:tcW w:w="70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Item 15</w:t>
              </w:r>
            </w:hyperlink>
          </w:p>
        </w:tc>
        <w:tc>
          <w:tcPr>
            <w:tcW w:w="7620" w:type="dxa"/>
            <w:vAlign w:val="bottom"/>
            <w:gridSpan w:val="3"/>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Exhibits, Financial Statement Schedules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Times New Roman" w:cs="Times New Roman" w:eastAsia="Times New Roman" w:hAnsi="Times New Roman"/>
                <w:sz w:val="18"/>
                <w:szCs w:val="18"/>
                <w:u w:val="single" w:color="auto"/>
                <w:color w:val="0000EE"/>
              </w:rPr>
            </w:pPr>
            <w:hyperlink w:anchor="page123">
              <w:r>
                <w:rPr>
                  <w:rFonts w:ascii="Times New Roman" w:cs="Times New Roman" w:eastAsia="Times New Roman" w:hAnsi="Times New Roman"/>
                  <w:sz w:val="18"/>
                  <w:szCs w:val="18"/>
                  <w:u w:val="single" w:color="auto"/>
                  <w:color w:val="0000EE"/>
                </w:rPr>
                <w:t>Item 16</w:t>
              </w:r>
            </w:hyperlink>
          </w:p>
        </w:tc>
        <w:tc>
          <w:tcPr>
            <w:tcW w:w="7620" w:type="dxa"/>
            <w:vAlign w:val="bottom"/>
            <w:gridSpan w:val="3"/>
          </w:tcPr>
          <w:p>
            <w:pPr>
              <w:spacing w:after="0"/>
              <w:rPr>
                <w:rFonts w:ascii="Times New Roman" w:cs="Times New Roman" w:eastAsia="Times New Roman" w:hAnsi="Times New Roman"/>
                <w:sz w:val="18"/>
                <w:szCs w:val="18"/>
                <w:u w:val="single" w:color="auto"/>
                <w:color w:val="0000EE"/>
              </w:rPr>
            </w:pPr>
            <w:hyperlink w:anchor="page123">
              <w:r>
                <w:rPr>
                  <w:rFonts w:ascii="Times New Roman" w:cs="Times New Roman" w:eastAsia="Times New Roman" w:hAnsi="Times New Roman"/>
                  <w:sz w:val="18"/>
                  <w:szCs w:val="18"/>
                  <w:u w:val="single" w:color="auto"/>
                  <w:color w:val="0000EE"/>
                </w:rPr>
                <w:t>Form 10-K Summary</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4"/>
        </w:trPr>
        <w:tc>
          <w:tcPr>
            <w:tcW w:w="8440" w:type="dxa"/>
            <w:vAlign w:val="bottom"/>
            <w:gridSpan w:val="4"/>
          </w:tcPr>
          <w:p>
            <w:pPr>
              <w:spacing w:after="0"/>
              <w:rPr>
                <w:rFonts w:ascii="Times New Roman" w:cs="Times New Roman" w:eastAsia="Times New Roman" w:hAnsi="Times New Roman"/>
                <w:sz w:val="18"/>
                <w:szCs w:val="18"/>
                <w:u w:val="single" w:color="auto"/>
                <w:color w:val="0000EE"/>
              </w:rPr>
            </w:pPr>
            <w:hyperlink w:anchor="page124">
              <w:r>
                <w:rPr>
                  <w:rFonts w:ascii="Times New Roman" w:cs="Times New Roman" w:eastAsia="Times New Roman" w:hAnsi="Times New Roman"/>
                  <w:sz w:val="18"/>
                  <w:szCs w:val="18"/>
                  <w:u w:val="single" w:color="auto"/>
                  <w:color w:val="0000EE"/>
                </w:rPr>
                <w:t>SIGNATURES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This Annual Report contains forward-looking statements, including with respect to our plans, objectives and expectations for our business, operations and financial performance and condition. Any statements contained herein that are not statements of historical facts may be deemed to be forward-looking statements. The forward-looking statements are contained principally in the sections entitled “Business,” “Risk Factors” and “Management’s Discussion and Analysis of Financial Condition and Results of Operations,” but are also contained elsewhere in this Annual Report. In some cases, you can identify forward-looking statements by terminology such as “aim,” “anticipate,” “assume,” “believe,” “continue,” “could,” “due,” “estimate,” “expect,” “intend,” “may,” “objective,” “plan,” “predict,” “potential,” “positioned,” “seek,” “should,” “target,” “will,” “would” and other similar expressions that are predictions of or indicate future events and future trends, or the negative of these terms or similar language. Forward-looking statements include, but are not limited to, statements about:</w:t>
      </w:r>
    </w:p>
    <w:p>
      <w:pPr>
        <w:spacing w:after="0" w:line="194" w:lineRule="exact"/>
        <w:rPr>
          <w:sz w:val="20"/>
          <w:szCs w:val="20"/>
          <w:color w:val="auto"/>
        </w:rPr>
      </w:pPr>
    </w:p>
    <w:p>
      <w:pPr>
        <w:jc w:val="both"/>
        <w:ind w:left="380" w:right="79" w:hanging="330"/>
        <w:spacing w:after="0" w:line="255"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progress and results of preclinical studies and clinical trials for NC318, NC410, NC762 and any other product candidates we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2" w:lineRule="exact"/>
        <w:rPr>
          <w:rFonts w:ascii="Times New Roman" w:cs="Times New Roman" w:eastAsia="Times New Roman" w:hAnsi="Times New Roman"/>
          <w:sz w:val="18"/>
          <w:szCs w:val="18"/>
          <w:color w:val="auto"/>
        </w:rPr>
      </w:pPr>
    </w:p>
    <w:p>
      <w:pPr>
        <w:ind w:left="380" w:right="79" w:hanging="330"/>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for NC318, NC410, NC762 and any other product candidates we develop and our ability to obtain and maintain regulatory approvals for such product candidates for any indication;</w:t>
      </w:r>
    </w:p>
    <w:p>
      <w:pPr>
        <w:ind w:left="380" w:hanging="330"/>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analysis and use of biomarkers and biomarker data;</w:t>
      </w:r>
    </w:p>
    <w:p>
      <w:pPr>
        <w:spacing w:after="0" w:line="9" w:lineRule="exact"/>
        <w:rPr>
          <w:rFonts w:ascii="Times New Roman" w:cs="Times New Roman" w:eastAsia="Times New Roman" w:hAnsi="Times New Roman"/>
          <w:sz w:val="18"/>
          <w:szCs w:val="18"/>
          <w:color w:val="auto"/>
        </w:rPr>
      </w:pPr>
    </w:p>
    <w:p>
      <w:pPr>
        <w:jc w:val="both"/>
        <w:ind w:left="380" w:right="79" w:hanging="330"/>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the initiation, progress or expected timing of our clinical trials and the timing of related data, our efforts to adjust trial-related activities to address the impact of the COVID-19 pandemic, and other future impacts of the COVID-19 pandemic on the economy, our industry and our financial condition and results of operations;</w:t>
      </w:r>
    </w:p>
    <w:p>
      <w:pPr>
        <w:spacing w:after="0" w:line="1" w:lineRule="exact"/>
        <w:rPr>
          <w:rFonts w:ascii="Times New Roman" w:cs="Times New Roman" w:eastAsia="Times New Roman" w:hAnsi="Times New Roman"/>
          <w:sz w:val="18"/>
          <w:szCs w:val="18"/>
          <w:color w:val="auto"/>
        </w:rPr>
      </w:pPr>
    </w:p>
    <w:p>
      <w:pPr>
        <w:ind w:left="380" w:right="79" w:hanging="330"/>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patient selection assays and companion or complimentary diagnostics for NC318, NC410, NC762 or any other product candidates we develop;</w:t>
      </w:r>
    </w:p>
    <w:p>
      <w:pPr>
        <w:ind w:left="380" w:hanging="330"/>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 including the scalability of our manufacturing methods and processes;</w:t>
      </w:r>
    </w:p>
    <w:p>
      <w:pPr>
        <w:spacing w:after="0" w:line="9" w:lineRule="exact"/>
        <w:rPr>
          <w:rFonts w:ascii="Times New Roman" w:cs="Times New Roman" w:eastAsia="Times New Roman" w:hAnsi="Times New Roman"/>
          <w:sz w:val="18"/>
          <w:szCs w:val="18"/>
          <w:color w:val="auto"/>
        </w:rPr>
      </w:pPr>
    </w:p>
    <w:p>
      <w:pPr>
        <w:ind w:left="380" w:right="79" w:hanging="330"/>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benefits, activity, effectiveness and safety of NC318, NC410, NC762 and any other product candidates we develop;</w:t>
      </w:r>
    </w:p>
    <w:p>
      <w:pPr>
        <w:ind w:left="380" w:hanging="330"/>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intentions and ability to successfully commercialize our product candidates;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nature of the biological pathways we are targeting;</w:t>
      </w:r>
    </w:p>
    <w:p>
      <w:pPr>
        <w:spacing w:after="0" w:line="9" w:lineRule="exact"/>
        <w:rPr>
          <w:rFonts w:ascii="Times New Roman" w:cs="Times New Roman" w:eastAsia="Times New Roman" w:hAnsi="Times New Roman"/>
          <w:sz w:val="18"/>
          <w:szCs w:val="18"/>
          <w:color w:val="auto"/>
        </w:rPr>
      </w:pPr>
    </w:p>
    <w:p>
      <w:pPr>
        <w:ind w:left="380" w:right="79" w:hanging="330"/>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our FIND-IO platform, including our ability to discover and advance product candidates using our FIND-IO platform;</w:t>
      </w:r>
    </w:p>
    <w:p>
      <w:pPr>
        <w:ind w:left="380" w:right="79" w:hanging="330"/>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and our ability to maintain our relationships and collaborations with Yale University and Dr. Lieping Chen;</w:t>
      </w:r>
    </w:p>
    <w:p>
      <w:pPr>
        <w:jc w:val="both"/>
        <w:ind w:left="380" w:right="79" w:hanging="330"/>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our expenses, future revenues, capital requirements, our needs for or ability to obtain additional financing and the period over which we expect our current cash, cash equivalents and marketable securities to be sufficient to fund our operations;</w:t>
      </w:r>
    </w:p>
    <w:p>
      <w:pPr>
        <w:spacing w:after="0" w:line="1" w:lineRule="exact"/>
        <w:rPr>
          <w:rFonts w:ascii="Times New Roman" w:cs="Times New Roman" w:eastAsia="Times New Roman" w:hAnsi="Times New Roman"/>
          <w:sz w:val="18"/>
          <w:szCs w:val="18"/>
          <w:color w:val="auto"/>
        </w:rPr>
      </w:pPr>
    </w:p>
    <w:p>
      <w:pPr>
        <w:ind w:left="380" w:right="79" w:hanging="330"/>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reliance on and the performance of third parties, including collaborators, contract research organizations and third-party manufacturers;</w:t>
      </w:r>
    </w:p>
    <w:p>
      <w:pPr>
        <w:ind w:left="380" w:hanging="330"/>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protection and the scope and duration of such protection;</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our industry, including competing therapies; and</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and regulations.</w:t>
      </w:r>
    </w:p>
    <w:p>
      <w:pPr>
        <w:spacing w:after="0" w:line="20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These statements, and other forward-looking statements, are based on management’s current expectations, estimates, forecasts and projections about our business and industry, are not guarantees of future performance and involve known and unknown risks, uncertainties and other factors that are in some cases beyond our control, such as the impact of the COVID-19 pandemic, and that may cause our or our industry’s actual results, levels of activity, performance or achievements to be materially different from those anticipated by the forward-looking statements. Forward-looking statements contained in this Annual Report should be considered in light of these factors and the factors set forth under “Risk Factor Summary” below and the factors described elsewhere in this Annual Report, including in in the sections entitled “Risk Factors” and “Management’s Discussion and Analysis of Financial Condition and Results of Operations.” You should read these factors and the other cautionary statements made in this Annual Report as being applicable to all related forward-looking statements wherever they appear in this Annual Report. If one or more of these factors materialize, or if any underlying assumptions prove incorrect, our actual results, levels of activity, performance, or achievements may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vary materially from any future results, activity, performance, or achievements expressed or implied by these forward-looking statements.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caution readers not to place undue reliance on any forward-looking statements made by us, which speak only as of the date of this Annual Report. We undertake no obligation to publicly update any forward-looking statements after the date of this Annual Report, whether as a result of new information, future events or otherwise, except as required by law. We qualify all of our forward-looking statements by the foregoing cautionary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principal risk factors that make an investment in our common stock speculative or risky. Before you invest in our securities, you should read the following summary together with the more detailed description of material risks described under "Risk Factors" in Item 1A of this Annual Report and the other information contained in this Annual Report.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31" w:lineRule="exact"/>
        <w:rPr>
          <w:sz w:val="20"/>
          <w:szCs w:val="20"/>
          <w:color w:val="auto"/>
        </w:rPr>
      </w:pPr>
    </w:p>
    <w:p>
      <w:pPr>
        <w:jc w:val="both"/>
        <w:ind w:left="380" w:right="79" w:hanging="330"/>
        <w:spacing w:after="0" w:line="250"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no products approved for commercial sale. We have a history of significant losses, expect to continue to incur significant losses for the foreseeable future and may never achieve or maintain profitability. We have never generated revenue from product sales and may never be profitable.</w:t>
      </w:r>
    </w:p>
    <w:p>
      <w:pPr>
        <w:spacing w:after="0" w:line="1" w:lineRule="exact"/>
        <w:rPr>
          <w:rFonts w:ascii="Times New Roman" w:cs="Times New Roman" w:eastAsia="Times New Roman" w:hAnsi="Times New Roman"/>
          <w:sz w:val="18"/>
          <w:szCs w:val="18"/>
          <w:color w:val="auto"/>
        </w:rPr>
      </w:pPr>
    </w:p>
    <w:p>
      <w:pPr>
        <w:ind w:left="380" w:right="79" w:hanging="330"/>
        <w:spacing w:after="0" w:line="260"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financing to pursue our business objectives, which may not be available on acceptable terms, or at all.</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31" w:lineRule="exact"/>
        <w:rPr>
          <w:sz w:val="20"/>
          <w:szCs w:val="20"/>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COVID-19 pandemic could continue to adversely affect our business.</w:t>
      </w:r>
    </w:p>
    <w:p>
      <w:pPr>
        <w:spacing w:after="0" w:line="9" w:lineRule="exact"/>
        <w:rPr>
          <w:rFonts w:ascii="Times New Roman" w:cs="Times New Roman" w:eastAsia="Times New Roman" w:hAnsi="Times New Roman"/>
          <w:sz w:val="18"/>
          <w:szCs w:val="18"/>
          <w:color w:val="auto"/>
        </w:rPr>
      </w:pPr>
    </w:p>
    <w:p>
      <w:pPr>
        <w:ind w:left="380" w:right="79" w:hanging="330"/>
        <w:spacing w:after="0" w:line="250"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announced interim results regarding our NC318 monotherapy Phase 1/2 clinical trial may adversely impact our product development efforts.</w:t>
      </w:r>
    </w:p>
    <w:p>
      <w:pPr>
        <w:ind w:left="380" w:right="79" w:hanging="330"/>
        <w:spacing w:after="0" w:line="250"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our ability to advance our current and future product candidates through preclinical studies and clinical trials, marketing approval and ultimately commercialization, each of which is uncertain.</w:t>
      </w:r>
    </w:p>
    <w:p>
      <w:pPr>
        <w:ind w:left="380" w:hanging="330"/>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 processes are lengthy and inherently unpredictable.</w:t>
      </w:r>
    </w:p>
    <w:p>
      <w:pPr>
        <w:spacing w:after="0" w:line="9" w:lineRule="exact"/>
        <w:rPr>
          <w:rFonts w:ascii="Times New Roman" w:cs="Times New Roman" w:eastAsia="Times New Roman" w:hAnsi="Times New Roman"/>
          <w:sz w:val="18"/>
          <w:szCs w:val="18"/>
          <w:color w:val="auto"/>
        </w:rPr>
      </w:pPr>
    </w:p>
    <w:p>
      <w:pPr>
        <w:jc w:val="both"/>
        <w:ind w:left="380" w:right="79" w:hanging="330"/>
        <w:spacing w:after="0" w:line="250"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involves a lengthy and expensive process with uncertain outcomes, and as an organization we have limited experience designing and implementing clinical trials. Failure to adequately design a trial, or incorrect assumptions about the design of the trial, has resulted in delays in NC318's development and could result in additional costs, delays or the inability to develop, obtain regulatory approval for or commercialize our products.</w:t>
      </w:r>
    </w:p>
    <w:p>
      <w:pPr>
        <w:spacing w:after="0" w:line="1" w:lineRule="exact"/>
        <w:rPr>
          <w:rFonts w:ascii="Times New Roman" w:cs="Times New Roman" w:eastAsia="Times New Roman" w:hAnsi="Times New Roman"/>
          <w:sz w:val="18"/>
          <w:szCs w:val="18"/>
          <w:color w:val="auto"/>
        </w:rPr>
      </w:pPr>
    </w:p>
    <w:p>
      <w:pPr>
        <w:jc w:val="both"/>
        <w:ind w:left="380" w:right="79" w:hanging="330"/>
        <w:spacing w:after="0" w:line="250"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development is uncertain. Our preclinical programs may experience delays or may never advance to clinical trials, which would adversely affect our ability to obtain regulatory approvals or commercialize these programs on a timely basis or at all.</w:t>
      </w:r>
    </w:p>
    <w:p>
      <w:pPr>
        <w:spacing w:after="0" w:line="1" w:lineRule="exact"/>
        <w:rPr>
          <w:rFonts w:ascii="Times New Roman" w:cs="Times New Roman" w:eastAsia="Times New Roman" w:hAnsi="Times New Roman"/>
          <w:sz w:val="18"/>
          <w:szCs w:val="18"/>
          <w:color w:val="auto"/>
        </w:rPr>
      </w:pPr>
    </w:p>
    <w:p>
      <w:pPr>
        <w:ind w:left="380" w:right="79" w:hanging="330"/>
        <w:spacing w:after="0" w:line="250"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preclinical studies and early-stage clinical trials may not be predictive of future results. Initial positive results may not be indicative of results obtained when the trial is completed or in later stage trials.</w:t>
      </w:r>
    </w:p>
    <w:p>
      <w:pPr>
        <w:ind w:left="380" w:hanging="330"/>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could encounter difficulties enrolling patients in our clinical trials.</w:t>
      </w:r>
    </w:p>
    <w:p>
      <w:pPr>
        <w:spacing w:after="0" w:line="9" w:lineRule="exact"/>
        <w:rPr>
          <w:rFonts w:ascii="Times New Roman" w:cs="Times New Roman" w:eastAsia="Times New Roman" w:hAnsi="Times New Roman"/>
          <w:sz w:val="18"/>
          <w:szCs w:val="18"/>
          <w:color w:val="auto"/>
        </w:rPr>
      </w:pPr>
    </w:p>
    <w:p>
      <w:pPr>
        <w:ind w:left="380" w:right="79" w:hanging="330"/>
        <w:spacing w:after="0" w:line="250"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numbers of subjects in our Phase 1/2 clinical trials of NC318, NC410 and NC762 are small, the results from each of these trials, once completed, may be less reliable than results achieved in larger clinical trials.</w:t>
      </w:r>
    </w:p>
    <w:p>
      <w:pPr>
        <w:jc w:val="both"/>
        <w:ind w:left="380" w:right="79" w:hanging="330"/>
        <w:spacing w:after="0" w:line="255"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 candidates may cause undesirable side effects or have other properties that could halt their clinical development, delay or prevent their regulatory approval, limit their commercial potential or result in significant negative consequences.</w:t>
      </w:r>
    </w:p>
    <w:p>
      <w:pPr>
        <w:spacing w:after="0" w:line="182" w:lineRule="exact"/>
        <w:rPr>
          <w:sz w:val="20"/>
          <w:szCs w:val="20"/>
          <w:color w:val="auto"/>
        </w:rPr>
      </w:pPr>
    </w:p>
    <w:p>
      <w:pPr>
        <w:ind w:left="60" w:right="79"/>
        <w:spacing w:after="0" w:line="263" w:lineRule="auto"/>
        <w:rPr>
          <w:sz w:val="20"/>
          <w:szCs w:val="20"/>
          <w:color w:val="auto"/>
        </w:rPr>
      </w:pPr>
      <w:r>
        <w:rPr>
          <w:rFonts w:ascii="Times New Roman" w:cs="Times New Roman" w:eastAsia="Times New Roman" w:hAnsi="Times New Roman"/>
          <w:sz w:val="18"/>
          <w:szCs w:val="18"/>
          <w:b w:val="1"/>
          <w:bCs w:val="1"/>
          <w:color w:val="auto"/>
        </w:rPr>
        <w:t>Risks Related to the Regulatory Approval and Commercialization of Product Candidates and Other Legal Compliance Matters</w:t>
      </w:r>
    </w:p>
    <w:p>
      <w:pPr>
        <w:spacing w:after="0" w:line="1" w:lineRule="exact"/>
        <w:rPr>
          <w:sz w:val="20"/>
          <w:szCs w:val="20"/>
          <w:color w:val="auto"/>
        </w:rPr>
      </w:pPr>
    </w:p>
    <w:p>
      <w:pPr>
        <w:ind w:left="380" w:right="79" w:hanging="330"/>
        <w:spacing w:after="0" w:line="250"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regulatory approval of our product candidates. The denial or delay of any such approval would prevent or delay commercialization of our product candidates and harm our business.</w:t>
      </w:r>
    </w:p>
    <w:p>
      <w:pPr>
        <w:jc w:val="both"/>
        <w:ind w:left="380" w:right="79" w:hanging="330"/>
        <w:spacing w:after="0" w:line="250"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 current or future product candidate receives marketing approval, it may fail to achieve the degree of market acceptance by physicians, patients, third-party payors and others in the medical community necessary for commercial success, and the market opportunities for any such product candidate may be limited.</w:t>
      </w:r>
    </w:p>
    <w:p>
      <w:pPr>
        <w:spacing w:after="0" w:line="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product candidates in combination with other therapies exposes us to additional regulatory risks.</w:t>
      </w:r>
    </w:p>
    <w:p>
      <w:pPr>
        <w:spacing w:after="0" w:line="9" w:lineRule="exact"/>
        <w:rPr>
          <w:rFonts w:ascii="Times New Roman" w:cs="Times New Roman" w:eastAsia="Times New Roman" w:hAnsi="Times New Roman"/>
          <w:sz w:val="18"/>
          <w:szCs w:val="18"/>
          <w:color w:val="auto"/>
        </w:rPr>
      </w:pPr>
    </w:p>
    <w:p>
      <w:pPr>
        <w:ind w:left="380" w:right="79" w:hanging="330"/>
        <w:spacing w:after="0" w:line="260"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information technology systems, and any failure of these systems or any related security breaches, loss of data, or other disruptions could harm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Manufacturing</w:t>
      </w:r>
    </w:p>
    <w:p>
      <w:pPr>
        <w:spacing w:after="0" w:line="31" w:lineRule="exact"/>
        <w:rPr>
          <w:sz w:val="20"/>
          <w:szCs w:val="20"/>
          <w:color w:val="auto"/>
        </w:rPr>
      </w:pPr>
    </w:p>
    <w:p>
      <w:pPr>
        <w:jc w:val="both"/>
        <w:ind w:left="380" w:right="79" w:hanging="330"/>
        <w:spacing w:after="0" w:line="250"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our limited operating history, our manufacturing experience as an organization and with our manufacturing facility is limited. We are subject to multiple manufacturing risks, any of which could substantially increase our costs and limit supply of our product candidates.</w:t>
      </w:r>
    </w:p>
    <w:p>
      <w:pPr>
        <w:spacing w:after="0" w:line="1" w:lineRule="exact"/>
        <w:rPr>
          <w:rFonts w:ascii="Times New Roman" w:cs="Times New Roman" w:eastAsia="Times New Roman" w:hAnsi="Times New Roman"/>
          <w:sz w:val="18"/>
          <w:szCs w:val="18"/>
          <w:color w:val="auto"/>
        </w:rPr>
      </w:pPr>
    </w:p>
    <w:p>
      <w:pPr>
        <w:ind w:left="380" w:right="79" w:hanging="330"/>
        <w:spacing w:after="0" w:line="250"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scale-up manufacturing of our product candidates in sufficient quality and quantity, which would delay or prevent us from developing and, if approved, commercializing our product candidates.</w:t>
      </w:r>
    </w:p>
    <w:p>
      <w:pPr>
        <w:jc w:val="both"/>
        <w:ind w:left="380" w:right="79" w:hanging="330"/>
        <w:spacing w:after="0" w:line="250"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our third-party manufacturing partners or our, or our partners', failure to comply with applicable regulatory requirements or to supply sufficient quantities at acceptable quality levels or prices, or at all, would materially and adversely affect our business.</w:t>
      </w:r>
    </w:p>
    <w:p>
      <w:pPr>
        <w:spacing w:after="0" w:line="1" w:lineRule="exact"/>
        <w:rPr>
          <w:rFonts w:ascii="Times New Roman" w:cs="Times New Roman" w:eastAsia="Times New Roman" w:hAnsi="Times New Roman"/>
          <w:sz w:val="18"/>
          <w:szCs w:val="18"/>
          <w:color w:val="auto"/>
        </w:rPr>
      </w:pPr>
    </w:p>
    <w:p>
      <w:pPr>
        <w:ind w:left="380" w:right="79" w:hanging="330"/>
        <w:spacing w:after="0" w:line="260"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suppliers for key materials used in our manufacturing process, and the loss of these third-party suppliers or their inability to supply us with adequate materials could harm our business.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31" w:lineRule="exact"/>
        <w:rPr>
          <w:sz w:val="20"/>
          <w:szCs w:val="20"/>
          <w:color w:val="auto"/>
        </w:rPr>
      </w:pPr>
    </w:p>
    <w:p>
      <w:pPr>
        <w:jc w:val="both"/>
        <w:ind w:left="380" w:right="79" w:hanging="330"/>
        <w:spacing w:after="0" w:line="250"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filed patent applications for our lead product candidates, but no patent has yet issued from these applications. If we are unable to obtain and maintain patent protection, or if the scope of the patent protection obtained is not sufficiently robust, our competitors could develop and commercialize products similar or identical to ours, and our ability to successfully commercialize our product candidates may be adversely affected.</w:t>
      </w:r>
    </w:p>
    <w:p>
      <w:pPr>
        <w:spacing w:after="0" w:line="1" w:lineRule="exact"/>
        <w:rPr>
          <w:rFonts w:ascii="Times New Roman" w:cs="Times New Roman" w:eastAsia="Times New Roman" w:hAnsi="Times New Roman"/>
          <w:sz w:val="18"/>
          <w:szCs w:val="18"/>
          <w:color w:val="auto"/>
        </w:rPr>
      </w:pPr>
    </w:p>
    <w:p>
      <w:pPr>
        <w:jc w:val="both"/>
        <w:ind w:left="380" w:right="79" w:hanging="330"/>
        <w:spacing w:after="0" w:line="250"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party to a license agreement with Yale University under which we acquired rights to intellectual property related to certain of our product candidates. If we breach our obligations under this agreement, the agreement could be terminated, which would adversely affect our business and prospects.</w:t>
      </w:r>
    </w:p>
    <w:p>
      <w:pPr>
        <w:spacing w:after="0" w:line="1" w:lineRule="exact"/>
        <w:rPr>
          <w:rFonts w:ascii="Times New Roman" w:cs="Times New Roman" w:eastAsia="Times New Roman" w:hAnsi="Times New Roman"/>
          <w:sz w:val="18"/>
          <w:szCs w:val="18"/>
          <w:color w:val="auto"/>
        </w:rPr>
      </w:pPr>
    </w:p>
    <w:p>
      <w:pPr>
        <w:jc w:val="both"/>
        <w:ind w:left="380" w:right="79" w:hanging="330"/>
        <w:spacing w:after="0" w:line="250"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throughout the world.</w:t>
      </w:r>
    </w:p>
    <w:p>
      <w:pPr>
        <w:spacing w:after="0" w:line="9" w:lineRule="exact"/>
        <w:rPr>
          <w:rFonts w:ascii="Times New Roman" w:cs="Times New Roman" w:eastAsia="Times New Roman" w:hAnsi="Times New Roman"/>
          <w:sz w:val="18"/>
          <w:szCs w:val="18"/>
          <w:color w:val="auto"/>
        </w:rPr>
      </w:pPr>
    </w:p>
    <w:p>
      <w:pPr>
        <w:jc w:val="both"/>
        <w:ind w:left="380" w:right="79" w:hanging="330"/>
        <w:spacing w:after="0" w:line="255"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or we may become involved in lawsuits to protect or enforce our intellectual property, which could be expensive, time-consuming and unsuccessful; our intellectual property could be found invalid or unenforceable.</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31" w:lineRule="exact"/>
        <w:rPr>
          <w:sz w:val="20"/>
          <w:szCs w:val="20"/>
          <w:color w:val="auto"/>
        </w:rPr>
      </w:pPr>
    </w:p>
    <w:p>
      <w:pPr>
        <w:jc w:val="both"/>
        <w:ind w:left="380" w:right="79" w:hanging="330"/>
        <w:spacing w:after="0" w:line="250"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or will rely on third parties to help conduct our ongoing and planned preclinical studies and clinical trials. If these third parties do not successfully carry out their contractual duties, comply with regulatory requirements or meet expected deadlines, we may not be able to obtain marketing approval for our product candidates.</w:t>
      </w:r>
    </w:p>
    <w:p>
      <w:pPr>
        <w:spacing w:after="0" w:line="1" w:lineRule="exact"/>
        <w:rPr>
          <w:rFonts w:ascii="Times New Roman" w:cs="Times New Roman" w:eastAsia="Times New Roman" w:hAnsi="Times New Roman"/>
          <w:sz w:val="18"/>
          <w:szCs w:val="18"/>
          <w:color w:val="auto"/>
        </w:rPr>
      </w:pPr>
    </w:p>
    <w:p>
      <w:pPr>
        <w:jc w:val="both"/>
        <w:ind w:left="380" w:right="79" w:hanging="330"/>
        <w:spacing w:after="0" w:line="250"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depend on Yale or other third-party collaborators for the discovery, development and commercialization of certain of our current and future product candidates. If our collaborations are not successful, we may not be able to capitalize on the market potential of these product candidates.</w:t>
      </w:r>
    </w:p>
    <w:p>
      <w:pPr>
        <w:spacing w:after="0" w:line="1" w:lineRule="exact"/>
        <w:rPr>
          <w:rFonts w:ascii="Times New Roman" w:cs="Times New Roman" w:eastAsia="Times New Roman" w:hAnsi="Times New Roman"/>
          <w:sz w:val="18"/>
          <w:szCs w:val="18"/>
          <w:color w:val="auto"/>
        </w:rPr>
      </w:pPr>
    </w:p>
    <w:p>
      <w:pPr>
        <w:ind w:left="380" w:right="79" w:hanging="330"/>
        <w:spacing w:after="0" w:line="260"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seek to establish additional collaborations and, if we are not able to establish them on commercially reasonable terms, we may have to alter our development and commercialization plans.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31" w:lineRule="exact"/>
        <w:rPr>
          <w:sz w:val="20"/>
          <w:szCs w:val="20"/>
          <w:color w:val="auto"/>
        </w:rPr>
      </w:pPr>
    </w:p>
    <w:p>
      <w:pPr>
        <w:ind w:left="380" w:right="79" w:hanging="330"/>
        <w:spacing w:after="0" w:line="250"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not successful in attracting, motivating and retaining highly qualified personnel, we may not be able to successfully implement our business strategy.</w:t>
      </w:r>
    </w:p>
    <w:p>
      <w:pPr>
        <w:ind w:left="380" w:right="79" w:hanging="330"/>
        <w:spacing w:after="0" w:line="250"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biotechnology and pharmaceutical companies, and our operating results will suffer if we fail to compete effectively.</w:t>
      </w:r>
    </w:p>
    <w:p>
      <w:pPr>
        <w:ind w:left="380" w:hanging="330"/>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grow the size of our organization, and we may experience difficulties in managing this growth.</w:t>
      </w:r>
    </w:p>
    <w:p>
      <w:pPr>
        <w:spacing w:after="0" w:line="9" w:lineRule="exact"/>
        <w:rPr>
          <w:rFonts w:ascii="Times New Roman" w:cs="Times New Roman" w:eastAsia="Times New Roman" w:hAnsi="Times New Roman"/>
          <w:sz w:val="18"/>
          <w:szCs w:val="18"/>
          <w:color w:val="auto"/>
        </w:rPr>
      </w:pPr>
    </w:p>
    <w:p>
      <w:pPr>
        <w:ind w:left="380" w:right="79" w:hanging="330"/>
        <w:spacing w:after="0" w:line="260"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marketing, sales and distribution capabilities for any product candidate that may receive regulatory approval, we may not be successful in commercializing those product candidates.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31" w:lineRule="exact"/>
        <w:rPr>
          <w:sz w:val="20"/>
          <w:szCs w:val="20"/>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has been and may in the future be volatile and fluctuate substantially.</w:t>
      </w:r>
    </w:p>
    <w:p>
      <w:pPr>
        <w:spacing w:after="0" w:line="9" w:lineRule="exact"/>
        <w:rPr>
          <w:rFonts w:ascii="Times New Roman" w:cs="Times New Roman" w:eastAsia="Times New Roman" w:hAnsi="Times New Roman"/>
          <w:sz w:val="18"/>
          <w:szCs w:val="18"/>
          <w:color w:val="auto"/>
        </w:rPr>
      </w:pPr>
    </w:p>
    <w:p>
      <w:pPr>
        <w:ind w:left="380" w:right="79" w:hanging="330"/>
        <w:spacing w:after="0" w:line="250"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now and may in the future be subject to securities litigation, which can be expensive and could divert management's attention.</w:t>
      </w:r>
    </w:p>
    <w:p>
      <w:pPr>
        <w:ind w:left="380" w:right="79" w:hanging="330"/>
        <w:spacing w:after="0" w:line="250"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analysts do not publish research or reports about our business or if they publish negative evaluations of our stock, the price of our stock could decline.</w:t>
      </w:r>
    </w:p>
    <w:p>
      <w:pPr>
        <w:ind w:left="380" w:right="79" w:hanging="330"/>
        <w:spacing w:after="0" w:line="260"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substantial number of shares of our common stock in the public market could cause our stock price to fall, even if our business is doing well.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committed to discovering and developing novel, first-in-class immunomedicines to treat cancer and other immune-related diseases by restoring normal immune function. We view the immune system holistically and, rather than target one specific immune cell type, we focus on understanding biological pathways, the interactions of cells and the role each interaction plays in an immune response. Through our proprietary Functional, Integrated, NextCure Discovery in Immuno-Oncology, or FIND-IO, platform, we study various immune cells to discover and understand targets and structural components of immune cells and their functional impact in order to develop immunomedicines. We are focused on patients who do not respond to current therapies, patients whose cancer progresses despite treatment and patients with cancer types not adequately addressed by available therapies. We are committed to discovering and developing first-in-class immunomedicines that act by new or unique mechanisms.</w:t>
      </w:r>
    </w:p>
    <w:p>
      <w:pPr>
        <w:spacing w:after="0" w:line="188"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Our lead product candidate, NC318, is a first-in-class immunomedicine targeting a novel immunomodulatory receptor called Siglec-15, or S15. We are currently evaluating NC318 for the treatment of advanced or metastatic solid tumors, including head and neck squamous cell carcinoma, or HNSCC, and triple-negative breast cancer, or TNBC. In October 2018, we initiated the Phase 1 portion of a Phase 1/2 clinical trial of NC318 in patients with advanced or metastatic solid tumors. We completed enrollment of the Phase 1 portion of this trial in August 2019 and preliminary data from the Phase 1 portion were presented in November 2019 at the Society for Immunotherapy of Cancer, or SITC, annual meeting. Data from the trial indicated activity in multiple tumor types, including a complete response and a partial response in patients with non-small cell lung cancer, or NSCLC, and durable stable disease in patients with NSCLC, endometrial cell cancer, ovarian cancer, squamous cell carcinoma, Merkel cell cancer, and head and neck cancer. We began enrolling patients in the Phase 2 portion of the trial in October 2019. In the Phase 2 portion, patients were initially selected based on tumors with a PD-L1 tumor proportion score, or TPS, of less than 50%. In July 2020, we announced a confirmed partial response in a head and neck squamous cell carcinoma patient. In addition, we reported that at that time we did not plan to progress the NSCLC and ovarian cancer cohorts to the second stage of the Simon 2-stage trial. In December 2020, we completed a retrospective analysis of S15 expression in biopsy samples collected from the Phase 2 patients at their initial screening. Of the evaluable biopsies collected, 13% of the patients enrolled had S15-positive tumors. These biopsies showed that the selection criterion did not result in enough S15-positive patients to effectively evaluate the activity of NC318 in S15-positive tumors. We are modifying the Phase 2 portion of the trial for S15 selection and expect to begin pre-selecting patients for enrollment based on S15 expression in the second quarter of 2021, which we anticipate will allow us to assess response rates in patients selected for S15 positivity. As of December 2020, NC318 continued to be well tolerated in the Phase 2 portion of the trial, with primarily mild or moderate treatment-related adverse events, or TRAEs. The only observed severe or higher grade TRAE in the Phase 2 portion was a grade 3-4 infusion reaction in one patient. While we no longer plan to initiate a study of NC318 in combination with chemotherapy in lung cancer patients at this time, we believe that scientific evidence supports studying a combination of NC318 with an anti-PD-1 therapy. In the second quarter of 2021, Yale plans to initiate a Phase 2 Investigator-Initiated, or IIT, of NC318 as a monotherapy and in combination with pembrolizumab, an anti-PD-1, in NSCLC patients.</w:t>
      </w:r>
    </w:p>
    <w:p>
      <w:pPr>
        <w:spacing w:after="0" w:line="20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NC318 is a monoclonal antibody targeting S15, which is expressed on highly immunosuppressive cells called M2 macrophages and on tumor cells. The immunosuppressive properties of S15 were discovered in 2015 at Yale by our scientific founder Dr. Lieping Chen. Dr. Chen was also the first to discover a molecule he called B7-H1, which is now more widely known as PD-L1, or programmed cell death protein ligand 1, which is the ligand for PD-1, or programmed cell death 1. In preclinical research, we and others have observed that S15 promotes suppression of T cell proliferation and negatively regulates T cell function. NC318 is designed to block S15-mediated immune suppression and restore T cell function and anti-tumor immunity in the tumor microenvironment, or TME, which we believe will reduce and kill tumors. We believe NC318 has the potential to treat multiple cancer indications because S15 is expressed in multiple tumor types and has a unique ability to modulate immune responses in the TME. In addition, because S15 and PD-L1 expression in tumors generally appear to be non-overlapping, we believe NC318 may be well suited to treat patients who are not responding to PD-1/PD-L1 directed cancer therapies.</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second product candidate, NC410, is a novel immunomedicine designed to block immune suppression mediated by an immune modulator called Leukocyte-Associated Immunoglobulin-like Receptor 1, or LAIR-1. The U.S. Food and Drug Administration, or FDA, accepted our investigational new drug application, or IND, for NC410 in the first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quarter of 2020, and we initiated the Phase 1 portion of a Phase 1/2 clinical trial in patients with advanced or metastatic solid tumors in June 2020 after a temporary delay due to the COVID-19 pandemic. Initial Phase 1 data are expected to be reported in the second half of 2021.</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NC410 is a fusion protein designed to block immune suppression mediated by LAIR-1. LAIR-1 is expressed on T cells and antigen-presenting cells, known as dendritic cells, that present tumor antigens to immune cells in order to generate immune responses. The binding of LAIR-1 to collagen or C1q results in loss of immune function in the TME and a reduction in T cell function and dendritic cell activity. By blocking the binding of LAIR-1, NC410 can promote T cell function and dendritic cell activity, which could result in anti-tumor immune responses that eliminate cancer cells. We are currently focused on opportunities for NC410 in ovarian cancer, NSCLC and pancreatic cancer.</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third product candidate, NC762, is an immunomedicine targeting a molecule called human B7 homolog 4 protein, or B7-H4. We submitted an IND to the FDA for NC762 in the first quarter of 2021, and we intend to initiate a Phase 1/2 clinical trial in patients with lung cancer, HER2+ breast cancer, ovarian cancer and potentially other tumor types in the second quarter of 2021.</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NC762 is a monoclonal antibody that binds specifically to B7-H4, a protein expressed on multiple tumor types. We believe NC762 has unique anti-tumor properties and acts by inhibiting tumor cell growth and killing tumor cells, including by enhancing the immune response. We have observed in preclinical studies that NC762 inhibits the growth of human melanoma tumors in mice, and we believe that NC762 has the potential to treat multiple tumor types. Our research indicates that NC762 inhibits tumor cell growth independently of immune cell infiltration in the TME, but that NK cells may contribute to enhanced anti-tumor activity mediated by NC762.</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approach to identifying targets for new immunomedicines is based on our FIND-IO platform. FIND-IO embodies a rational approach to the discovery of novel cell surface and secretory molecules that drive functional immune responses. We use our immunology knowledge, experience and capabilities and tools we have developed, including our FIND-IO platform, to support our discovery efforts. We are working to discover novel targets that play a key role in mediating immune dysfunctions that allow tumors to evade the immune system. We seek to identify and develop immunomedicines that counteract these outcomes and to further validate and advance our product candidates. We have identified multiple novel targets using our FIND-IO platform, including those for which certain of our research programs are being designed to target. The immunosuppressive properties of S15, the target of NC318, were discovered using a predecessor of our FIND-IO platform.</w:t>
      </w:r>
    </w:p>
    <w:p>
      <w:pPr>
        <w:spacing w:after="0" w:line="188"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are using our FIND-IO platform as our discovery engine to identify targets and develop immunomedicines that restore normal immune function in the TME through novel mechanisms of action. Since our founding in 2015, we have developed, industrialized and optimized our FIND-IO platform based on the immunological expertise of our management team and the scientific leadership of our scientific founder, Dr. Lieping Chen. Our approach in creating the FIND-IO platform, and how we apply it, reflects our belief in the importance of understanding biological pathways of all cells in the immune system and restoring normal immune function. The platform uses our proprietary approaches to assess the suppressive or stimulatory function of immune pathways in T cells and other immune cells, as measured by effects on proliferation or induction of molecules known to impact immune responses, such as cytokines, which are signaling molecules secreted by cells in the immune system that mediate and regulate immunity and inflammation. We study primary immune cells from healthy donors and from patients with various diseases, as well as established cell lines from immune and non-immune cell lineages, including T cell subsets, monocytes, macrophage subpopulations and cancer cell lines. In oncology, we are using the FIND-IO platform to discover immunomedicines with the potential to intervene or modulate interactions of immune cells within the TME to restore anti-tumor activity. We are also expanding the functional screening approach of our FIND-IO platform for the identification of novel targets in other serious illnesses outside of oncology, including autoimmune, inflammatory and neuro-inflammatory diseases.</w:t>
      </w:r>
    </w:p>
    <w:p>
      <w:pPr>
        <w:spacing w:after="0" w:line="19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Members of our management team have a longstanding relationship with our scientific founder Dr. Chen, who is the United Technologies Corporation Professor in Cancer Research and Professor of Immunobiology, of Dermatology and of Medicine (Medical Oncology) at Yale, and the Co-Director of the Cancer Immunology Program at Yale Cancer Center. Dr. Chen was the first to discover PD-L1, and to show that it is expressed by multiple tumor types and its activity can cause the death of T cells, preventing those T cells from eliminating cancer cells. He also showed that blocking the interaction between PD-1 and PD-L1 with monoclonal antibodies improved the immune system’s ability to eliminate tumors. Dr. Chen’s work provided an important foundation for the subsequent development of immunotherapies that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enable more effective immune treatments against cancer. We continue to collaborate with Dr. Chen on discovering novel immunomedicines through an exclusive sponsored research agreement with Yale.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are leveraging our understanding of biological pathways and our FIND-IO platform to discover, validate and build a proprietary pipeline of immunomedicine candidates. The figure below details our pipeline of product candidates and principal discovery and research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123190</wp:posOffset>
            </wp:positionV>
            <wp:extent cx="5057775" cy="2588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57775"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strategy is to use our fully integrated discovery and product development infrastructure to build a sustainable pipeline of product candidates to treat cancer patients who are not adequately served by currently available therapies. The key elements of our strategy include:</w:t>
      </w:r>
    </w:p>
    <w:p>
      <w:pPr>
        <w:spacing w:after="0" w:line="172" w:lineRule="exact"/>
        <w:rPr>
          <w:sz w:val="20"/>
          <w:szCs w:val="20"/>
          <w:color w:val="auto"/>
        </w:rPr>
      </w:pPr>
    </w:p>
    <w:p>
      <w:pPr>
        <w:jc w:val="both"/>
        <w:ind w:left="1020" w:right="79" w:hanging="322"/>
        <w:spacing w:after="0" w:line="255"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Advancing the clinical development of our lead product candidates, NC318, NC410 and NC762. </w:t>
      </w:r>
      <w:r>
        <w:rPr>
          <w:rFonts w:ascii="Times New Roman" w:cs="Times New Roman" w:eastAsia="Times New Roman" w:hAnsi="Times New Roman"/>
          <w:sz w:val="18"/>
          <w:szCs w:val="18"/>
          <w:color w:val="auto"/>
        </w:rPr>
        <w:t>We began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enrolling patients in the Phase 2 portion of the Phase 1/2 clinical trial evaluating NC318 in patients with advanced or metastatic tumors in October 2019. In addition, we believe scientific evidence supports a combination of NC318 with anti-PD-1 therapy, and Yale plans to initiate a Phase 2 IIT of that combination in NSCLC patients in the second quarter of 2021. For NC410, the FDA accepted our IND in the first quarter of 2020 and we initiated the Phase 1 portion of a Phase 1/2 clinical trial in June 2020. For NC762, we submitted our IND in the first quarter of 2021, and we intend to initiate a Phase 1/2 clinical trial in the second quarter of 2021.</w:t>
      </w:r>
    </w:p>
    <w:p>
      <w:pPr>
        <w:spacing w:after="0" w:line="184" w:lineRule="exact"/>
        <w:rPr>
          <w:rFonts w:ascii="Times New Roman" w:cs="Times New Roman" w:eastAsia="Times New Roman" w:hAnsi="Times New Roman"/>
          <w:sz w:val="18"/>
          <w:szCs w:val="18"/>
          <w:color w:val="auto"/>
        </w:rPr>
      </w:pPr>
    </w:p>
    <w:p>
      <w:pPr>
        <w:jc w:val="both"/>
        <w:ind w:left="1020" w:right="79" w:hanging="322"/>
        <w:spacing w:after="0" w:line="259"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Building an oncology pipeline of novel targets for new immunomedicines focused on non-responders</w:t>
      </w:r>
      <w:r>
        <w:rPr>
          <w:rFonts w:ascii="Times New Roman" w:cs="Times New Roman" w:eastAsia="Times New Roman" w:hAnsi="Times New Roman"/>
          <w:sz w:val="18"/>
          <w:szCs w:val="18"/>
          <w:color w:val="auto"/>
        </w:rPr>
        <w:t>.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continuing to leverage our immunological expertise and our FIND-IO platform to identify novel targets relevant to overcoming immune suppression. In addition to our internal discovery efforts, we also seek to leverage our relationship with Dr. Chen’s laboratory at Yale for the discovery of additional targets for immunomedicines.</w:t>
      </w:r>
    </w:p>
    <w:p>
      <w:pPr>
        <w:spacing w:after="0" w:line="179" w:lineRule="exact"/>
        <w:rPr>
          <w:rFonts w:ascii="Times New Roman" w:cs="Times New Roman" w:eastAsia="Times New Roman" w:hAnsi="Times New Roman"/>
          <w:sz w:val="18"/>
          <w:szCs w:val="18"/>
          <w:color w:val="auto"/>
        </w:rPr>
      </w:pPr>
    </w:p>
    <w:p>
      <w:pPr>
        <w:jc w:val="both"/>
        <w:ind w:left="1020" w:right="79" w:hanging="322"/>
        <w:spacing w:after="0" w:line="257"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Leveraging our fully integrated development, quality systems and cGMP manufacturing capabilities.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approach is to integrate key aspects of product development within our organization. We have assembled a team with extensive experience in identifying, characterizing and developing novel immunomedicines. We seek to couple discovery of important targets with the capability to rapidly streamline target validation and conduct key IND-enabling studies, leading to clinical development of lead candidates. Our purpose-built, dedicated, state-of-the-art cGMP manufacturing facility utilizes single-use technology to support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20" w:right="79"/>
        <w:spacing w:after="0" w:line="258" w:lineRule="auto"/>
        <w:rPr>
          <w:sz w:val="20"/>
          <w:szCs w:val="20"/>
          <w:color w:val="auto"/>
        </w:rPr>
      </w:pPr>
      <w:r>
        <w:rPr>
          <w:rFonts w:ascii="Times New Roman" w:cs="Times New Roman" w:eastAsia="Times New Roman" w:hAnsi="Times New Roman"/>
          <w:sz w:val="18"/>
          <w:szCs w:val="18"/>
          <w:color w:val="auto"/>
        </w:rPr>
        <w:t>development of our pipeline and advancement of our product candidates into and through clinical development. The facility has production capacity of 2,000 liters and is designed to operate as a multi-product facility. Compared to working with third-party manufacturers, we believe our facility provides better quality assurance, greater control in scheduling and prioritizing manufacturing activities and enhanced capital efficiency.</w:t>
      </w:r>
    </w:p>
    <w:p>
      <w:pPr>
        <w:spacing w:after="0" w:line="179" w:lineRule="exact"/>
        <w:rPr>
          <w:sz w:val="20"/>
          <w:szCs w:val="20"/>
          <w:color w:val="auto"/>
        </w:rPr>
      </w:pPr>
    </w:p>
    <w:p>
      <w:pPr>
        <w:jc w:val="both"/>
        <w:ind w:left="1020" w:right="79" w:hanging="322"/>
        <w:spacing w:after="0" w:line="25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Expanding our current focus and creating new opportunities outside of the oncology field</w:t>
      </w:r>
      <w:r>
        <w:rPr>
          <w:rFonts w:ascii="Times New Roman" w:cs="Times New Roman" w:eastAsia="Times New Roman" w:hAnsi="Times New Roman"/>
          <w:sz w:val="18"/>
          <w:szCs w:val="18"/>
          <w:color w:val="auto"/>
        </w:rPr>
        <w:t>. While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primary focus is oncology, the functional screening approach and proprietary technology of our FIND-IO platform are broadly applicable to the identification of positive and negative immune modulators, and therefore can be used and expanded to discover novel targets in other inflammatory diseases. Our goal is to enable next-generation immunomedicines for other serious inflammatory diseases with significant unmet medical needs in fields beyond oncology. For example, we are developing our FIND-AI platform, a new platform focused on discovery efforts in autoimmunity and inflammation.</w:t>
      </w:r>
    </w:p>
    <w:p>
      <w:pPr>
        <w:spacing w:after="0" w:line="182" w:lineRule="exact"/>
        <w:rPr>
          <w:rFonts w:ascii="Times New Roman" w:cs="Times New Roman" w:eastAsia="Times New Roman" w:hAnsi="Times New Roman"/>
          <w:sz w:val="18"/>
          <w:szCs w:val="18"/>
          <w:color w:val="auto"/>
        </w:rPr>
      </w:pPr>
    </w:p>
    <w:p>
      <w:pPr>
        <w:jc w:val="both"/>
        <w:ind w:left="1020" w:right="79" w:hanging="322"/>
        <w:spacing w:after="0" w:line="25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Extending the reach of our product candidates through strategic partnerships and collaborations</w:t>
      </w:r>
      <w:r>
        <w:rPr>
          <w:rFonts w:ascii="Times New Roman" w:cs="Times New Roman" w:eastAsia="Times New Roman" w:hAnsi="Times New Roman"/>
          <w:sz w:val="18"/>
          <w:szCs w:val="18"/>
          <w:color w:val="auto"/>
        </w:rPr>
        <w:t>.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exclusive worldwide rights to our current product candidates and our FIND-IO platform. We expect to explore a variety of market opportunities for our current and future product candidates and our platforms, including through the pursuit of strategic partnerships or other collaborations with regard to selected indications or geographical areas such as Asia. We intend for our product candidates to be developed and commercialized globally, by us in key markets and in collaboration with other companies for other geographies.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Immuno-Oncology Background</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immune system has powerful biological mechanisms to defend and protect the body from pathogens, such as viruses, parasites and bacteria. It also provides surveillance against cancers by recognizing and responding to antigens that are uniquely or highly expressed on cancer cells. In cancer, complex interactions between immune cells and growing tumor cells can prevent an immune response by blocking cellular interactions, resulting in immunosuppression in the TME. This phenomenon, referred to as immune evasion, is a hallmark of cancer where the tumor can prevent tumor-specific immune cells called T cells from functioning within the TME or gaining access to the tumor site, which allows the tumor to continue to grow, leading to disease progression. Tumors in advanced cancer have multiple mechanisms of evasion in the TME that can differ from tumor to tumor.</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Remodeling the TME and overcoming its immunosuppressive properties is a major focus of cancer research and drug development. Checkpoint inhibitors are a drug class designed to counteract certain tumor defenses against the immune system. Currently approved checkpoint inhibitors were developed based on the belief that an immune system inactivated by co-inhibitory proteins known as checkpoints could be reactivated to recognize and attack the tumor. Therapies against checkpoints, such as PD-L1, PD-1 and CTLA-4, have produced impressive results in the clinic across an array of cancers and have been approved for several malignancies. However, despite the recent success of these checkpoint inhibitors, it is estimated that up to 60% to 70% of cancer patients do not respond to single-agent therapy with checkpoint inhibitors. This limited efficacy highlights the importance of our effort to identify novel targets and molecular pathways responsible for tumor immune evasion mechanisms that we believe will work independently from current targets for cancer immunotherapy.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Approach to Developing Immunomedicines for Cancer</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Times New Roman" w:cs="Times New Roman" w:eastAsia="Times New Roman" w:hAnsi="Times New Roman"/>
          <w:sz w:val="17"/>
          <w:szCs w:val="17"/>
          <w:color w:val="auto"/>
        </w:rPr>
        <w:t>Our approach to identifying targets for new immunomedicines in cancer is based on the combination of our FIND-IO platform, our immunological expertise and our belief in the importance of understanding biological pathways and the normal function of the immune system in the TME. Rather than focusing on a specific type of immune cell, we are targeting molecules that modulate the immune system in ways that we believe may provide new treatment opportunities for patients that are differentiated from currently marketed targeted therapies as well as those in development. Our primary goal is to develop immunomedicines that increase response rates, efficacy and durable overall survival among patients who do not respond to current therapies, patients whose cancer progresses despite treatment and patients with cancer types that are not adequately addressed by currently available therapies. We design our product candidates either to restore the normal effects of the immune system to promote elimination of the tumors or to counteract tumor immune evasion mechanisms.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FIND-IO platform applies a function-based screening approach to identify human proteins and to determine whether those proteins alter or stop an immune response resulting in immune evasion. The platform is designed to identify novel cell surface molecular interactions that drive functional immune responses. Our FIND-IO platform broadly and quantitatively evaluates interactions between relevant protein components and different cellular types over time in order to identify novel targets that either increase or decrease immune-related functional responses associated with desired immune responses against tumors. By identifying novel immune modulators through the FIND-IO platform, we aim to develop next-generation immunomedicines that restore normal immune function in the TME.</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To create our FIND-IO platform, we industrialized, expanded and optimized the T Cell Activity Array, or the TCAA, a predecessor of the FIND-IO platform that Dr. Chen used to discover the immunosuppressive properties of S15. Our work in developing the FIND-IO platform beyond the TCAA includes using different and expanded gene libraries, adding biological pathways and reporters, expanding immune cell types and, most importantly, increasing the repertoire of functional assay readouts. We also broadened the platform to look at signaling within both the immune cell and the cell expressing the library gene. By transfecting cells with library genes, which encode membrane-bound or soluble proteins, FIND-IO is designed to determine whether the genes have signaling functions when interacting with an immune cell.</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FIND-IO technology includes proprietary approaches to functionally assess immune pathways in both primary immune cells and established cell lines from immune lineages, including T cell subsets, monocytes, macrophage subpopulations, dendritic cells, cancer cell lines and cells isolated from diseased patients. This platform allows us to identify proteins that can be targeted with novel immunomedicines to repair and maintain anti-tumor immunity. By focusing on understanding the TME in oncology, we believe we can identify multiple new positive and negative modulators of immune cells, including T cells, NK cells, macrophages and myeloid-derived suppressor cells.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shown in the figure below, our product candidates target a variety of cell types in the immune system. For example, NC318 targets macrophages and tumor cells and prevents suppressive myeloid cells from negatively regulating T cells, and NC410 targets the negative signaling from dendritic cells, macrophages and T cells mediated by the binding of LAIR-1 to its ligands collagen and C1q. We also have earlier stage discovery programs that are investigating the negative effects of NK cells and other immune cells in the TME on T cells.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Expanding Targets Beyond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139700</wp:posOffset>
            </wp:positionV>
            <wp:extent cx="3686175" cy="31629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86175" cy="31629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Programs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NC318</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NC318 is a monoclonal antibody that binds specifically to human S15 with high affinity. We have observed in preclinical studies that blocking S15 improved the immune response in multiple animal models. We believe that NC318 may help promote an effective anti-tumor immune response by targeting multiple cell types in the TME that express S15, including macrophages and S15-positive tumor cells. Based on the results of the Phase 1 portion of our Phase 1/2 clinical trial of NC318 in patients with advanced or metastatic solid tumors, we began enrolling patients in the Phase 2 portion of the trial in October 2019. The Phase 2 portion of the trial was designed as a Simon Two-Stage trial, a type of Phase 2 trial that is multi-stage, and is conducted in two stages with the option to stop the trial after the first stage or after the second stage. In the Phase 2 portion, patients were initially selected based on tumors with a PD-L1 TPS of less than 50%. In April 2020, we announced that given enrollment slowdown due to the COVID-19 pandemic, we expected initial data from the Phase 2 portion of the Phase 1/2 monotherapy trial to be temporarily delayed. However, we continued to support ongoing activities for patients enrolled in the trial and to work with our clinical sites to enroll new patients as appropriate.</w:t>
      </w:r>
    </w:p>
    <w:p>
      <w:pPr>
        <w:spacing w:after="0" w:line="19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July 2020, we reported a confirmed partial response in a head and neck squamous cell carcinoma patient. In addition, we reported that at that time we would not progress the NSCLC and ovarian cancer cohorts to the second stage of the Simon 2-stage trial. In December 2020, we completed a retrospective analysis of S15 expression in biopsy samples collected at the time of initial screening of patients in the Phase 2 portion of our NC318 trial. Of the evaluable biopsies collected, 13% of the patients enrolled had S15-positive tumors. These biopsies showed that the selection criterion did not result in enough S15-positive patients for us to effectively evaluate the activity of NC318 in S15-positive tumors. We are modifying the ongoing Phase 2 portion of the trial for S15 selection and expect to begin pre-selecting patients for enrollment based on S15 expression in the second quarter of 2021 after the assay we have selected for evaluating S15 expression has been validated under the Clinical Laboratory Improvements Amendment, or CLIA. We anticipate the assay and the selection of S15 positive patients will allow us to assess response rates in patients selected for S15 positivity. As of December 2020, NC318 continued to be well tolerated in the Phase 2 portion of the trial, with primarily mild or moderate TRAEs. The only observed severe or higher grade TRAE in the Phase 2 portion was a grade 3-4 TRAE infusion reaction in one patient. While we no longer plan to initiate a study of NC318 in combination with chemotherapy at this time, we believe that scientific evidence supports a combination of NC318 with anti-PD-1 therapy. In the second quarter of 2021, Yale plans to initiate a Phase 2 IIT of NC318 in combination with pembrolizumab, an anti-PD-1, in NSCLC patients. We have exclusive worldwide rights to NC318.</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S15 Background</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S15 is a member of the sialic acid-binding immunoglobulin lectins, or Siglec, family, a distinct subgroup of the immunoglobulin superfamily of proteins. Siglecs are expressed on most white blood cells of the immune system, except for T cells. Siglecs recognize and bind to a sugar structure called sialic acid that coats proteins and fatty acids found on the surface of all mammalian cells. This binding can affect cell signaling on immune cells. Several Siglecs play key roles in helping immune cells distinguish between self and non-self and modulating immune responses. In 2015, Dr. Chen discovered the immunosuppressive properties of S15 using the TCAA. S15 is expressed on tumor cells and, importantly, on M2 macrophages, which are highly immunosuppressive in the TME.</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S15 molecules on M2 macrophages, as well as on tumors themselves, appear to interact with unidentified receptors on T cells and inhibit T cell proliferation and functions, leading to decreased anti-tumor immune response. It also appears that S15 interacts with myeloid cells to promote their survival and differentiation so that they contribute to the overall immunosuppressive tumor environment through production of cytokines, such as IL-6, IL-1β and TNF-α, that are tumor-promoting and immunosuppressive in the context of the TME. As shown in the figure below, the presence of S15 on either tumor cells or M2 macrophages can lead to an immunosuppressive TME, resulting in tumor growth.</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S15 is Highly Immunosuppressive in the TME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156845</wp:posOffset>
            </wp:positionV>
            <wp:extent cx="5554980" cy="3334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54980"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mechanism of action of NC318 prevents immune suppression caused by S15 and promotes anti-tumor activity. As the figure below shows, by targeting M2 macrophages, S15-induced myeloid cells and S15-positive tumors, NC318 is engineered to decrease inflammatory cytokines associated with enhanced tumor growth, promote T cell proliferation and restore T cell function, which we believe will reduce and kill tumors.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NC318 is Designed to Block Immunosuppressive Activity Induced by 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114300</wp:posOffset>
            </wp:positionV>
            <wp:extent cx="5554980" cy="60947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54980" cy="6094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Phase 1/2 Clinical Trial</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October 2018, we initiated the Phase 1 portion of a Phase 1/2 clinical trial to evaluate NC318 as a monotherapy in patients with advanced or metastatic solid tumors. This ongoing trial is an open-label Phase 1/2 clinical trial designed to assess the safety and tolerability of NC318, to define the maximum tolerable dose and/or pharmacologically active dose and to assess preliminary efficacy. Patients receive NC318 on day one of each cycle. We initiated the trial with 14-day cycles; however, over the course of the trial we expect to continue to evaluate alternate doses and dose administration schedules depending on pharmacokinetics, pharmacodynamics, biomarker data, safety results and feedback from investigators. The trial is being conducted in two phases.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Phase 1 portion was designed to determine the pharmacologically active dose, defined as the dose that provides a maximal biologic effect, such as an increase in biomarkers of immune activation or a reduction of biomarkers associated with immune suppression, and/or the maximum tolerable dose of NC318, including defining the optimal dose administration schedule and the maximum number of tolerated doses. We completed enrollment of the Phase 1 portion of the trial in August 2019 and dosed 49 patients across seven dose cohorts: 8 mg, 24 mg, 80 mg, 240 mg, 400 mg, 800 mg and 1,600 mg, the last of which was added to the trial because a maximum tolerated dose had not been reached through 800 mg. The most common tumors in the Phase 1 portion of the Phase 1/2 trial were NSCLC (13 patients), ovarian (7 patients), melanoma (7 patients), breast (4 patients) and colorectal (3 patients). Enrolled patients had all been subject to previous cancer treatments, with a median of three prior therapies, and all 13 NSCLC patients were PD-1 refractory and had been treated with a median of four prior therapies.</w:t>
      </w:r>
    </w:p>
    <w:p>
      <w:pPr>
        <w:spacing w:after="0" w:line="19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Preliminary data from the Phase 1 portion were presented in November 2019 at the SITC annual meeting and updated data were announced in December 2020. As of December 17, 2020, NC318 had been well tolerated in the Phase 1 portion of the trial and only one dose-limiting toxicity, a grade 3 pneumonitis at the highest dose level, had been observed. Treatment-related adverse events experienced by more than 5% of patients as of that date were diarrhea, infusion reactions, fatigue, headaches, pruritis, elevated amylase and elevated lipase. Most treatment-related adverse events were easily manageable, asymptomatic or mild or moderate, with the exception of one case of grade 3 episcleritis/uveitis at the 400 mg dose level that resolved after steroid therapy and two cases of grade 3 pneumonitis (one at the 400 mg dose level and one at the 1,600 mg dose level). We also observed two grade 1 cases of vitiligo (one at the 80 mg dose level and one at the 400 mg dose level) that, along with other immune-related adverse events including diarrhea, elevated amylase and lipase, pruritis, episcleritis/uveitis and pneumonitis, indicate NC318’s activity as a modulator of the immune system.</w:t>
      </w:r>
    </w:p>
    <w:p>
      <w:pPr>
        <w:spacing w:after="0" w:line="194"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Data from the Phase 1 portion of the trial indicate activity in multiple tumor types, including durable stable disease in patients with NSCLC, endometrial cell cancer, ovarian cancer, squamous cell carcinoma, Merkel cell cancer, and head and neck cancer. As of December 17, 2020, durable responses observed include one complete response, which remained ongoing at 104 weeks, and one partial response, which remained ongoing at 78 weeks, both in NSCLC patients, as well as 10 patients with stable disease, which remained ongoing for six months or more. The patient with the complete response had multiple lesions prior to treatment with NC318, including two lesions that were at least 10 mm. Among the 10 patients with stable disease, four patients have NSCLC with stable disease for six months or more.</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began enrolling patients in the Phase 2 portion of the Phase 1/2 clinical trial of NC318 in October 2019. The Phase 2 portion of the trial is an open-label trial designed to detect a relevant efficacy signal, or response rate, for each tumor type at a 400 mg dose administered every two weeks. In this portion, we planned to enroll up to 100 patients with tumor types that have been shown to have elevated S15 expression, including NSCLC, ovarian cancer, HNSCC and TNBC. In the Phase 2 portion, patients were initially selected based on tumors with a PD-L1 TPS of less than 50%. S15 expression will be analyzed retrospectively in all pretreatment biopsies successfully obtained from the Phase 2 patients. The primary endpoints for the Phase 2 portion of the trial are safety and tolerability, and secondary endpoints include response rate, progression-free survival, duration of response and overall survival.</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July 2020, we reported a confirmed partial response in a head and neck squamous cell carcinoma patient, which supported advancing that indication into the second stage of the Simon 2-stage trial. In addition, at the time, we reported that at that time we would not progress the NSCLC and ovarian cancer cohorts to the second stage of the Simon 2-stage trial. In December 2020, we completed a retrospective analysis of S15 expression in biopsy samples collected from the Phase 2 patients at their initial screening. Of the evaluable biopsies collected, 13% of the patients enrolled had S15-positive tumors. These biopsies showed that the selection criterion of PD-L1 expression did not result in enough S15-positive patients for us to effectively evaluate the activity of NC318 in S15-positive tumors. We are modifying the ongoing Phase 2 portion of the trial for S15 selection and expect to begin pre-selecting patients for enrollment based on S15 expression in the second quarter of 2021 after the assay we have selected for evaluating S15 expression has been validated under the Clinical Laboratory Improvements Amendment, or CLIA. We anticipate the assay and the selection of S15 positive patients will allow us to assess response rates in patients selected for S15 positivity. As of December 2020, NC318 continued to be well tolerated in the Phase 2 portion of the trial, with primarily mild or moderate TRAEs. The only observed severe or higher grade TRAE in the Phase 2 portion was a grade 3-4 TRAE infusion reaction in one patient.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Phase 2 Combination Clinical Trial</w:t>
      </w:r>
    </w:p>
    <w:p>
      <w:pPr>
        <w:spacing w:after="0" w:line="22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believe scientific evidence supports a combination with anti-PD-1 therapy. In the second quarter of 2021, Yale plans to initiate a Phase 2 IIT of NC318 in combination with pembrolizumab, an anti-PD-1, in patients with NSCLC.</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understand that the trial is designed with both monotherapy arms to evaluate safety and responses to NC318 alone, and combination arms to evaluate the safety of the combination with pembrolizumab and responses to the combination. At this time, we no longer plan to initiate a study of NC318 in combination with chemotherapy.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NC410</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NC410 is a fusion protein of LAIR-2, a naturally occurring soluble version of and decoy protein for LAIR-1, and is designed to block immune suppression mediated by LAIR-1. Multiple preclinical studies support our understanding that eliminating or blocking the binding of LAIR-1 restores normal immune function in multiple immune cells. Our translational work has shown that NC410 blocks the interaction of LAIR-1 with its binding partners, thereby promoting T cell function and dendritic cell activity to contribute to restoring anti-tumor immune activity. Consistent with our strategy, we believe NC410 has the potential to address the needs of patients who are not adequately addressed by currently available therapies. The FDA accepted our IND in the first quarter of 2020 and we initiated the Phase 1 portion of a Phase 1/2 clinical trial in patients with advanced or metastatic solid tumors in June 2020 after a temporary delay due to the COVID-19 pandemic. The Phase 1 dose-escalation portion of this open-label trial is designed to evaluate the safety and tolerability of NC410, and to determine its pharmacologically active and/or maximum tolerated dose. After a recommended dose for the Phase 2 portion of the trial is determined, the efficacy of NC410 will be evaluated in select tumor types. We expect to announce data from the Phase 1 portion of this trial in the second half of 2021. We have exclusive worldwide rights to NC410.</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Background of LAIR Pathway in Cancer</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LAIR-1 is a co-inhibitory receptor expressed on T cells and several other immune cell subsets, including monocytes, macrophages and dendritic cells. Its binding partners include certain types of collagen and complement component 1q, or C1q.</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Under normal conditions, collagen forms a scaffold to provide strength and structure to tissues. C1q is part of the innate immune system to protect the host from infection and other foreign agents. Both collagen and C1q are highly upregulated and expressed under pathologic conditions, such as in the TME and in the immune organelles close to the tumor site known as lymph nodes, which are important sites for mounting immune responses to the tumor. However, binding of LAIR-1 to collagen or C1q leads to immune suppression. Our preclinical studies have shown that LAIR-1 and LAIR-2 bind to similar ligands, including collagen and C1q. LAIR-2, which is a secreted protein as opposed to a membrane-bound protein like LAIR-1, binds to the same regions of these ligands with stronger affinity than LAIR-1. However, because LAIR-2 does not induce immune suppression when binding to these ligands, LAIR-2 functions as an efficient decoy for LAIR-1.</w:t>
      </w:r>
    </w:p>
    <w:p>
      <w:pPr>
        <w:spacing w:after="0" w:line="18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Under the harsh conditions of the TME, collagen and C1q are overexpressed as a membrane protein on many types of tumor cells and in the ECM surrounding the tumor. This increased expression of collagen and C1q, combined with insufficient levels of natural LAIR-2, leads to increased binding of LAIR-1, resulting in immune suppression, tumor immune evasion and tumor growth.</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NC410 is a novel immunotherapeutic protein that was developed to block LAIR-1-mediated immune suppression by mimicking the natural decoy effects of LAIR-2. Our approach of using NC410 as a therapeutic is intended to take advantage of the natural LAIR-2 regulatory system in humans, which maintains human immune function under normal non-pathologic conditions.</w:t>
      </w:r>
    </w:p>
    <w:p>
      <w:pPr>
        <w:spacing w:after="0" w:line="180" w:lineRule="exact"/>
        <w:rPr>
          <w:sz w:val="20"/>
          <w:szCs w:val="20"/>
          <w:color w:val="auto"/>
        </w:rPr>
      </w:pPr>
    </w:p>
    <w:p>
      <w:pPr>
        <w:jc w:val="both"/>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mechanism of action of NC410 prevents immune suppression caused by LAIR-1 binding to collagen or C1q and promotes anti-tumor immune activity. As the figure below shows, when LAIR-2 and NC410 are present in the TME, they bind to collagen or C1q preferentially compared to LAIR-1 given their higher binding affinity. This has the effect of blocking the collagen or C1q from binding to LAIR-1, which otherwise would have resulted in an immunosuppressive effect. By blocking this interaction with LAIR-1 and its binding partners, T cell function and dendritic cell activity is promoted in order to restore anti-tumor immune activity.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NC410 is Designed to Prevent Immune Suppression Caused by LAIR-1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156845</wp:posOffset>
            </wp:positionV>
            <wp:extent cx="5554980" cy="2700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5498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Preclinical Data</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have conducted multiple preclinical studies to assess the activity of NC410 across a variety of preclinical models. These studies support our understanding that eliminating or blocking the binding of LAIR-1 to collagen or C1q can restore normal immune function in multiple immune cells, including T cells and myeloid cells, resulting in activation of T cells and anti-tumor immunity.</w:t>
      </w:r>
    </w:p>
    <w:p>
      <w:pPr>
        <w:spacing w:after="0" w:line="17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observed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with human cells that using NC410 to block LAIR-1 from binding with collagen or C1q reverses immune suppression and restores normal immune cell function for both peripheral blood monocytes, including T cells, and myeloid cells. In one study of peripheral blood monocytes, we added 0 µg/mL, 10 µg/mL and 100 µg/mL of NC410 to 20 µg/mL of collagen peptide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Similarly, we also evaluated the addition of 0 µg/mL, 2.5 µg/mL and 10 µg/mL of NC410 to 10 µg/mL of C1q on human myeloid cells. As shown in the figures below, NC410 promoted the activation of immune cells in the presence of high levels of collagen in peripheral blood monocytes and high levels of C1q in myeloid cells in a dose-dependent manner.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694690</wp:posOffset>
            </wp:positionV>
            <wp:extent cx="5554980" cy="3231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54980" cy="323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another preclinical study with human cells, we observed that NC410 promoted increases in the cytokines IL-2 and TNF-α, as shown in the left-hand panel of the following figure, which is indicative of increased immune function. In addition, simultaneous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injections of NC410 and human T cells in immune-deficient mice resulted in increased amounts of CD4+ and CD8+ T cells, as shown in the right-hand panel of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125730</wp:posOffset>
            </wp:positionV>
            <wp:extent cx="5554980" cy="22199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5498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Through multiple preclinical studies in several additional tumor models, we observed that eliminating or blocking LAIR-1-mediated immune suppression prolonged survival. In addition, anti-tumor activity of NC410 correlated with a local increase in antigen-specific T cells in the TME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using an engineered mouse model to measure localized antigen-specific responses. We used an antigen-specific tumor model of EL4, a murine lymphoma cell line. We measured the weight of the animals daily as a proxy for tumor growth. As shown in the figure below, we observed that mice treated with NC410 had smaller tumors than mice treated with a control, suggesting that NC410 has potential anti-tumor activity.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NC410 Showed Anti-Tumor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156845</wp:posOffset>
            </wp:positionV>
            <wp:extent cx="3522980" cy="26574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2298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also measured T cells specific for ovalbumin, and as shown in the figures below, we observed systemic and local increases, as measured in the spleen and lymph node, respectively, in mice treated with NC410 compared to those treated with control. We believe that these data support an immune response in and around the TME.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NC410 Increased T Cells Both Systemically and Locally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156845</wp:posOffset>
            </wp:positionV>
            <wp:extent cx="4732020" cy="2425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3202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addition, when human PBMCs were implanted into mice with mouse P815 mastocytoma tumor cells, we observed that NC410 mediated an increase in human T cells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that the increase in human T cells correlated with a delay in tumor growth. As shown in the figures below, NC410 increased the number of CD8+ T cells on day 13 in a dose-dependent manner and that increase corresponded to a decrease in tumor volume. To mimic human cancers, human PBMCs were also implanted into mice with human HT29 colon adenocarcinoma cells to test efficacy in a human tumor model. NC410 promoted an anti-tumor response against the human HT29 tumor cell line in a dose-dependent manner, as shown in the figure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Mouse P815 Mastocytoma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156845</wp:posOffset>
            </wp:positionV>
            <wp:extent cx="5554980" cy="2048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5498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 HT29 Colon Adenocarcinoma Model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NC410 Decreased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156845</wp:posOffset>
            </wp:positionV>
            <wp:extent cx="5520690" cy="2459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2069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Our Clinical Development Plan for NC410</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and others have analyzed genomic and protein databases and observed that LAIR-1 expression levels negatively correlate with survival rates for several cancers, including brain, renal, colorectal, glioma, lung, urothelial and ovarian cancers. These analyses support possible targeting of these tumor types as primary indications for therapeutic treatment with NC410. We are conducting expansive screening efforts on tumor samples from different solid tumor types to identify tumors that express LAIR-1 on the surface of either cancer cells or infiltrating immune cells to guide our ultimate selection of patients for the Phase 2 portion of the Phase 1/2 clinical trial.</w:t>
      </w:r>
    </w:p>
    <w:p>
      <w:pPr>
        <w:spacing w:after="0" w:line="187"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The FDA accepted our IND in the first quarter of 2020 and we initiated the Phase 1 portion of a Phase 1/2 clinical trial in patients with advanced or metastatic solid tumors in June 2020 after a temporary delay due to the COVID-19 pandemic. The Phase 1 dose-escalation portion of this open-label trial is designed to evaluate the safety and tolerability of NC410, and to determine its pharmacologically active and/or maximum tolerated dose. After a recommended dose for the Phase 2 portion of the trial is determined, the efficacy of NC410 will be evaluated in select tumor types. We expect to</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announce data from the Phase 1 portion of this trial in the second half of 2021. We have exclusive worldwide rights to NC410.</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NC762</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NC762 is a monoclonal antibody that binds specifically to human B7 homolog 4 protein, or B7-H4, a protein expressed on multiple tumor types. We believe NC762 acts by inhibiting tumor cell growth. While the inhibitory effect on tumor growth does not appear to be dependent upon T cells, we believe NK cells may contribute to enhanced anti-tumor activity mediated by NC762. We have observed in preclinical studies that NC762 inhibits the growth of human melanoma tumors in mice, and we believe that NC762 has the potential to treat multiple tumor types. We submitted an IND to the FDA for NC762 in the first quarter of 2021, and we intend to initiate a Phase 1/2 clinical trial of NC762 in patients with lung cancer, HER2+ breast cancer, and ovarian cancer, and potentially other tumor types in the second quarter of 2021. We anticipate initial Phase 1 data in mid-2022. In connection with our development work for NC762, we have developed an immunohistochemistry, or IHC, assay to test tumors for B7-H4 positivity and have performed screening of multiple tumor types. We have validated the assay for use in clinical trials, and we intend to use it in the Phase 1/2 clinical trial to select patients for treatment through patient biopsies. In addition to the planned clinical trial, we plan to continue pre-clinical work including to identify tumor indications most likely to respond to NC762. We have exclusive worldwide rights to NC762.</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B7-H4 Background</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B7-H4 is a cell surface protein expressed on multiple tumor types, including non-small cell lung cancer, ovarian cancer, breast cancer and hepatocellular carcinoma, and on tumor-associated macrophages, and shows limited expression in most normal tissues. B7-H4 was initially discovered in 2003 in the Mayo Clinic lab of our scientific co-founder Dr. Lieping Chen. It is a member of the same family of co-inhibitory checkpoint proteins as B7-H1, known as PD-L1, which was also discovered by Dr. Chen's lab, and PD-L2. See "Immuno-Oncology Background." B7-H4 has been shown in published articles to negatively regulate T cell immune response, inhibit cytokine production, suppress antigen-presenting cells, promote immune escape and play a role in tumorigenesis and tumor development. Expression of B7-H4 in tumor cells has been shown in pre-clinical research and published articles to be correlated with reduced overall survival, and B7-H4 has generally non-overlapping expression with both PD-L1 and S15. Given the low expression of B7-H4 on healthy cells and the results of our preclinical cross-tissue reactivity studies (see "-Preclinical Data" below), we believe that anti-B7-H4 treatment is unlikely to inadvertently cause adverse effects of tissues and pathways outside of B7-H4 positive tumors and tumor-associated macrophages.</w:t>
      </w:r>
    </w:p>
    <w:p>
      <w:pPr>
        <w:spacing w:after="0" w:line="19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NC762 is a novel immunotherapeutic protein that binds to B7-H4 on the cell surface of tumors. We believe NC762 acts by inhibiting tumor cell growth and killing tumor cells, including by enhancing immune response. Preclinical research indicates that the primary mechanism of action of NC762 inhibits tumor cell growth independently of immune cell infiltration into the tumor microenvironment, meaning that it should not require the use of a separate toxic payload linked to the antibody as part of treatment. NC762 was also designed to enhance immune response by allowing for enhanced binding to CD16a/FcγRIIIa, a receptor found on the surface of natural killer, or NK cells, in order to increase antibody-dependent cell-mediated cytotoxicity, or ADCC, activity. ADCC is a process by which effector cells such as NK cells interact with and kill antibody-coated target cells such as tumor cells. Extensive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modeling data using human melanoma in mouse models expressing B7-H4 indicates that NC762's anti-tumor effect may be enhanced in the presence of NK cells, but that it has an anti-tumor impact even in the absence of peripheral blood mononuclear cells (comprising</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several types of white blood cells including NK cells), and that the primary mechanism by which NC762 inhibits tumor growth is therefore ADCC-independent.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114300</wp:posOffset>
            </wp:positionV>
            <wp:extent cx="3669030" cy="17487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6903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Preclinical studies did not raise any significant safety concerns with NC762. Specifically, dosage of cynomolgus monkeys at doses up to 100 mg/kg did not result in any observed adverse effects. A tissue cross-reactivity study of 37 tissues from three individuals found no signals that NC762 binds to tissues other than tumor tissue, which indicates that NC762 is not expected to bind off target and harm cells, tissues and pathways outside of B7-H4 positive tumors and tumor-associated macrophages. In addition, an analysis of changes in serum cytokines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leads us to believe that treatment with NC762 is unlikely to trigger overactive immune responses known as cytokine storms that can have harmful effects.</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have developed an IHC assay using a commercially purchased antibody to test tumors for B7-H4 positivity, and have performed screening of multiple tumor types. We intend to use this assay to select patients for treatment through patient biopsies, including in the Phase 1 dose expansion portion of our planned Phase 1/2 clinical trial, and have validated the assay for use in clinical trials. We also intend to retroactively use immunophenotyping and serum analysis as part of our clinical trials to determine the types of cells present after treatment in order to identify biomarkers, to look for signs of clinical activity, and to help determine the likelihood of responsiveness to treatment with NC762.</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Preclinical Data</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To demonstrate that NC762's mechanism of action is independent of ADCC, we inoculated immunodeficient mice with human melanoma cells expressing B7-H4 and treated the mice with either NC762 or a version of NC762, called NC762.FES, that we modified to significantly reduce its ability to bind to immune cell receptors, which essentially eliminated any ADCC activity that may be caused by NC762. Mice treated with both versions of NC762 experienced significantly reduced tumor growth as compared to the control group (left panel). The data therefore indicates that NC762 mediated inhibitory activity on tumor growth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independent of ADCC activity. The data also shows that NC762's anti-tumor effect may be enhanced in the presence of NK cells (middle panel), but that T-cells are not required (right panel).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133350</wp:posOffset>
            </wp:positionV>
            <wp:extent cx="4903470" cy="12598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03470"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Our Clinical Development Plan for NC762</w:t>
      </w:r>
    </w:p>
    <w:p>
      <w:pPr>
        <w:spacing w:after="0" w:line="22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and others have observed that B7-H4 is widely expressed on a number of cancers, including non-small cell lung cancer, ovarian cancer, breast cancer and hepatocellular carcinoma. These analyses support possible targeting of these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tumor types as primary indications for therapeutic treatment with NC762. Using a B7-H4-specific antibody that we identified and optimized for IHC analyses, we are currently staining various cancer tissues to gain a more comprehensive and definitive understanding of B7-H4 prevalence in both primary and metastatic lesions.</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submitted an IND to the FDA for NC762 in the first quarter of 2021, and we intend to initiate a Phase 1/2 clinical trial of NC762 in patients with lung cancer, HER2+ breast cancer, and ovarian cancer, and potentially other tumor types in the second quarter of 2021. The Phase 1 dose-escalation portion of this open-label trial is being designed to evaluate the safety and tolerability of NC762, and to determine its pharmacologically active and/or maximum tolerated dose. After a recommended dose for the Phase 2 portion of the trial is determined, the efficacy of NC762 will be evaluated in select tumor types.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Research Programs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 addition to NC318, NC410, and NC762, we are also pursuing preclinical evaluation of other potential novel immunomodulatory molecules.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FIND-IO Discovery Engine</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FIND-IO platform uses proprietary approaches to functionally assess immune pathways in both primary immune cells and established cell lines from immune lineages, including T cell subsets, monocytes, macrophage subpopulations, dendritic cells, cancer cell lines, and cells isolated from diseased patients. This platform allows us to identify proteins that can be targeted with novel immunomedicines to repair and maintain anti-tumor immunity. We have identified multiple novel targets using our FIND-IO platform, including those for which certain of our research programs are being designed to target.</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There are three integrated components to our FIND-IO platform. The first component consists of gene libraries, also called target libraries, comprising genes that are expressed and queried for immune or other functions. Our target libraries are composed of genes that encode a structurally diverse set of protein molecules and that are either inserted into the plasma membrane on the host cell surface or secreted outside of the host cell. The second component encompasses a variety of immune and non-immune cell types, called responder cells, used to evaluate the functional effects of the target libraries. The immune responder cell types include primarily immune cells obtained from human volunteers and multiple immune cell lines that have been grown in culture, and the non-immune responder cell types include tumor cell lines. The third component utilizes a broad set of outputs indicative of whether a newly discovered target inhibits or stimulates functional immune responses. We utilize a cube to illustrate these three components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131445</wp:posOffset>
            </wp:positionV>
            <wp:extent cx="5280660" cy="2837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80660" cy="283718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Unlike other screening platforms that often focus on a single parameter or cell type, our approach uses a broad search across multiple cell types and multiple functions and is purposefully designed to produce physiologically relevant results. Although the orchestration of an immune response is complex and dynamic within the TME, we have designed the FIND-IO platform to be simple yet functional. The platform integrates multiple components to assess immune function resulting from cellular interactions in order to identify new immune modulators in an approach that mimics physiological interactions. The goal is to identify proteins that can be targeted with immunomedicines, such as monoclonal antibodies or fusion proteins. Potential targets that are preliminarily identified through the FIND-IO platform undergo reproducible, robust, relevant and comprehensive characterization resulting in functional readouts that improve the likelihood of developing immunomedicines against novel immune modulatory molecules. This approach is intended to meet our goal of extending beyond the success of current immunotherapies to treat patients who are not adequately addressed by currently available therapies and to enhance overall survival in these patients.</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first step in the application of our FIND-IO platform is to transfect the target library into a host cell on a gene-by-gene basis. The host cells then express the library genes and the proteins are present on the cell surface or secreted into the surrounding space. In addition, the host cell has been engineered to express a reporter of transcriptional activity associated with a cellular function. For example, we engineer the host cells to report transcription factor activity in a cellular pathway by linking a selected DNA with a different fluorescent reporter, such as red fluorescent protein, or RFP. Thus, if the library gene expresses a protein that can signal via the applicable pathway, then the RFP gene is transcribed, expressed as a protein and the cell will glow red. The immune or non-immune responder cells are also engineered to express a reporter of transcriptional activity associated with a cellular function. For example, we engineer the responder cells to report transcription factor activity in a cellular pathway by linking a selected DNA with a fluorescent reporter such as green fluorescent protein, or GFP. Therefore, when transcription occurs in the responder cell, the GFP gene is transcribed, expressed as a protein and the cell will glow green. The red and/or green glow of the cells can be measured quantitatively. This is called bi-directional signaling as the FIND-IO platform was designed to look at signaling events in the host cells as well as the immune and non-immune responder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130810</wp:posOffset>
            </wp:positionV>
            <wp:extent cx="5554980" cy="30257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54980"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FIND-IO platform allows us to select and screen multiple immune and non-immune responder cell types, including T cells, myeloid cells, leukemia cells, epithelial cancer cells, plasma B cells and multiple myeloma cells, as well as primary immune cells from healthy donors. For each of these cell types, we undertake functional screening, including activity of many reporter pathways, effector function activity and effects on cell death, in order to identify novel immunomodulatory targets with common or differentiating effects across multiple cell types.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Additionally, with our FIND-IO technology we can test for combination screens to search for synergistic or additive combinations with certain pathways, including immune checkpoint pathways, like the PD-1/PD-L1 pathway, that are currently approved for treating cancer patients. We expect that this screening will help with the identification of potential combination treatments to enhance response rates.</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goal of our FIND-IO platform is to sustain a pipeline of novel immunomedicines that restore normal immune function to treat cancer and other immune-related diseases. While we are primarily focused on cancer treatment, we believe that our proprietary technology, our approach, our understanding of biological pathways and the convergence of immunology and inflammation provide us with opportunity to explore novel immunomedicines for other significant unmet medical needs. To maximize the full potential of our platform and expertise, we are expanding the functional screening approach of our FIND-IO platform to the identification of novel targets in autoimmunity and inflammation, where we are using this approach to develop our FIND-AI platform, as well as in neuro-inflammatory diseases.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Collaboration Agreements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Yale University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Agreement with Yale</w:t>
      </w:r>
    </w:p>
    <w:p>
      <w:pPr>
        <w:spacing w:after="0" w:line="22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entered into a license agreement with Yale, or the Yale Agreement, in December 2015 pursuant to which we obtained an exclusive, royalty-bearing, sublicensable worldwide license to products that either incorporate certain licensed patents used in the discovery of targets or arise out of research and development of Dr. Chen’s laboratory at Yale, including S15, and amended the Yale Agreement effective January 2020. We are obligated to pay Yale low single-digit royalties on sales of products, including NC318, that are either covered by the patents licensed to us under the Yale Agreement or arise out of Dr. Chen’s laboratory as a result of research under the corporate sponsored research agreement described below, subject to minimum annual royalty payments in the low to mid hundreds of thousands of dollars. Until we are required to pay royalties under the Yale Agreement, we must pay an annual license maintenance fee to Yale in the mid to high tens of thousands of dollars. In addition, with respect to each product covered by licenses under the Yale Agreement, we are obligated to pay Yale milestone payments upon (i) the initiation of each of a Phase 1 clinical trial, Phase 2 clinical trial and Phase 3 clinical trial or a pivotal trial, (ii) first commercial sale in the United States and (iii) first commercial sale in China, Japan or a major European country, in an aggregate amount of up to $2,975,000. The term of the license agreement with Yale runs, on a country-by-country basis, until the later of the expiration of all licensed patents or 10 years from the first commercial sale in such country, unless Yale has cause to terminate earlier for our material breach of the license, bankruptcy or if we or any sublicensee bring a challenge against Yale in relation to the licensed patents. We have the right to terminate the Yale Agreement for Yale’s material breach or at any time during the term with six months’ prior written notice to Yale.</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Sponsored Research Agreement with Yale</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Yale Agreement, we also entered into a corporate sponsored research agreement, or the SRA, with Yale, pursuant to which we have agreed to provide an aggregate of up to $15 million to fund a research program aimed at discovering new targets for immunomedicines. The research program is under the direction and supervision of Dr. Chen. Pursuant to the SRA, we have the option to add any patents invented pursuant to the research program as a licensed patent under the Yale Agreement and the right to obtain a royalty-bearing, exclusive, worldwide license to any such patents. If we do not exercise our option within the exercise period, Yale is permitted to license any such patents to any third party. The SRA has been extended for one year and will expire on December 31, 2021. We have the option of further extending the term upon mutual agreement with Yale. We can terminate the SRA at any time upon 90 days’ written notice to Yale. Yale can terminate for an uncured breach or with 90 days’ written notice for cause.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Former Research and Development Collaboration with Lilly</w:t>
      </w:r>
    </w:p>
    <w:p>
      <w:pPr>
        <w:spacing w:after="0" w:line="229" w:lineRule="exact"/>
        <w:rPr>
          <w:sz w:val="20"/>
          <w:szCs w:val="20"/>
          <w:color w:val="auto"/>
        </w:rPr>
      </w:pPr>
    </w:p>
    <w:p>
      <w:pPr>
        <w:jc w:val="both"/>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Effective March 3, 2020, Eli Lilly and Company, or Lilly, terminated the multi-year research and development collaboration agreement, or the Lilly Agreement, without cause that we had entered into with Lilly in November 2018 and that focused on the discovery and development of immunomedicines for oncology using our FIND-IO platform. Under the agreement, we had granted Lilly the exclusive option to obtain worldwide exclusive licenses to research, develop, manufacture and commercialize multiple compounds and products directed to oncology targets identified through our research collaboration.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have a purpose-built, dedicated, state-of-the-art cGMP manufacturing facility that utilizes single-use technology to support our pipeline and advance our product candidates into and through clinical development. The facility had an initial production capacity of 1,000 liters, but that capacity was expanded in 2020 to 2,000 liters in order to support multiple product candidates. The investment in our manufacturing facility is a critical element of our ability to quickly identify whether a candidate is likely to be successful and to facilitate an efficient development path. While other companies may need to work with third parties for antibody production, we can do so in our own facility. Compared to working with third-party manufacturers, we believe our facility provides better quality assurance, greater control in scheduling and prioritizing manufacturing activities and enhanced capital efficiency. We are currently manufacturing all of the drug supply for our preclinical studies and our Phase 1/2 clinical trials of NC318, NC410, and NC762 and intend to provide the drug supply for future clinical trials of NC318, NC410, and NC762. As we advance the development of our growing pipeline of product candidates, we will continue to evaluate the merits of further expanding our internal manufacturing capabilities, including for the production of commercial drug supply, as compared to collaborating with third-party manufacturers.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and the immuno-oncology subsector, are characterized by rapid evolution of technologies, fierce competition and strong defense of intellectual property. We believe that our programs, platforms, technology, knowledge, experience and scientific resources provide us with competitive advantages, but we also face competition from pharmaceutical and biotechnology companies, academic institutions, governmental agencies and public and private research institutions, among others. Our competitors include larger and better funded biopharmaceutical, biotechnology and therapeutics companies, including companies focused on cancer immunotherapies, such as Amgen, Inc., AstraZeneca plc, Bristol-Myers Squibb Company, or BMS, Genentech, Inc., GlaxoSmithKline PLC, Merck &amp; Co., Inc., Novartis AG, Pfizer Inc., Roche Holding Ltd and Sanofi S.A. Moreover, we may also compete with smaller or earlier-stage companies, universities and other research institutions that have developed, are developing or may be developing current and future cancer therapeutics.</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Product candidates that we successfully develop and commercialize will compete with a range of therapies that are currently approved and any new therapies that may become available in the future. Key product features that would affect our ability to effectively compete with other therapeutics include the efficacy, safety and convenience of our products. Currently marketed oncology drugs and therapeutics range from traditional cancer therapies, including chemotherapy, to antibody-drug conjugates, such as Genentech Inc.’s Kadcyla, to immune checkpoint inhibitors targeting CTLA-4, such as BMS’ Yervoy, and PD-1/PD-L1, such as BMS’ Opdivo, Merck &amp; Co.’s Keytruda and Genentech’s Tecentriq, to T cell-engager immunotherapies, such as Amgen’s Blincyto. In addition to these marketed therapies, numerous compounds are in clinical development for the potential treatment of cancer.</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protection for our products, methods and manufacturing processes, to operate without infringing the proprietary rights of others and to prevent others from infringing our proprietary rights. We rely on a combination of patent applications and trade secrets, as well as contractual protections, to establish and protect our intellectual property rights. We seek to protect our proprietary position by, among other things, filing patent applications in the United States and internationally. Our patent estate includes patent applications with claims relating to our product candidates, methods of use and manufacturing processes, and claims for potential future products and developments. As of December 31, 2020, our intellectual property portfolio includes, on a worldwide basis, 20 pending foreign patent applications relating to NC318, NC410, and NC762, two pending U.S. patent application relating to NC318, one pending U.S. patent application relating to NC410, and two pending U.S. patent applications relating to NC762, and additional pending patent applications for other discovery and research programs. Patents resulting from our patent applications for NC318 and NC410, if issued, are expected to expire beginning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2037 absent any patent term adjustments or extensions and for NC762, if issued, are expected to expire beginning in 2039 absent any patent term adjustments or extensions.</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addition, as described above, under the Yale Agreement, we have an exclusive, royalty-bearing, sublicensable worldwide license from Yale for an intellectual property portfolio, including among other things patent applications relating to methods of use for S15 that covers the use of NC318 and one allowed patent relating to FIND-IO. Any patents from these patent applications, if issued, are expected to expire no earlier than 2036 absent any patent term adjustments or extensions.</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For all patent applications, we determine strategy for claim scope on a case-by-case basis, taking into account advice of counsel and our business model and needs. We file patents containing claims for protection of all useful applications of our proprietary technologies and any products, as well as all new applications and/or uses we discover for existing technologies and products, based on our assessment of their strategic value. We continuously reassess the number and type of patent applications, as well as the pending and issued patent claims to ensure that maximum coverage and value are obtained for our processes and compositions, given existing patent office rules and regulations. Further, claims may be modified during patent prosecution to meet our intellectual property and business needs.</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also rely upon trade secrets, know-how and continuing technological innovation to develop and maintain our competitive position, including with respect to our FIND-IO platform. We seek to protect our proprietary technology and processes, in part, by confidentiality and invention assignment agreements with our employees, consultants, scientific advisors and other contractors. In addition, in the ordinary course of our business, we enter into agreements with other third parties for non-exclusive rights to intellectual property directed to other technologies that are ancillary to our business, including laboratory information management software and research and development tools. In addition, we have filed for trademark registration with the U.S. Patent and Trademark Office, or the USPTO, for “NextCure,” our logo and our FIND-IO platform.</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and Product Approval</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biological products. Along with third-party contractors, we will be required to navigate the various preclinical, clinical and commercial approval requirements of the governing regulatory agencies of the countries in which we wish to conduct studies or seek approval or licensure of our product candidates. The processes for obtaining regulatory approvals in the United States and in foreign jurisdictions, along with subsequent compliance with applicable laws and regulations and other regulatory authorities, require the expenditure of substantial time and financial resources.</w:t>
      </w:r>
    </w:p>
    <w:p>
      <w:pPr>
        <w:spacing w:after="0" w:line="18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Government policies may change and additional government regulations may be enacted that could prevent or delay further development or regulatory approval of any product candidates, product or manufacturing changes, additional disease indications or label changes. We cannot predict the likelihood, nature or extent of government regulation that might arise from future legislative or administrative action.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for Licensing Biologics in the United States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the United States, the FDA regulates our current product candidates as biological products, or biologics, under the Federal Food, Drug, and Cosmetic Act, or FDCA, the Public Health Service Act and associated implementing regulations. Biologics, like other drugs, are used for the treatment, prevention or cure of disease in humans. In contrast to small molecular weight drugs, which have a well-defined structure and can be thoroughly characterized, biologics are generally derived from living material (human, animal, or microorganism) are complex in structure, and thus are usually not fully characterized. Biologics include immunomedicines for cancer and other diseases.</w:t>
      </w:r>
    </w:p>
    <w:p>
      <w:pPr>
        <w:spacing w:after="0" w:line="187"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Biologics are also subject to other federal, state and local statutes and regulations. The failure to comply with applicable statutory and regulatory requirements at any time during the product development process, approval process or after approval may subject a sponsor or applicant to administrative or judicial enforcement actions. These actions could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include the suspension or termination of clinical trials by the FDA, the FDA’s refusal to approve pending applications or supplemental applications, withdrawal of an approval, Warning Letters or Untitled Letters, product recalls, product seizures, total or partial suspension of production or distribution, import detention, injunctions, fines, refusals of government contracts, restitution, disgorgement of profits, or civil or criminal investigations and penalties brought by the FDA, the Department of Justice, or the DOJ, or other governmental entities.</w:t>
      </w:r>
    </w:p>
    <w:p>
      <w:pPr>
        <w:spacing w:after="0" w:line="183"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An applicant seeking approval to market and distribute a biologic in the United States must typically undertake the following:</w:t>
      </w:r>
    </w:p>
    <w:p>
      <w:pPr>
        <w:spacing w:after="0" w:line="162" w:lineRule="exact"/>
        <w:rPr>
          <w:sz w:val="20"/>
          <w:szCs w:val="20"/>
          <w:color w:val="auto"/>
        </w:rPr>
      </w:pPr>
    </w:p>
    <w:p>
      <w:pPr>
        <w:ind w:left="1020" w:right="79" w:hanging="322"/>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and animal studies performed in accordance with the FDA’s good laboratory practice, or GLP, regulations;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labeling and distribution of investigational drug in compliance with cGMP;</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must become effective before clinical trials may begin and must be updated annually or when significant changes are made;</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or ethics committee at each clinical site before each clinical trial may be initiated;</w:t>
      </w:r>
    </w:p>
    <w:p>
      <w:pPr>
        <w:spacing w:after="0" w:line="161"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the FDA’s current Good Clinical Practices requirements, or cGCP, to establish the safety, purity and potency of the proposed biological product candidate for its intended purpose;</w:t>
      </w:r>
    </w:p>
    <w:p>
      <w:pPr>
        <w:spacing w:after="0" w:line="17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biologics license application, or BLA, after completion of all pivotal clinical trials requesting marketing approval for one or more proposed indications;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satisfactory completion of an FDA Advisory Committee review, where appropriate, as may be requested by the FDA to assist with its review;</w:t>
      </w:r>
    </w:p>
    <w:p>
      <w:pPr>
        <w:spacing w:after="0" w:line="161" w:lineRule="exact"/>
        <w:rPr>
          <w:rFonts w:ascii="Times New Roman" w:cs="Times New Roman" w:eastAsia="Times New Roman" w:hAnsi="Times New Roman"/>
          <w:sz w:val="18"/>
          <w:szCs w:val="18"/>
          <w:color w:val="auto"/>
        </w:rPr>
      </w:pPr>
    </w:p>
    <w:p>
      <w:pPr>
        <w:jc w:val="both"/>
        <w:ind w:left="1020" w:right="79" w:hanging="322"/>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at which the proposed product, or certain components thereof, are produced to assess compliance with cGMP and data integrity requirements to assure that the facilities, methods and controls are adequate to preserve the biologic’s identity, safety, quality, purity and potency;</w:t>
      </w:r>
    </w:p>
    <w:p>
      <w:pPr>
        <w:spacing w:after="0" w:line="179"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FDA audits of selected clinical investigation sites to assure compliance with cGCP requirements and the integrity of the clinical data;</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under the Prescription Drug User Fee Act for the relevant year;</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FDA review and approval of the BLA to permit commercial marketing of the licensed biologic for particular indications for use in the United States; and</w:t>
      </w:r>
    </w:p>
    <w:p>
      <w:pPr>
        <w:spacing w:after="0" w:line="161"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post-approval requirements, including the potential requirements to implement a Risk Evaluation and Mitigation Strategy, or REMS, adverse event and biological product deviation reporting and to complete any post-approval studies.</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be changed or what the effect of such changes, if any, may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Before an applicant can begin testing the potential candidate in human subjects, the applicant must first conduct preclinical studies. Preclinical studies include laboratory evaluations of product chemistry, toxicity and formulation,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the potential safety and activity of the drug for initial testing in humans and to establish a rationale for therapeutic use. Preclinical studies are subject to federal regulations and requirements, including GLP regulations. The results of an applicant’s preclinical studies are submitted to the FDA as part of an IND.</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An IND is a request for authorization from the FDA to administer an investigational new drug product to humans. An IND is an exemption from the FDCA that allows an unapproved drug to be shipped in interstate commerce for use in an investigational clinical trial. Such authorization must be secured prior to interstate shipment and administration of a biologic that is not subject of an approved BLA. In support of a request for an IND, applicants must submit a protocol for each clinical trial. Any subsequent protocol amendments must be submitted to the FDA as part of the IND.</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Human clinical trials may not begin until an IND is effective. The IND automatically becomes effective 30 days after receipt by the FDA, unless the FDA raises safety concerns or questions about the proposed clinical trial within the 30-day time period.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FDA may also place a clinical hold or partial clinical hold on such trial following commencement of a clinical trial under an IND.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cGCP regulations, which include the requirement that all research subjects provide their informed consent for their participation in any clinical trial. Clinical trials are conducted under protocols detailing, among other things, the objectives of the trial, the parameters to be used in monitoring safety and the effectiveness criteria to be evaluated. A separate submission to the existing IND must be made for each successive clinical trial conducted during product development and for any subsequent protocol amendments.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 sponsor may choose, but is not required, to conduct a foreign clinical study under an IND. When a foreign clinical study is conducted under an IND, all FDA IND requirements must be met unless waived. When the foreign clinical study is not conducted under an IND, the sponsor must ensure that the study complies with cGCP regulations in order to use the study as support for an IND or application for marketing approval, including cGCP regulations, including review and approval by an independent ethics committee and informed consent from subjects.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Furthermore, an independent IRB for each site proposing to conduct the clinical trial must review and approve the plan for any clinical trial and its informed consent form before the clinical trial begins at that site, and must monitor the trial until completed. Regulatory authorities, the IRB or the sponsor may suspend a clinical trial at any time on various grounds, including a finding that the subjects are being exposed to an unacceptable health risk or that the trial is unlikely to meet its stated objectives.</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Some trials also include oversight by an independent group of qualified experts organized by the clinical trial sponsor, known as a data safety monitoring board, or DSMB. DSMBs provide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 Other grounds for suspension or termination may be made based on evolving business objectives and/or competitive climate. There are also requirements governing the reporting of ongoing clinical trials and clinical trial results to public registries.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 purposes of BLA approval, clinical trials are typically conducted in the following sequential phases:</w:t>
      </w:r>
    </w:p>
    <w:p>
      <w:pPr>
        <w:spacing w:after="0" w:line="225" w:lineRule="exact"/>
        <w:rPr>
          <w:sz w:val="20"/>
          <w:szCs w:val="20"/>
          <w:color w:val="auto"/>
        </w:rPr>
      </w:pPr>
    </w:p>
    <w:p>
      <w:pPr>
        <w:jc w:val="both"/>
        <w:ind w:left="1020" w:right="79" w:hanging="322"/>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investigational product is initially introduced into healthy human subjects or patients with the target disease or condition. These trials are designed to test the safety, dosage tolerance, absorption, metabolism and distribution of the investigational product in humans and the side effects associated with increasing doses. These trials may also yield early evidence of effectiveness.</w:t>
      </w:r>
    </w:p>
    <w:p>
      <w:pPr>
        <w:spacing w:after="0" w:line="179" w:lineRule="exact"/>
        <w:rPr>
          <w:rFonts w:ascii="Times New Roman" w:cs="Times New Roman" w:eastAsia="Times New Roman" w:hAnsi="Times New Roman"/>
          <w:sz w:val="18"/>
          <w:szCs w:val="18"/>
          <w:color w:val="auto"/>
        </w:rPr>
      </w:pPr>
    </w:p>
    <w:p>
      <w:pPr>
        <w:jc w:val="both"/>
        <w:ind w:left="1020" w:right="79" w:hanging="322"/>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9" w:lineRule="exact"/>
        <w:rPr>
          <w:rFonts w:ascii="Times New Roman" w:cs="Times New Roman" w:eastAsia="Times New Roman" w:hAnsi="Times New Roman"/>
          <w:sz w:val="18"/>
          <w:szCs w:val="18"/>
          <w:color w:val="auto"/>
        </w:rPr>
      </w:pPr>
    </w:p>
    <w:p>
      <w:pPr>
        <w:jc w:val="both"/>
        <w:ind w:left="1020" w:right="79" w:hanging="322"/>
        <w:spacing w:after="0" w:line="25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generate sufficient data to statistically evaluate the efficacy and safety of the product for approval, to establish the overall risk/benefit ratio of the investigational product and to provide an adequate basis for product approval by the FDA.</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These phases may overlap or be combined. In some cases, the FDA may require, or companies may voluntarily pursue, additional clinical trials after a product is approved to gain more information about the product, referred to as Phase 4 trials. Such post-approval trials, when applicable, are conducted following initial approval, typically to develop additional data and information relating to the biological characteristics of the product and treatment of patients in the intended therapeutic indication.</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trials must be submitted at least annually to the FDA and more frequently if serious adverse events occur. In addition, IND safety reports must be submitted to the FDA for any of the following: suspected serious and unexpected adverse reactions; findings from epidemiological studies, pooled analysis of multiple studies,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or other clinical studies, whether or not conducted under an IND, and whether or not conducted by the sponsor, that suggest a significant risk in humans exposed to the drug; and any clinically important increase in the rate of a serious suspected adverse reaction over such rate listed in the protocol or investigator brochure.</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planned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to assure compliance with cGCP and the integrity of the clinical data submitted.</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During clinical development, the sponsor often refines the indication and endpoints on which the BLA will be based. For endpoints based on patient-reported outcomes, or PROs, and outcome reported outcomes, or OROs, the process typically is an iterative one. The FDA has issued guidance on the framework it uses to evaluate PRO instruments. Although the agency may offer advice on optimizing PRO and ORO instruments during the clinical development process, the FDA usually reserves final judgment until it reviews the BLA.</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often complete additional animal studies, and develop additional information about the chemistry and physical characteristics of the drug and finalize a process for manufacturing the product in commercial quantities in accordance with cGMP.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Review</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Assuming successful completion of all required clinical testing in accordance with all applicable regulatory requirements, an applicant may submit a BLA requesting licensing to market the biologic for one or more indications in the United States. The BLA must include the results of product development, nonclinical studies and clinical trials; detailed information on the product’s chemistry, manufacture, controls and proposed labeling. Under the Prescription Drug User Fee Amendments, a BLA submission is subject to an application user fee, unless a waiver or exemption applies.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FDA will initially review the BLA for completeness before accepting it for filing. Under the FDA’s procedures, the agency has 60 days from its receipt of a BLA to determine whether the application will be accepted for filing and substantive review. If the agency determines that the application does not meet this initial threshold standard, the FDA may refuse to file the application and request additional information, in which case the application must be resubmitted with the requested information and review of the application delayed.</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With certain exceptions, BLAs must include a pediatric assessment, generally based on clinical trial data, of the safety and effectiveness of the biologic in relevant pediatric populations. Under certain circumstances, the FDA may waive or defer the requirement for a pediatric assessment, either at the sponsor’s request or by the agency’s initiative.</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After the BLA is accepted for filing, the FDA reviews the BLA to determine, among other things, whether a product is safe, pure and potent and if the facility in which it is manufactured, processed, packed or held meets standards designed to assure the product’s continued identity, strength, quality,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comply with cGMP and are adequate to assure consistent production of the product within required specifications. In addition, the FDA expects that all data be reliable and accurate, and requires sponsors to implement meaningful and effective strategies to manage data integrity risks. Data integrity is an important component of the sponsor’s responsibility to ensure the safety, efficacy and quality of its product or products.</w:t>
      </w:r>
    </w:p>
    <w:p>
      <w:pPr>
        <w:spacing w:after="0" w:line="19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FDA will typically inspect one or more clinical sites to assure compliance with cGCP regulations before approving a BLA.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FDA performance goals generally provide for action on a BLA within 10 months of filing, which (as discussed above) typically occurs within 60 days of submission, but that deadline is extended in certain circumstances. Furthermore, the review process is often significantly extended by the FDA’s requests for additional information or clarification.</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FDA may refer applications for novel products or products that present difficult questions of safety or efficacy to an advisory committee. Typically, an advisory committee consists of a panel that includes clinicians and other experts who will review, evaluate and provide a recommendation as to whether the application should be approved and, if so, under what conditions. The FDA is not bound by the recommendations of an advisory committee, but it considers such recommendations carefully when making decisions and usually has followed such recommendations.</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After the FDA evaluates a BLA and conducts inspections of manufacturing facilities where the investigational product and/or its components will be produced, the FDA may issue an approval letter or a Complete Response Letter, or CRL. An approval letter authorizes commercial marketing of the biologic with specific prescribing information for specific indications. A CRL will describe all of the deficiencies that the FDA has identified in the BLA, except that where the FDA determines that the data supporting the application are inadequate to support approval, the FDA may issue the CRL without first conducting required inspections, testing submitted product lots and/or reviewing proposed labeling. If and when the deficiencies have been addressed to the FDA’s satisfaction in a resubmission of the BLA, the FDA will issue an approval letter. In issuing the CRL, the FDA may recommend actions that the applicant might take to place the BLA in condition for approval, including requests for additional data, information or clarification. The FDA may delay or refuse approval of a BLA if applicable regulatory criteria are not satisfied, and may require additional testing or information and/or require post-marketing studies and clinical trials. Even with submission of this additional information, the FDA ultimately may decide that the application does not satisfy the regulatory criteria for approval.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During the approval process, the FDA will determine whether a REMS is necessary to assure the safe use of the biologic.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If the FDA concludes that a REMS is needed, the BLA sponsor must submit a proposed REMS and the FDA will not approve the BLA without a REMS that the agency has determined is acceptable.</w:t>
      </w:r>
    </w:p>
    <w:p>
      <w:pPr>
        <w:spacing w:after="0" w:line="187"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If the FDA approves a product, it may limit the approved indications for use for the product, or require that contraindications, warnings or precautions be included in the product labeling. The FDA may also require that post-approval studies, including Phase 4 clinical trials, be conducted to further assess the drug’s safety after approval. The FDA may prevent or limit further marketing of a product based on the results of post-market studies or surveillance programs.</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FDA may also require testing and surveillance programs to monitor the product after commercialization. For biologics, such testing may include official lot release, which requires the manufacturer to perform certain tests on each lot of the product before it is released for distribution. The manufacturer then typically must submit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itself, before releasing the lots for distribution by the manufacturer.</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After approval, many types of changes to the approved product, such as adding new indications, manufacturing changes and additional labeling claims, are often subject to further testing requirements and FDA review and approval, depending on the nature of the post-approval change. The FDA may withdraw the product approval if compliance with pre-and post-marketing requirements is not maintained or if problems occur after the product reaches the marketplace.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Any products manufactured or distributed pursuant to FDA approvals are subject to pervasive and continuing regulation by the FDA, including, among other things, requirements relating to recordkeeping, periodic reporting, reporting of certain deviations and adverse experiences, product sampling and distribution and advertising and promotion of the product. After approval, most changes to the approved product, such as adding new indications or other labeling claims, are subject to FDA review and approval. There also are continuing user fee requirements, under which FDA assesses an annual program fee for each product identified in an approved BLA. Biologic manufacturers and their third-party contractors are required to register their facilities with the FDA and certain state agencies. These facilities are subject to routine and periodic unannounced inspections by the FDA and certain state agencies for compliance with cGMP, postmarketing safety reporting and data integrity requirements, which impose certain procedural and documentation requirements to assure quality of manufacturing and product. FDA has increasingly observed cGMP violations involving data integrity during site inspections and is a significant focus of its oversight. Requirements with respect to data integrity include, among other things, controls to ensure data are complete and secure; activities documented at the time of performance; audit trail functionality; authorized access and limitations; validated computer systems; and review of records for accuracy, completeness and compliance with established standards.</w:t>
      </w:r>
    </w:p>
    <w:p>
      <w:pPr>
        <w:spacing w:after="0" w:line="19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Post-approval changes to the manufacturing process are strictly regulated, and, depending on the significance of the change, may require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data integrity, pharmacovigilance and other aspects of regulatory compliance.</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post-approval studies or clinical trials to assess new safety risks; or imposition of distribution or other restrictions under a REMS. Other potential consequences include, among other things:</w:t>
      </w:r>
    </w:p>
    <w:p>
      <w:pPr>
        <w:spacing w:after="0" w:line="187" w:lineRule="exact"/>
        <w:rPr>
          <w:sz w:val="20"/>
          <w:szCs w:val="20"/>
          <w:color w:val="auto"/>
        </w:rPr>
      </w:pPr>
    </w:p>
    <w:p>
      <w:pPr>
        <w:ind w:left="1020" w:right="79" w:hanging="322"/>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a product, complete withdrawal of the product from the market or product recalls;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322"/>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Untitled Letters or holds on post-approval clinical studies;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existing product approvals;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of the FDA to permit the import or export of products or Import Alert; or</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permanent injunctions and consent decrees, including the imposition of civil or criminal penalties.</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FDA strictly regulates the marketing, labeling, advertising and promotion of prescription drug products placed on the market. A company can make only those claims relating to safety and efficacy, purity and potency that are approved by the FDA and in accordance with the provisions of the approved label. The FDA’s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relating to a product’s safety or effectiveness are prohibited before the drug is approved. After approval, a product generally may not be promoted for uses that are not approved by the FDA, as reflected in the product’s prescribing information. In the United States, healthcare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narrow conditions, for a manufacturer to engage in non-promotional, non-misleading communication regarding off-label information, such as distributing scientific or medical journal information.</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If a company is found to have promoted off-label uses, it may become subject to adverse public relations and administrative and judicial enforcement by the FDA, the DOJ or the Office of the Inspector General of the Department of Health and Human Services, or HHS, as well as other federal and state authorities. This could subject a company to a range of penalties that could have a significant commercial impact, including civil, administrative, and criminal fines, penalties, and agreements that materially restrict the manner in which a company promotes or distributes products. The federal government has levied large civil, administrative, and criminal fines and penalties against companies for alleged improper promotion, and has also requested that companies enter into consent decrees and permanent injunctions under which specified promotional conduct is changed or curtailed.</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distribution of prescription drug and biologic are subject to the Drug Supply Chain Security Act, or DSCSA, which requires manufacturers and other stakeholders to comply with product identification, tracing, verification, detection and response, notification and licensing requirements. In addition, the Prescription Drug Marketing Act and its implementing regulations and state laws limit the distribution of prescription pharmaceutical product samples, and the DSCSA imposes requirements to ensure accountability in distribution and to identify and remove prescription drug and biological products that may be counterfeit, stolen, contaminated, or otherwise harmful from the market.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 and Marketing Exclusivity</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After approval, owners of relevant drug or biological product patents may apply for up to a five year patent extension to restore a portion of patent term lost during product development and FDA review of a BLA if approval of the application is the first permitted commercial marketing or use of a biologic containing the active ingredient under the Drug Price Competition and Patent Term Restoration Act of 1984, referred to as the Hatch-Waxman Act. The allowable patent term extension is calculated as one-half of the product’s testing phase, which is the time between IND and BLA submission, and all of the review phase, which is the time between BLA submission and approval, up to a maximum of five years. The time can be shortened if the FDA determines that the applicant did not pursue approval with due diligence. The total patent term after the extension may not exceed more than 14 years from the date of FDA approval of the product. Only one patent claiming each approved product is eligible for restoration and the patent holder must apply for restoration within 60 days of approval. The USPTO, in consultation with the FDA, reviews and approves the application for patent term restoration.</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USPTO must determine that approval of the product candidate covered by the patent for which a patent extension is being sought is likely. Interim patent extensions are not available for a product candidate for which a BLA has not been submitted.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Marketing Exclusivities</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Biologics Price Competition and Innovation Act, or BPCIA, created an abbreviated approval pathway for biological product candidates shown to be highly similar to or interchangeable with an FDA licensed biological product. A biological product on which another biological product candidate’s BLA relies to establish biosimilarity is known as a reference product. Biosimilarity sufficient to reference a prior FDA-approved product requires that there be no differences in conditions of use, route of administration, dosage form and strength, and no clinically meaningful differences between the biological product candidate and the reference product in terms of safety, purity and potency. Biosimilarity must be shown through analytical trials, animal trials and at least one clinical trial, unless the Secretary of HHS waives a required element. A biosimilar product candidate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Complexities associated with the larger, and often more complex, structures of biologics, as well as the process by which such products are manufactured, pose significant hurdles to implementation of the abbreviated approval pathway that are still being worked out by the FDA.</w:t>
      </w:r>
    </w:p>
    <w:p>
      <w:pPr>
        <w:spacing w:after="0" w:line="19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 reference biologic is granted 12 years of exclusivity from the time of first licensure of the reference product, and no application for a biosimilar can be submitted for four years from the date of licensure of the reference product. The first biological product candidate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w:t>
      </w:r>
    </w:p>
    <w:p>
      <w:pPr>
        <w:spacing w:after="0" w:line="3" w:lineRule="exact"/>
        <w:rPr>
          <w:sz w:val="20"/>
          <w:szCs w:val="20"/>
          <w:color w:val="auto"/>
        </w:rPr>
      </w:pPr>
    </w:p>
    <w:p>
      <w:pPr>
        <w:jc w:val="both"/>
        <w:ind w:left="60" w:right="59" w:hanging="10"/>
        <w:spacing w:after="0" w:line="265" w:lineRule="auto"/>
        <w:tabs>
          <w:tab w:leader="none" w:pos="3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 months after the first interchangeable biosimilar is approved if there is no patent challenge, (iii) 18 months after resolution of a lawsuit over the patents of the reference biologic in favor of the first interchangeable biosimilar applicant, or</w:t>
      </w:r>
    </w:p>
    <w:p>
      <w:pPr>
        <w:jc w:val="both"/>
        <w:ind w:left="60" w:right="59" w:hanging="10"/>
        <w:spacing w:after="0" w:line="255" w:lineRule="auto"/>
        <w:tabs>
          <w:tab w:leader="none" w:pos="3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months after the first interchangeable biosimilar’s application has been approved if a patent lawsuit is ongoing within the 42 month period. At this time, it is unclear whether products deemed “interchangeable” by the FDA will, in fact, be readily substituted by pharmacies, which are governed by state pharmacy laws and regulations.</w:t>
      </w:r>
    </w:p>
    <w:p>
      <w:pPr>
        <w:spacing w:after="0" w:line="18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If a biologic is designated and approved for an orphan indication, it will be granted seven years of orphan drug exclusivity. An orphan indication is granted to biological products and drugs designated and approved to treat diseases or conditions affecting fewer than 200,000 individuals in the United States, or if there is no reasonable expectation that the sponsor will be able to recover the costs of developing and marketing the drug or biological product in the United States. A biosimilar may not be licensed by FDA for the protected orphan indication until after the expiration of the seven year orphan drug exclusivity period or the 12 year reference product exclusivity, whichever is later.</w:t>
      </w:r>
    </w:p>
    <w:p>
      <w:pPr>
        <w:spacing w:after="0" w:line="187" w:lineRule="exact"/>
        <w:rPr>
          <w:sz w:val="20"/>
          <w:szCs w:val="20"/>
          <w:color w:val="auto"/>
        </w:rPr>
      </w:pPr>
    </w:p>
    <w:p>
      <w:pPr>
        <w:jc w:val="both"/>
        <w:ind w:left="60" w:right="59" w:firstLine="648"/>
        <w:spacing w:after="0" w:line="272" w:lineRule="auto"/>
        <w:rPr>
          <w:sz w:val="20"/>
          <w:szCs w:val="20"/>
          <w:color w:val="auto"/>
        </w:rPr>
      </w:pPr>
      <w:r>
        <w:rPr>
          <w:rFonts w:ascii="Times New Roman" w:cs="Times New Roman" w:eastAsia="Times New Roman" w:hAnsi="Times New Roman"/>
          <w:sz w:val="17"/>
          <w:szCs w:val="17"/>
          <w:color w:val="auto"/>
        </w:rPr>
        <w:t>Pediatric exclusivity adds an additional six month exclusivity period to any marketing exclusivities and patents that a biological product has obtained. In order to obtain pediatric exclusivity, a BLA sponsor must conduct pediatric studies as requested by the FDA in a Written Request.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While pediatric exclusivity is not an actual extension on a patent term, it effectively extends the preclusive effect of the patent on FDA’s authority to approve another application that relies on the product with pediatric exclusivity.</w:t>
      </w:r>
    </w:p>
    <w:p>
      <w:pPr>
        <w:spacing w:after="0" w:line="17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On December 20, 2019, President Trump signed into law H.R. 1865, the Further Consolidated Appropriations Act of 2020. The law includes significant provisions related to the Trump Administration’s biosimilars policy framework and FDA’s implementation of the BPCIA, such as clarifying that “chemically synthesized polypeptides” are no longer excluded from being regulated as biologics, while “peptides” (polymers composed of 40 or fewer amino acids) will continue to be regulated as drugs unless they otherwise meet the statutory definition of biological products. In addition, the Further Consolidated Appropriations Act of 2020 clarifies exclusivity and procedural issues related to certain biologics approved as drugs pursuant to new drug applications, or NDAs, to be the subject of an approved BLA, or transition biological products. The law also incorporates provisions intended to reduce price and increase competitiveness in the pharmaceutical industry. The law amends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FDCA to create a private right of action against NDA or BLA holders that refuse to provide sufficient quantities of samples of an approved reference product to generic and biosimilar developers. In July 2018, the FDA released its Biosimilars Action Plan to improve the efficiency of the biosimilar and interchangeable product development and approval process. The Further Consolidated Appropriations Act of 2020 is consistent with FDA guidance documents issued in December 2018 that were intended to advance the agency’s biosimilars policy framework. The implementation of the Further Consolidated Appropriations Act of 2020 and the ultimate impact of the agency’s Biosimilars Action Plan are uncertain and may evolve over time through future laws and regulations and guidance provided by regulatory and governing bodies. In addition, other aspects of the BPCIA, some of which may impact the BPCIA exclusivity provisions, have been the subject of recent litigation.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Companion Diagnostics and Laboratory Developed Tests</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companion diagnostic is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that can: identify the patients most likely to benefit from a particular therapeutic product; identify those likely to be at an increased risk for serious side effects; or monitor responses to treatment with a particular therapeutic product for the purpose of adjusting treatment to achieve improved safety or effectiveness. Under the FDCA,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are generally regulated as medical devices. The FDA has generally classified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as high-risk, Class III devices, which require FDA approval of a premarket approval application, or PMA, but recognizes the possibility of a moderate-risk IVD companion diagnostic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Class II device), which would require clearance of a 510(k) premarket notification or grant of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Approval or clearance of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 will ensure that the device has been adequately evaluated and has adequate performance characteristics in the intended population.</w:t>
      </w:r>
    </w:p>
    <w:p>
      <w:pPr>
        <w:spacing w:after="0" w:line="188"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 xml:space="preserve">For those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that require PMA approval, the process involves gathering and submitting clinical and preclinical data on the device for review by the FDA. It involves a rigorous premarket review, during which the applicant must provide the FDA with reasonable assurance of the device’s safety and effectiveness, as well as information regarding the device’s design, manufacturing and labeling. In addition, the FDA will typically inspect the device manufacturer’s facilities for compliance with the Quality System Regulation, which imposes testing, control, documentation and other quality assurance requirements.</w:t>
      </w:r>
    </w:p>
    <w:p>
      <w:pPr>
        <w:spacing w:after="0" w:line="182"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FDA has issued guidance on the approval of therapeutic products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devices. According to the FDA’s guidance, for novel therapeutic products including biologics,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 and its corresponding therapeutic should be approved or cleared contemporaneously by the FDA for the use indicated in the therapeutic product’s labeling.</w:t>
      </w:r>
    </w:p>
    <w:p>
      <w:pPr>
        <w:spacing w:after="0" w:line="18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some cases, information from a diagnostic test may be useful to a prescriber, but not necessary for the safe and effective administration of the therapeutic product. In those cases, health care providers may employ information derived from a complementary diagnostic test such as a laboratory developed test, or LDT, when administering a therapeutic product. An LDT is a type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test that is designed, manufactured and used within a single laboratory. LDTs can be used to measure or detect a wide variety of analytes (substances such as proteins, chemical compounds like glucose or cholesterol, or DNA), in a sample taken from a human body.</w:t>
      </w:r>
    </w:p>
    <w:p>
      <w:pPr>
        <w:spacing w:after="0" w:line="187"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Centers for Medicare and Medicaid Services, or CMS, regulates LDTs and the laboratories that develop them, and enforces the Clinical Laboratories Improvement Amendments, or CLIA. CMS evaluates whether there is clinical utility for each specific test, and also performs postmarket oversight of laboratory operational processes. CMS’s oversight through the CLIA program is designed to confirm that a lab assesses analytical validity, but does not confirm whether it had results from an analytical validity assessment that were sufficient to support the claimed intended use of the test.</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Historically, the FDA has generally not enforced premarket review and other FDA requirements on LDTs because LDTs were relatively simple lab tests and generally available on a limited basis. Due to advances in technology, however, some LDTs are now much more complex, have a nationwide reach and present higher risks, such as detection of risk for breast cancer and Alzheimer’s disease, which are similar to those of other IV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that have undergone premarket review.</w:t>
      </w:r>
    </w:p>
    <w:p>
      <w:pPr>
        <w:spacing w:after="0" w:line="183"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FDA has announced that in the future it intends to assert jurisdiction over LDTs and proposed increasing regulatory requirements for LDTs through a risk-based framework. The FDA received considerable resistance to its proposal, and to date generally exercises enforcement discretion with respect to LDTs, leaving responsibility to CMS.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 xml:space="preserve">New laws, regulations or changes to existing laws, regulations and policies may result in changes to the requirements for LDTs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devices and to the FDA’s compliance and enforcement policies.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Healthcare Regulation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Pharmaceutical Coverage and Reimbursement</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ability to successfully commercialize any of our product candidates for which we may receive regulatory approval will depend in significant part on the availability of coverage and reimbursement from third-party payors, including governmental healthcare programs such as the Medicare and Medicaid programs in the U.S.; private health insurers; managed care organizations; and other entities. Third-party payors establish the coverage and reimbursement policies for pharmaceutical products, and the marketability of any products for which we may receive regulatory approval for commercial sale depends on those payors’ coverage policies and reimbursement rates. Third-party payors may limit coverage to specific products on an approved list, or formulary, which might not include one or more of our product candidates. Third-party payors, together with regulators and others, are increasingly challenging the prices charged for pharmaceutical products and health services, in addition to their cost-effectiveness, safety and efficacy.</w:t>
      </w:r>
    </w:p>
    <w:p>
      <w:pPr>
        <w:spacing w:after="0" w:line="188"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addition, no uniform policy for coverage and reimbursement exists in the United States. Third-party payors often rely upon Medicare coverage policy and payment limitations in setting their own coverage and reimbursement policies, but also have their own methods and approval process apart from Medicare determinations. Therefore, coverage and reimbursement rates can vary significantly from payor to payor.</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Moreover, obtaining coverage and adequate reimbursement is a time-consuming and costly process. We may be required to provide scientific and clinical support for the use of any product to each third-party payor separately with no assurance that approval will be obtained, and we may need to conduct expensive pharmacoeconomic studies in order to demonstrate the cost-effectiveness of our products. We cannot be certain that our product candidates will be considered cost-effective by third-party payors. This process could delay the market acceptance of any product candidates for which we may receive approval and could have a negative effect on our future revenues and operating results.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U.S. Healthcare Laws and Compliance Requirements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the United States, our business is subject to healthcare fraud and abuse regulation and enforcement by both the federal government and the states in which we conduct our business, particularly once third-party reimbursement becomes available for one or more of our products. The healthcare fraud and abuse laws and regulations that may affect our ability to operate include but are not limited to:</w:t>
      </w:r>
    </w:p>
    <w:p>
      <w:pPr>
        <w:spacing w:after="0" w:line="180" w:lineRule="exact"/>
        <w:rPr>
          <w:sz w:val="20"/>
          <w:szCs w:val="20"/>
          <w:color w:val="auto"/>
        </w:rPr>
      </w:pPr>
    </w:p>
    <w:p>
      <w:pPr>
        <w:jc w:val="both"/>
        <w:ind w:left="1020" w:right="79" w:hanging="322"/>
        <w:spacing w:after="0" w:line="25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any remuneration (including any kickback or bribe), directly or indirectly, overtly or covertly, in cash or in kind, to induce, or in return for, either the referral of an individual, or the purchase, lease, order, arranging for or recommending the purchase, lease, or order of any item or service for which payment may be made, in whole or in part, under federal healthcare programs like Medicare or Medicaid. A person or entity can be found guilty of violating the statute without actual knowledge of the statute or specific intent to violate it. The federal Anti-Kickback Statute has been interpreted to apply to arrangements between pharmaceutical manufacturers on the one hand and prescribers, purchasers, and formulary managers on the other. Although there are a number of statutory exceptions and regulatory safe harbors to the federal Anti-Kickback Statute protecting certain common business arrangements and activities from prosecution or regulatory sanctions, the exceptions and safe harbors are drawn narrowly, and practices that involve remuneration to those who prescribe, purchase, or recommend pharmaceutical and biological products, including certain discounts, or engaging such individuals as speakers or consultants, may be subject to scrutiny if they do not fit squarely within an exception or safe harbor. Our practices may not in all cases meet all of the criteria for safe harbor protection from anti-kickback liability. Moreover, there are no safe harbors for many common practices, such as educational and research grants or patient or product assistance programs;</w:t>
      </w:r>
    </w:p>
    <w:p>
      <w:pPr>
        <w:spacing w:after="0" w:line="193"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penalty laws, including the civil False Claims Act, or FCA, which prohibits, among other things: (i) knowingly presenting, or causing to be presented, claims for payment of government funds that are false or fraudulent; (ii) knowingly making,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20" w:right="79"/>
        <w:spacing w:after="0" w:line="253" w:lineRule="auto"/>
        <w:rPr>
          <w:sz w:val="20"/>
          <w:szCs w:val="20"/>
          <w:color w:val="auto"/>
        </w:rPr>
      </w:pPr>
      <w:r>
        <w:rPr>
          <w:rFonts w:ascii="Times New Roman" w:cs="Times New Roman" w:eastAsia="Times New Roman" w:hAnsi="Times New Roman"/>
          <w:sz w:val="18"/>
          <w:szCs w:val="18"/>
          <w:color w:val="auto"/>
        </w:rPr>
        <w:t xml:space="preserve">using or causing to be made or used, a false record or statement material to a false or fraudulent claim; (iii) knowingly making, using or causing to made or used a false record or statement material to an obligation to pay money to the government; or (iv) knowingly concealing or knowingly and improperly avoiding, decreasing, or concealing an obligation to pay money to the federal government. Private individuals, commonly known as “whistleblowers,” can bring FCA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on behalf of the government and may share in amounts paid by the entity to the government in recovery or settlement. In addition, a claim including items or services resulting from a violation of the federal Anti-Kickback Statute constitutes a false or fraudulent claim for purposes of the FCA. FCA liability is potentially significant in the healthcare industry because the statute provides for treble damages and significant mandatory penalties per false or fraudulent claim or statement for violations. Criminal penalties, including imprisonment and criminal fines, are also possible for making or presenting a false, fictitious or fraudulent claim to the federal government;</w:t>
      </w:r>
    </w:p>
    <w:p>
      <w:pPr>
        <w:spacing w:after="0" w:line="192" w:lineRule="exact"/>
        <w:rPr>
          <w:sz w:val="20"/>
          <w:szCs w:val="20"/>
          <w:color w:val="auto"/>
        </w:rPr>
      </w:pPr>
    </w:p>
    <w:p>
      <w:pPr>
        <w:jc w:val="both"/>
        <w:ind w:left="1020" w:right="79" w:hanging="322"/>
        <w:spacing w:after="0" w:line="254"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among other things, prohibits knowingly and willfully executing, or attempting to execute, a scheme to defraud any healthcare benefit program, including private third-party payors, and prohibits (i) knowingly and willfully falsifying, concealing or covering up a material fact or making any materially false, fictitious or fraudulent statement or representation and (ii) making or using any false writing or document knowing the same to contain any materially false, fictitious or fraudulent statement or entry in connection with the delivery of or payment for healthcare benefits, items or services. Similar to the federal Anti-Kickback Statute, a person or entity can be found guilty of violating the HIPAA fraud provisions without actual knowledge of the statute or specific intent to violate it;</w:t>
      </w:r>
    </w:p>
    <w:p>
      <w:pPr>
        <w:spacing w:after="0" w:line="188" w:lineRule="exact"/>
        <w:rPr>
          <w:rFonts w:ascii="Times New Roman" w:cs="Times New Roman" w:eastAsia="Times New Roman" w:hAnsi="Times New Roman"/>
          <w:sz w:val="18"/>
          <w:szCs w:val="18"/>
          <w:color w:val="auto"/>
        </w:rPr>
      </w:pPr>
    </w:p>
    <w:p>
      <w:pPr>
        <w:jc w:val="both"/>
        <w:ind w:left="1020" w:right="79" w:hanging="322"/>
        <w:spacing w:after="0" w:line="253"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and its implementing regulations, which impose requirements relating to the privacy, security and transmission of individually identifiable health information held by covered entities, including health plans, healthcare clearinghouses and certain healthcare providers, and their business associates, individuals or entities that perform certain services on behalf of a covered entity that involve the use or disclosure of individually identifiable health information. HIPAA includes several tiers of civil monetary penalties as well as criminal penalties. In addition, state attorneys general have authority to file civil actions for damages or injunctions in federal courts to enforce HIPAA and seek attorneys’ fees and costs associated with pursuing federal civil actions. Research institutions that we collaborate with and healthcare providers who may prescribe our products, once commercialized, are subject to privacy and security requirements under HIPAA. Although we are not directly subject to HIPAA other than with respect to providing certain employee benefits, we could potentially be subject to criminal penalties if we, our affiliates or our agents knowingly obtain or disclose individually identifiable health information maintained by a HIPAA-covered entity in a manner that is not authorized or permitted by HIPAA;</w:t>
      </w:r>
    </w:p>
    <w:p>
      <w:pPr>
        <w:spacing w:after="0" w:line="187" w:lineRule="exact"/>
        <w:rPr>
          <w:rFonts w:ascii="Times New Roman" w:cs="Times New Roman" w:eastAsia="Times New Roman" w:hAnsi="Times New Roman"/>
          <w:sz w:val="18"/>
          <w:szCs w:val="18"/>
          <w:color w:val="auto"/>
        </w:rPr>
      </w:pPr>
    </w:p>
    <w:p>
      <w:pPr>
        <w:jc w:val="both"/>
        <w:ind w:left="1020" w:right="79" w:hanging="322"/>
        <w:spacing w:after="0" w:line="25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Numerous other federal and state laws and regulations that also govern the privacy and security of individually identifiable health information, including state data breach notification laws, state health information or genetic privacy laws, and federal and state consumer protection laws such as Section 5 of the Federal Trade Commission Act and the California Consumer Privacy Act, or CCPA. Compliance with these laws – which differ in significant ways and may not have the same effect – is constantly evolving and can be difficult and time consuming. The CCPA, which took effect on January 1, 2020, establishes certain requirements for data use and sharing transparency and creates new data privacy rights for consumers, and other states could enact similar laws. Federal regulators, state attorneys general and plaintiffs’ attorneys have been and will likely continue to be active in this space. Similarly, numerous legislative proposals in the European Union, the United States, at both the federal and state level, and other jurisdictions could impose new obligations or limitations that affect our business. In addition, some countries are considering or have passed legislation implementing data protection requirements or requiring local storage and processing of data or similar requirements that could increase the cost and complexity of research activities. These laws and regulations, as well as any associated claims, inquiries, investigations or any other government actions may lead to unfavorable outcomes including increased compliance costs, delays or impediments in the development of new products, negative publicity, increased operating costs, diversion of management time and attention and remedies that harm our business, including fines or demands or orders that we modify or cease existing business practices.</w:t>
      </w:r>
    </w:p>
    <w:p>
      <w:pPr>
        <w:spacing w:after="0" w:line="19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implemented as the Open Payments Program, which requires manufacturers of drugs, devices, biologics and medical supplies for which payment is available under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20" w:right="79"/>
        <w:spacing w:after="0" w:line="256" w:lineRule="auto"/>
        <w:rPr>
          <w:sz w:val="20"/>
          <w:szCs w:val="20"/>
          <w:color w:val="auto"/>
        </w:rPr>
      </w:pPr>
      <w:r>
        <w:rPr>
          <w:rFonts w:ascii="Times New Roman" w:cs="Times New Roman" w:eastAsia="Times New Roman" w:hAnsi="Times New Roman"/>
          <w:sz w:val="18"/>
          <w:szCs w:val="18"/>
          <w:color w:val="auto"/>
        </w:rPr>
        <w:t>Medicare, Medicaid or the Children’s Health Insurance Program (with certain exceptions) to report annually to CMS information related to direct or indirect payments and other transfers of value to physicians and teaching hospitals, as well as ownership and investment interests held in a company by physicians and their immediate family members. Beginning in 2022, applicable manufacturers will also be required to report information regarding payments and transfers of value provided to physician assistants, nurse practitioners, clinical nurse specialists, certified nurse anesthetists and certified nurse-midwives; and</w:t>
      </w:r>
    </w:p>
    <w:p>
      <w:pPr>
        <w:spacing w:after="0" w:line="187" w:lineRule="exact"/>
        <w:rPr>
          <w:sz w:val="20"/>
          <w:szCs w:val="20"/>
          <w:color w:val="auto"/>
        </w:rPr>
      </w:pPr>
    </w:p>
    <w:p>
      <w:pPr>
        <w:jc w:val="both"/>
        <w:ind w:left="1020" w:right="79" w:hanging="322"/>
        <w:spacing w:after="0" w:line="253"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U.S. state and local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restrict the ability of manufacturers to offer co-pay support to patients for certain prescription drugs; state laws that require drug manufacturers to report information related to clinical trials, or information related to payments and other transfers of value to physicians and other healthcare providers or marketing expenditures; state laws that require drug manufacturers to report information on the pricing of certain drugs; state laws and local ordinances that require identification or licensing of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18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will be required to spend substantial time and money to ensure that our business arrangements with third parties comply with applicable healthcare laws and regulations. Even then, governmental authorities may conclude that our business practices do not comply with current or future statutes, regulations or case law involving applicable fraud and abuse or other healthcare laws and regulations. If governmental authorities find that our operations violate any of these laws or any other governmental regulations that may apply to us, we may be subject to significant civil, criminal and administrative penalties, damages, fines, disgorgement, individual imprisonment, exclusion from government funded healthcare programs, such as Medicare and Medicaid, and additional reporting obligations and oversight if we become subject to a corporate integrity agreement or other agreement to resolve allegations of non-compliance with these laws, and we may be required to curtail or restructure our operations. Moreover, we expect that there will continue to be federal and state laws and regulations, proposed and implemented, that could impact our operations and business. In addition, the approval and commercialization of any product candidate we develop outside the United States will also likely subject us to foreign equivalents of the healthcare laws mentioned above, among other foreign laws. The extent to which future legislation or regulations, if any, relating to health care fraud and abuse laws or enforcement, may be enacted or what effect such legislation or regulation would have on our business remains uncertain.</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healthcare-related legislative and regulatory initiatives and reforms that have significantly affected the pharmaceutical industry. For example, the Patient Protection and Affordable Care Act, as amended by the Health Care and Education Reconciliation Act of 2010, or collectively, the ACA, was passed in March 2010, and substantially changed the way healthcare is financed by both governmental and private insurers and significantly impacted the U.S. pharmaceutical industry. Among other things, the ACA: subjects biologics to potential competition by lower-cost biosimilars; addresses a methodology by which rebates owed by manufacturers under the Medicaid Drug Rebate Program, or MDRP, are calculated for covered outpatient drugs that are inhaled, infused, instilled, implanted or injected; increases the minimum Medicaid rebates owed by manufacturers under the MDRP and extends the rebate program to individuals enrolled in Medicaid managed care organizations; establishes annual fees and taxes on manufacturers of certain branded prescription drugs; and creates a Medicare Part D coverage gap discount program in which, as a condition of coverage of its products under Medicare Part D, manufacturers must agree to offer point-of-sale discounts off negotiated prices of applicable brand drugs to eligible beneficiaries during their coverage gap period.</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ACA and certain of its provisions have been subject to judicial challenges as well as efforts to repeal or replace them or to alter their interpretation or implementation. For example, Congress has considered legislation that would repeal or repeal and replace all or part of the ACA. While Congress has not passed comprehensive repeal legislation, bills affecting the implementation of certain taxes under the ACA have been signed into law. The Tax Cuts and Jobs Act of 2017, or the Tax Act, includes a provision that repealed the tax-based shared responsibility payment imposed by the ACA</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certain individuals who fail to maintain qualifying health coverage for all or part of a year, commonly referred to as the “individual mandate.” The Bipartisan Budget Act of 2018, among other things, amended the ACA to increase the point-of-sale discounts that manufacturers must agree to offer under the Medicare Part D coverage discount program from 50% to 70% off negotiated prices of applicable brand drugs to eligible beneficiaries during their coverage gap period, as a condition for the manufacturer’s outpatient drugs to be covered under Medicare Part D. CMS rules issued in 2018 permit further collections and payments to and from certain ACA-qualified health plans and health insurance issuers under the ACA risk adjustment program. The Further Consolidated Appropriations Act of 2020 fully repealed the ACA’s “Cadillac Tax” on certain high cost employer-sponsored insurance plans and, effective in 2021, the annual fee imposed on certain health insurance providers based on market share. Additional legislative or regulatory changes related to the ACA remain possible.</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December 2018, the United States District Court for the Northern District of Texas ruled that the individual mandate is (i) unconstitutional as a result of the associated tax penalty being repealed by Congress as part of the Tax Act and (ii) not severable from the rest of the ACA, and that as a result the entire ACA is invalid. On December 18, 2019, the U.S. Court of Appeals for the Fifth Circuit affirmed the district court’s decision that the individual mandate is unconstitutional, but remanded the case to the district court to reconsider the severability question. The Supreme Court of the United States granted certiorari on March 2, 2020 and heard oral argument on November 10, 2020. On February 10, 2021, the Biden Administration withdrew the federal government’s support for overturning the ACA. The case is expected to be decided by mid-2021. It is unclear how the ultimate decision in this case, or other efforts to repeal, replace or invalidate the ACA or its implementing regulations, or portions thereof, will impact the ACA and its implementation.</w:t>
      </w:r>
    </w:p>
    <w:p>
      <w:pPr>
        <w:spacing w:after="0" w:line="188"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United States with respect to specialty drug pricing practices. Specifically, several recent U.S. Congressional inquiries and proposed and enacted pieces of federal and state legislation and regulation have been designed to, among other things: bring more transparency to drug pricing; reduce the cost of prescription drugs under government payor programs; review the relationship between pricing and manufacturer patient programs; and reform government program reimbursement methodologies for drugs. For example, on November 20, 2020, CMS issued an interim final rule that implemented a mandatory “Most Favored Nation” demonstration model to test reimbursement of drugs or biologicals under Medicare Part B based on international reference prices, but the final rule is currently subject to a nationwide preliminary injunction, and it remains to be seen whether orders such as these and resulting regulations will remain in force during the Biden Administration Policymakers have indicated that they will continue to seek legislative and administrative measures to control drug costs. Individual states in the United States have also increasingly passed legislation and implemented regulations designed to control pharmaceutical and biological product pricing, including price or patient reimbursement limitations,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w:t>
      </w:r>
    </w:p>
    <w:p>
      <w:pPr>
        <w:spacing w:after="0" w:line="19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Moreover, in May 2018, the Trickett Wendler, Frank Mongiello, Jordan McLinn and Matthew Bellina Right to Try Act of 2017, or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success depends upon our ability to retain and attract highly qualified management and technical personnel.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2020, we had 90 full-time employees.</w:t>
      </w:r>
    </w:p>
    <w:p>
      <w:pPr>
        <w:spacing w:after="0" w:line="20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consider the intellectual capital of our employees to be an essential driver of our business and key to our future prospects. Recruiting and retaining qualified employees, consultants and advisors for our business, including scientific and technical personnel, is critical to our success, and competition for skilled personnel is intense and the turnover rate can be high in our industry. We have historically addressed the turnover we have encountered and grown our headcount in support of our expanding pipeline of research programs and product candidates, but we continue to monitor our turnover rate and the overall supply of skilled labor in the market. We also monitor our compensation programs closely and provide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what we consider to be a competitive mix of compensation and benefits for our employees, as well as participation in our equity programs. None of our employees are subject to a collective bargaining agreement or represented by a trade or labor union.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Information and Access to SEC Reports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were incorporated in Delaware in September 2015. Our primary executive offices are located at 9000 Virginia Manor Road, Suite 200, Beltsville, Maryland 20705 and our telephone number is (240) 399-4900. We make available, free of charge, on our website at </w:t>
      </w:r>
      <w:r>
        <w:rPr>
          <w:rFonts w:ascii="Times New Roman" w:cs="Times New Roman" w:eastAsia="Times New Roman" w:hAnsi="Times New Roman"/>
          <w:sz w:val="18"/>
          <w:szCs w:val="18"/>
          <w:i w:val="1"/>
          <w:iCs w:val="1"/>
          <w:color w:val="auto"/>
        </w:rPr>
        <w:t>www.nextcure.com</w:t>
      </w:r>
      <w:r>
        <w:rPr>
          <w:rFonts w:ascii="Times New Roman" w:cs="Times New Roman" w:eastAsia="Times New Roman" w:hAnsi="Times New Roman"/>
          <w:sz w:val="18"/>
          <w:szCs w:val="18"/>
          <w:color w:val="auto"/>
        </w:rPr>
        <w:t>, our annual reports on Form 10-K, quarterly reports on Form 10-Q, current reports on Form 8-K and any amendments to such reports as soon as reasonably practicable after such reports are electronically filed with, or furnished to, the SEC. The contents of our website are not incorporated into this Annual Report.</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together with all of the other information in this Annual Report, including our financial statements and the related notes and the information described in the section entitled “Management’s Discussion and Analysis of Financial Condition and Results of Operations,” before deciding whether to invest in our common stock. If any of the events described below actually occurs, our business, results of operations, financial conditions, cash flows or prospects could be harmed. If that were to happen, the trading price of our common stock could decline, and you could lose all or part of your investment. Additional risks and uncertainties not presently known to us or that we currently deem immaterial may also impair our business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left="60" w:right="4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products approved for commercial sale. We have a history of significant losses, expect to continue to incur significant losses for the foreseeable future and may never achieve or maintain profitability.</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Since our founding in 2015, we have incurred significant net losses. Our net losses were $36.6 million and $33.7 million for the years ended December 31, 2020 and 2019, respectively. As of December 31, 2020, we had an accumulated deficit of $117.6 million. We have funded our operations to date primarily with proceeds from public offerings of our common stock, private placements of our preferred stock and upfront fees received under the Lilly Agreement, which was terminated effective March 2020. Since commencing operations, we have devoted substantially all of our efforts and financial resources to organizing and staffing our company, identifying business development opportunities, raising capital, securing intellectual property rights related to our product candidates, building and optimizing our manufacturing capabilities and conducting discovery, research and development activities for our product candidates, our discovery programs and our FIND-IO platform.</w:t>
      </w:r>
    </w:p>
    <w:p>
      <w:pPr>
        <w:spacing w:after="0" w:line="18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expect that it will be several years, if ever, before we have a commercialized product. We expect to continue to incur significant expenses and operating losses for the foreseeable future. The net losses we incur may fluctuate significantly from year to year. We anticipate that our expenses will increase substantially if, and as, we:</w:t>
      </w:r>
    </w:p>
    <w:p>
      <w:pPr>
        <w:spacing w:after="0" w:line="176" w:lineRule="exact"/>
        <w:rPr>
          <w:sz w:val="20"/>
          <w:szCs w:val="20"/>
          <w:color w:val="auto"/>
        </w:rPr>
      </w:pPr>
    </w:p>
    <w:p>
      <w:pPr>
        <w:ind w:left="1020" w:right="79" w:hanging="322"/>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preclinical and clinical development of our existing product candidates and our research programs;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FIND-IO platform to advance additional product candidates into preclinical and clinical development;</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cGMP manufacturing capacity, including to provide drug supply for future clinical trials;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regulatory, scientific and administrative personnel;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79" w:hanging="322"/>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to support our clinical development, manufacturing and commercialization efforts and our operations as a public company;</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marketing, sales, distribution and medical affairs infrastructure to commercialize any products for which we may obtain marketing approval and commercialize, whether on our own or jointly with a partner;</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technologies or engage in strategic partnerships; and</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or other expenses in operating our business.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whether on our own or jointly with any potential future collaborator,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you to lose all or part of your investment.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 profitable.</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ability to generate revenue from product sales and achieve profitability depends on our ability, alone or with collaboration partners, to successfully complete the development of, and obtain the regulatory approvals necessary to commercialize, our product candidates. We do not anticipate generating revenue from product sales for the next several years, if ever. Our ability to generate future revenue from product sales depends heavily on our, or our potential future collaborators’, success in:</w:t>
      </w:r>
    </w:p>
    <w:p>
      <w:pPr>
        <w:spacing w:after="0" w:line="183" w:lineRule="exact"/>
        <w:rPr>
          <w:sz w:val="20"/>
          <w:szCs w:val="20"/>
          <w:color w:val="auto"/>
        </w:rPr>
      </w:pPr>
    </w:p>
    <w:p>
      <w:pPr>
        <w:ind w:left="1020" w:right="79" w:hanging="322"/>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preclinical studies and clinical trials of our product candidates, including our ongoing Phase 1/2 clinical trials for NC318 and NC410 and our planned Phase 1/2 clinical for NC762;</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marketing approvals for any product candidates that we or our collaborators develop;</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acceptance of INDs for future product candidates;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developing new product candidates;</w:t>
      </w:r>
    </w:p>
    <w:p>
      <w:pPr>
        <w:spacing w:after="0" w:line="225"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product candidates for which we obtain marketing approval by establishing a marketing, sales, distribution and medical affairs infrastructure or, alternatively, collaborating with a commercialization partner;</w:t>
      </w:r>
    </w:p>
    <w:p>
      <w:pPr>
        <w:spacing w:after="0" w:line="175"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coverage and adequate reimbursement by hospitals and third-party payors, including governmental authorities, such as Medicare and Medicaid, private insurers and managed care organizations, for product candidates, if approved, that we or our collaborators develop;</w:t>
      </w:r>
    </w:p>
    <w:p>
      <w:pPr>
        <w:spacing w:after="0" w:line="17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cGMP supply of our product candidates for clinical trials and, if approved, commercial sales;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product candidates, if approved, that we develop as viable treatment options;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 performing our obligations under such arrangements;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79" w:hanging="322"/>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 secrets and know-how;</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third-party interference or infringement claims, if any; and</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anticipate incurring significant costs associated with commercializing any product candidate that is approved for commercial sale. Our expenses could increase beyond expectations if we are required by the FDA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p>
    <w:p>
      <w:pPr>
        <w:spacing w:after="0" w:line="179"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to pursue our business objectives, which may not be available on acceptable terms, or at all. A failure to obtain this necessary capital when needed could force us to delay, limit, reduce or terminate our product development, commercialization efforts or other operations.</w:t>
      </w:r>
    </w:p>
    <w:p>
      <w:pPr>
        <w:spacing w:after="0" w:line="17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We expect to continue to spend substantial amounts to continue the preclinical and clinical development of our current and future programs. If we receive marketing approval for any product candidates, including NC318, NC410, or NC762, we will require significant additional amounts of cash in order to launch and commercialize such product candidates. In addition, other unanticipated costs may arise. Because the designs and outcomes of our planned and anticipated clinical trials are highly uncertain, we cannot reasonably estimate the actual amounts necessary to successfully complete the development of and commercialize any product candidate we develop.</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225" w:lineRule="exact"/>
        <w:rPr>
          <w:sz w:val="20"/>
          <w:szCs w:val="20"/>
          <w:color w:val="auto"/>
        </w:rPr>
      </w:pPr>
    </w:p>
    <w:p>
      <w:pPr>
        <w:jc w:val="both"/>
        <w:ind w:left="1020" w:right="79" w:hanging="322"/>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results and costs of researching and developing NC318, NC410, NC762 and our other product candidates, including targets identified through our FIND-IO platform, and of conducting preclinical studies and clinical trials;</w:t>
      </w:r>
    </w:p>
    <w:p>
      <w:pPr>
        <w:spacing w:after="0" w:line="17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 for NC318, NC410, NC762, and any future product candidates we develop, if clinical trials are successful;</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NC318, NC410, NC762 and any future product candidates for preclinical studies and clinical trials and in preparation for marketing approval and commercialization;</w:t>
      </w:r>
    </w:p>
    <w:p>
      <w:pPr>
        <w:spacing w:after="0" w:line="161"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including marketing, sales and distribution costs, for NC318, NC410, NC762 and any future product candidates we develop, whether alone or with a collaborator, if any of these product candidates are approved for sale;</w:t>
      </w:r>
    </w:p>
    <w:p>
      <w:pPr>
        <w:spacing w:after="0" w:line="17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SRA with Yale;</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on favorable terms, if at all;</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any such litigation;</w:t>
      </w:r>
    </w:p>
    <w:p>
      <w:pPr>
        <w:spacing w:after="0" w:line="161"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collaboration and license agreements remaining in effect and our achievement of milestones and the timing and amount of milestone payments we are required to make, or that we may be eligible to receive, under those agreements;</w:t>
      </w:r>
    </w:p>
    <w:p>
      <w:pPr>
        <w:spacing w:after="0" w:line="17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royalties on, our future products, if any; and</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and other developments in the oncology market.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Until we can generate sufficient product and royalty revenue to finance our cash requirements, which we may never do, we expect to finance our future cash needs through a combination of public or private equity offerings, debt financings, marketing and distribution arrangements, other collaborations, strategic alliances and licensing arrangements. As of December 31, 2020, we had $283.4 million in cash, cash equivalents (excluding restricted cash) and marketable securities. Based on our research and development plans, we expect that our existing cash, cash equivalents and marketable securities will enable us to fund our operating expenses and capital expenditure requirements into the second half of 2023. This estimate is based on assumptions that may prove to be wrong, and we could use our available capital resources sooner than we expect. Changes may occur that are within or beyond our control that would cause us to consume our available capital before that time, including changes in and progress of our development activities, acquisitions of additional product candidates and changes in regulation.</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If we raise additional capital through marketing, sales and distribution arrangements or other collaborations, strategic alliances or licensing arrangements with third parties, we may have to relinquish certain valuable rights to our product candidates, future revenue streams, research programs or technologies or grant licenses on terms that may not be favorable to us. If we raise additional capital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your ownership interest will be diluted. If we raise additional capital through debt financing, we would be subject to fixed payment obligations and may be subject to covenants limiting or restricting our ability to take specific actions, such as incurring additional debt, making capital expenditures or declaring dividends.</w:t>
      </w:r>
    </w:p>
    <w:p>
      <w:pPr>
        <w:spacing w:after="0" w:line="18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Adequate additional financing may not be available to us on acceptable terms, or at all. If we are unable to obtain additional financing on favorable terms when needed, we may be required to delay, limit, reduce or terminate preclinical studies, clinical trials, or other research and development activities or one or more of our development programs.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22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announced interim results regarding our NC318 monotherapy Phase 1/2 clinical trial may adversely impact our product development efforts.</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July 2020, we announced that based on the current enrollment criteria and clinical response data, we did not plan at that time to advance the NSCLC and ovarian cancer cohorts of our NC318 Phase 1/2 monotherapy clinical trial into the stage 2 portion of the Simon 2-stage trial. In December 2020, we announced that the initial selection criterion did not result in enough S15-positive patients for us to effectively evaluate the activity of NC318 in S15-positive tumors. We are modifying the Phase 2 portion of the trial for S15 selection and expect to begin pre-selecting patients for enrollment based on S15 expression in the second quarter of 2021, which we anticipate will allow us to assess response rates in patients selected for S15 positivity. The developments in this trial could increase the costs and lengthen the timeline for this trial, adversely impact our ability to enroll patients and impair our ability to gain regulatory approval for and commercialize NC318. We could also make decisions about pursuing particular tumor types based on incomplete facts, resulting in decisions to either pursue indications that we should not pursue, or to not pursue indications that we should pursue. In addition, our former chief medical officer resigned effective August 4, 2020, and a new chief medical officer was appointed effective January 14, 2021. This transition could also delay or otherwise adversely impact our development efforts for NC318 and our other product candidates. Any of these developments could damage our reputation or investor confidence in our company, disrupt our broader research and development, impact our ability to raise capital, or hinder our ability to execute our strategic plans, which could have a material adverse effect on our business, financial condition, operating results and prospects.</w:t>
      </w:r>
    </w:p>
    <w:p>
      <w:pPr>
        <w:spacing w:after="0" w:line="191" w:lineRule="exact"/>
        <w:rPr>
          <w:sz w:val="20"/>
          <w:szCs w:val="20"/>
          <w:color w:val="auto"/>
        </w:rPr>
      </w:pPr>
    </w:p>
    <w:p>
      <w:pPr>
        <w:ind w:left="60" w:right="2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an organization, we have limited experience designing and implementing clinical trials, and we have never conducted pivotal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 and in delayed timelines.</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design and implementation of clinical trials is a complex process. We have limited experience designing and implementing clinical trials, and we may not successfully or cost-effectively design and implement clinical trials that achieve our desired clinical endpoints efficiently, or at all. For example, in December 2020, we announced that the initial selection criterion for our Phase 1/2 trial in NC318 did not result in enough S15-positive patients for us to effectively evaluate the activity of NC318 in S15-positive tumors, and that as a result we are modifying the Phase 2 portion of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trial for S15 selection. And, in our NC318 trial, we are continuing to evaluate alternate doses and dose administration schedules depending on pharmacokinetics, pharmacodynamics, biomarker data, safety results and feedback from investigators. A clinical trial that is not well designed may delay or prevent initiation or completion of the trial, can lead to increased difficulty in enrolling patients, may make it more difficult to obtain regulatory approval for the product candidate on the basis of the study results, or, even if a product candidate is approved, could make it more difficult to commercialize the product successfully or obtain reimbursement from third-party payors. Additionally, a trial that is not well-designed could be inefficient or more expensive than it otherwise would have been, or we may incorrectly estimate the costs to implement the clinical trial, which could lead to a shortfall in funding. If we select an incorrect dose or dose administration schedule, that could negatively impact the results of the trial, including if we select doses that are too low to be effective or administer doses too infrequently based on the half-life of the active ingredient. We also expect to continue to rely on third parties to conduct our pivotal clinical trials. See “—Risks Related to Reliance on Third Parties—We rely or will rely on third parties to help conduct our ongoing and planned preclinical studies and clinical trials for NC318, NC410, NC762 and any future product candidates we develop. If these third parties do not successfully carry out their contractual duties, comply with regulatory requirements or meet expected deadlines, we may not be able to obtain marketing approval for or commercialize NC318, NC410, NC762 and any future product candidates we develop, and our business could be materially harmed. Consequently, we may be unable to successfully and efficiently execute and complete clinical trials that are required for BLA submission and FDA approval of NC318, NC410, NC762 or future product candidates. We may require more time and incur greater costs than our competitors and may not succeed in obtaining regulatory approvals of product candidates that we develop.</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impacts of the COVID-19 pandemic could continue to adversely affect our business.</w:t>
      </w:r>
    </w:p>
    <w:p>
      <w:pPr>
        <w:spacing w:after="0" w:line="229"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In March 2020, the World Health Organization declared the COVID-19 outbreak a pandemic. In order to mitigate the spread of COVID-19, governments have imposed unprecedented restrictions on business operations, travel and gatherings, resulting in a global economic downturn and other adverse economic and societal impacts. The COVID-19 pandemic has also overwhelmed or otherwise led to changes in the operations of many healthcare facilities, including clinical trial sites. While we are considered an essential business under applicable regulations and continue to operate, the impacts of COVID-19 initially placed significant strain on our clinical trial sites, have raised concerns around monitoring patient safety, and caused enrollment to slow in the Phase 2 portion of the ongoing Phase 1/2 monotherapy clinical trial of our lead product candidate, NC318. Spikes of COVID-19 infection rates, especially in the United States, could also negatively affect enrollment. We are continuing to work closely with our clinical partners and have taken steps as necessary to adjust our protocols and timelines due to the impact of the COVID-19 pandemic. Specifically, initial data from the Phase 2 portion of our ongoing Phase 1/2 clinical trial of NC318 were temporarily delayed, and the initial delay of our Phase 2 clinical trial to evaluate NC318 in combination with standard of care chemotherapies was due to COVID-19. In addition, we delayed until July 2020 initiation of the Phase 1 portion of our Phase 1/2 clinical trial of NC410 despite being prepared to begin the trial in March 2020. The impacts of the COVID-19 pandemic could adversely affect our clinical trials and operations in other ways as well. For example, further challenges may arise as a result of patients, members of the clinical team, or our employees becoming infected with COVID-19 or otherwise unable or unwilling to participate in trials or come to work or losing productivity, as applicable, as a result of COVID-19, interruptions to the supply chain or manufacturing, site closures, or difficulties in meeting protocol-specified procedures, including difficulties adhering to protocol-mandated visits and testing. The COVID-19 pandemic may also increase the likelihood and severity of other risks discussed in this “Risk Factors” section, including but not limited to risks related to the conduct, progress and outcomes of clinical trials, risks related to reliance on third parties, risks related to our operations and dependence on key personnel, and risks related to our need to obtain additional capital.</w:t>
      </w:r>
    </w:p>
    <w:p>
      <w:pPr>
        <w:spacing w:after="0" w:line="20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COVID-19 pandemic and its impacts continue to evolve. We cannot predict the scope and severity of any further disruptions as a result of COVID-19 or their impacts on us, but business disruptions for us or the third parties with whom we engage, including the collaborators, contract organizations, third-party manufacturers, suppliers, clinical trial sites, regulators and other third parties with whom we conduct business could materially and negatively impact our ability to conduct our business in the manner and on the timelines presently planned. The extent to which the COVID-19 pandemic may continue to impact our business and financial performance will depend on future developments, which are highly uncertain and cannot be predicted with confidence, including the scope and duration of the pandemic and the extent and effectiveness of government restrictions, relief measures and other actions implemented to address the impact of the pandemic, and resulting economic impacts.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our ability to advance our current and future product candidates through clinical trials, obtain marketing approval and ultimately commercialize them.</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are early in our development efforts. We initiated our first clinical trial for NC318, our lead product candidate, in October 2018, our first clinical trial for our second product candidate, NC410, in June 2020, and submitted the IND for our first clinical trial for our third product candidate, NC762, in the first quarter of 2021. Our ability to generate product revenues, which we do not expect will occur for several years, if ever, will depend heavily on the successful development and eventual commercialization of NC318, NC410, NC762 and any future product candidates we develop, which may never occur. Our current product candidates and any future product candidates we develop will require additional preclinical or clinical development, management of clinical, preclinical and manufacturing activities, marketing approval in the United States and other jurisdictions, demonstration of effectiveness to pricing and reimbursement authorities, sufficient cGMP manufacturing supply for both preclinical and clinical development and commercial production, building of a commercial organization and substantial investment and significant marketing efforts before we generate any revenues from product sales.</w:t>
      </w:r>
    </w:p>
    <w:p>
      <w:pPr>
        <w:spacing w:after="0" w:line="19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clinical and commercial success of our current and future product candidates will depend on several factors, including the following:</w:t>
      </w:r>
    </w:p>
    <w:p>
      <w:pPr>
        <w:spacing w:after="0" w:line="162" w:lineRule="exact"/>
        <w:rPr>
          <w:sz w:val="20"/>
          <w:szCs w:val="20"/>
          <w:color w:val="auto"/>
        </w:rPr>
      </w:pPr>
    </w:p>
    <w:p>
      <w:pPr>
        <w:ind w:left="1020" w:hanging="322"/>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preclinical studies and our clinical trials;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INDs for any future product candidates;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data from our clinical program that supports an acceptable risk-benefit profile of our product candidates in the intended patient populations;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consistently manufacture our product candidates on a timely basis or to establish agreements with third-party manufacturers, if needed;</w:t>
      </w:r>
    </w:p>
    <w:p>
      <w:pPr>
        <w:spacing w:after="0" w:line="161"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comparable foreign regulatory authorities to conduct additional clinical trials or other studies beyond those planned or anticipated to support approval of our product candidates;</w:t>
      </w:r>
    </w:p>
    <w:p>
      <w:pPr>
        <w:spacing w:after="0" w:line="17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proposed indications and the primary endpoint assessments evaluated in the clinical trials of our product candidates by the FDA and comparable foreign regulatory authorities;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maintenance of timely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launching commercial sales of our product candidates, if approved;</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duration and severity of potential side effects or other safety issues experienced with our product candidates, if approved;</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collaborations to further the development of our product candidates;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benefits and uses of our product candidates, if approved, by patients, the medical community and third-party payors;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79" w:hanging="322"/>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tolerability and efficacy profile of the product candidates following approval;</w:t>
      </w:r>
    </w:p>
    <w:p>
      <w:pPr>
        <w:spacing w:after="0" w:line="161"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any post-approval requirements imposed on our products, such as postmarketing studies, a REMS or additional requirements that might limit the promotion, advertising, distribution or sales of our products or make the products cost-prohibitive;</w:t>
      </w:r>
    </w:p>
    <w:p>
      <w:pPr>
        <w:spacing w:after="0" w:line="17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effectively with other therapies;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targets and immunomedicines, whether through our FIND-IO platform, through our relationship with Yale or otherwise; and</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These factors, many of which are beyond our control, could cause us to experience significant delays or an inability to obtain regulatory approvals or commercialize our current or future product candidates, and could otherwise materially harm our business. Successful completion of preclinical studies and clinical trials does not mean that NC318, NC410, NC762 or any future product candidates we develop will receive regulatory approval. Even if regulatory approvals are obtained, we could experience significant delays or an inability to successfully commercialize our current and any future product candidates we develop, which would materially harm our business. If we are not able to generate sufficient revenue through the sale of any current or future product candidate, we may not be able to continue our business operations or achieve profitability.</w:t>
      </w:r>
    </w:p>
    <w:p>
      <w:pPr>
        <w:spacing w:after="0" w:line="188"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time-consuming and inherently unpredictable, and if we are ultimately unable to obtain regulatory approval for our product candidates, our business will be materially harmed.</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Neither we nor any future collaborator is permitted to market any biological product in the United States until we or the future collaborator receives regulatory approval of a BLA from the FDA. It is possible that none of our current or future product candidates will ever obtain regulatory approval from the FDA or comparable foreign regulatory authorities.</w:t>
      </w:r>
    </w:p>
    <w:p>
      <w:pPr>
        <w:spacing w:after="0" w:line="19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Our current and future product candidates could fail to receive regulatory approval for many reasons, including the following:</w:t>
      </w:r>
    </w:p>
    <w:p>
      <w:pPr>
        <w:spacing w:after="0" w:line="162" w:lineRule="exact"/>
        <w:rPr>
          <w:sz w:val="20"/>
          <w:szCs w:val="20"/>
          <w:color w:val="auto"/>
        </w:rPr>
      </w:pPr>
    </w:p>
    <w:p>
      <w:pPr>
        <w:ind w:left="1020" w:right="79" w:hanging="322"/>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pure and potent for its proposed indication;</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clinical trials or preclinical studies;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20" w:right="79" w:hanging="322"/>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to the FDA or regulatory submissions to comparable regulatory authorities to obtain regulatory approval in such jurisdiction; and</w:t>
      </w:r>
    </w:p>
    <w:p>
      <w:pPr>
        <w:spacing w:after="0" w:line="175"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our manufacturing processes or facility or the manufacturing processes or facilities of third-party manufacturers with which we contract for clinical and commercial supplies.</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clinical trial results may result in our failing to obtain regulatory approval to market any product candidate we develop, which would significantly harm our business, results of operations and prospects. The FDA and other comparable foreign authorities have substantial discretion in the approval process and in determining when or whether regulatory approval will be granted for any product candidate that we develop. Even if we believe the data collected from current or future clinical trials of our product candidates are promising, such data may not be sufficient to support approval by the FDA or any other regulatory authority.</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the FDA may approve any of our product candidates for fewer or more limited indications, or a more limited patient population, than we request, may grant approval contingent on the performance of costly clinical trials, development of an in vitro companion diagnostic, or other postmarketing requirements, or may approve a product candidate with a label that does not include the labeling claims we believe are necessary or desirable for the successful commercialization of such product candidates.</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FDA or comparable foreign regulatory authorities may change their policies, promulgate additional regulations, revise existing regulations or take other actions that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 Any of the foregoing scenarios could materially harm the commercial prospects for our product candidates.</w:t>
      </w:r>
    </w:p>
    <w:p>
      <w:pPr>
        <w:spacing w:after="0" w:line="183"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uncertain outcomes. We may incur additional costs and experience delays in developing and commercializing or be unable to develop or commercialize our current and future product candidates.</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To obtain the requisite regulatory approvals to commercialize any of our product candidates, we must demonstrate through extensive preclinical studies and clinical trials that our product candidates are safe, pure and potent in humans. Clinical testing is expensive and can take many years to complete, and its outcome is highly uncertain. Failure can occur at any time during the clinical trial process and our future clinical trial results may not be successful. Although we initiated Phase 1/2 clinical trials of NC318 and NC410 in October 2018 and June 2020, respectively, and submitted the IND for a Phase 1/2 clinical trial of NC762 in the first quarter of 2021, we may experience delays in completing our clinical trials or preclinical studies and initiating or completing our planned clinical trials and development efforts. Additionally, we cannot be certain the ongoing and planned preclinical studies or clinical trials for NC318, NC410, NC762 or any future product candidates will begin on time, not require redesign, enroll an adequate number of subjects on time or be completed on schedule, if at all. For example, we are modifying the Phase 2 portion of our ongoing Phase 1/2 clinical trial of NC318 for S15 selection and expect to begin pre-selecting patients for enrollment based on S15 expression in the second quarter of 2021, which we anticipate will allow us to assess response rates in patients selected for S15 positivity after the initial selection criterion did not result in enough S15-positive patients. We may also experience numerous unforeseen events during our clinical trials that could delay or prevent our ability to receive marketing approval or commercialize the product candidates we develop, including:</w:t>
      </w:r>
    </w:p>
    <w:p>
      <w:pPr>
        <w:spacing w:after="0" w:line="196" w:lineRule="exact"/>
        <w:rPr>
          <w:sz w:val="20"/>
          <w:szCs w:val="20"/>
          <w:color w:val="auto"/>
        </w:rPr>
      </w:pPr>
    </w:p>
    <w:p>
      <w:pPr>
        <w:ind w:left="1020" w:right="79" w:hanging="322"/>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preclinical studies or clinical trials may not be predictive of results from later clinical trials of any product candidate;</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IRBs or independent ethics committees may not authorize us or our investigators to commence a clinical trial or conduct a clinical trial at a prospective trial site;</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us to submit additional data such as long-term toxicology studies, or impose other requirements on us, before permitting us to initiate a clinical trial;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20" w:right="79" w:hanging="322"/>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contract research organizations, or CROs, as the terms of these agreements can be subject to extensive negotiation and vary significantly among different CROs and trial sites;</w:t>
      </w:r>
    </w:p>
    <w:p>
      <w:pPr>
        <w:spacing w:after="0" w:line="175" w:lineRule="exact"/>
        <w:rPr>
          <w:rFonts w:ascii="Times New Roman" w:cs="Times New Roman" w:eastAsia="Times New Roman" w:hAnsi="Times New Roman"/>
          <w:sz w:val="18"/>
          <w:szCs w:val="18"/>
          <w:color w:val="auto"/>
        </w:rPr>
      </w:pPr>
    </w:p>
    <w:p>
      <w:pPr>
        <w:jc w:val="both"/>
        <w:ind w:left="1020" w:right="79" w:hanging="322"/>
        <w:spacing w:after="0" w:line="26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any product candidate may fail to show safety, purity or potency, or may produce negative or inconclusive results, which may cause us to decide, or regulators to require us, to conduct additional nonclinical studies or clinical trials or which may cause us to decide to abandon product candidate development programs;</w:t>
      </w:r>
    </w:p>
    <w:p>
      <w:pPr>
        <w:spacing w:after="0" w:line="179" w:lineRule="exact"/>
        <w:rPr>
          <w:rFonts w:ascii="Times New Roman" w:cs="Times New Roman" w:eastAsia="Times New Roman" w:hAnsi="Times New Roman"/>
          <w:sz w:val="18"/>
          <w:szCs w:val="18"/>
          <w:color w:val="auto"/>
        </w:rPr>
      </w:pPr>
    </w:p>
    <w:p>
      <w:pPr>
        <w:jc w:val="both"/>
        <w:ind w:left="1020" w:right="79" w:hanging="322"/>
        <w:spacing w:after="0" w:line="25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may be larger than we anticipate or we may have difficulty in recruiting and enrolling patients to participate in clinical trials, including as a result of the size and nature of the patient population, the proximity of patients to clinical trial sites, eligibility criteria for the clinical trial, the nature of the clinical trial protocol, the availability of approved effective treatments for the relevant disease, competition from other clinical trial programs for similar indications and clinical trial subjects and the impact of public health emergencies, such as the COVID-19 pandemic;</w:t>
      </w:r>
    </w:p>
    <w:p>
      <w:pPr>
        <w:spacing w:after="0" w:line="187"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difficult to enroll a sufficient number of patients, enrollment in these clinical trials may be slower than we anticipate, or participants may drop out of these clinical trials or may fail to return for post-treatment follow-up at a higher rate than we anticipate;</w:t>
      </w:r>
    </w:p>
    <w:p>
      <w:pPr>
        <w:spacing w:after="0" w:line="175"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and other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75"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regulators, IRBs or ethics committees may require that we or our investigators, suspend or terminate clinical research or trials for various reasons, including noncompliance with regulatory requirements or a finding that participants are being exposed to unacceptable health risks;</w:t>
      </w:r>
    </w:p>
    <w:p>
      <w:pPr>
        <w:spacing w:after="0" w:line="17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product candidates could cause undesirable side effects that could result in significant negative consequences, including the inability to enter clinical development or receive regulatory approval;</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preclinical or nonclinical testing and studies and clinical trials of any product candidates may be greater than we anticipate;</w:t>
      </w:r>
    </w:p>
    <w:p>
      <w:pPr>
        <w:spacing w:after="0" w:line="161" w:lineRule="exact"/>
        <w:rPr>
          <w:rFonts w:ascii="Times New Roman" w:cs="Times New Roman" w:eastAsia="Times New Roman" w:hAnsi="Times New Roman"/>
          <w:sz w:val="18"/>
          <w:szCs w:val="18"/>
          <w:color w:val="auto"/>
        </w:rPr>
      </w:pPr>
    </w:p>
    <w:p>
      <w:pPr>
        <w:jc w:val="both"/>
        <w:ind w:left="1020" w:right="79" w:hanging="322"/>
        <w:spacing w:after="0" w:line="26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hurdles in addressing subject safety concerns that arise during the course of a trial, causing us or our investigators, regulators, IRBs or ethics committees to suspend or terminate trials, or reports may arise from nonclinical or clinical testing of other cancer therapies that raise safety or efficacy concerns about our product candidates;</w:t>
      </w:r>
    </w:p>
    <w:p>
      <w:pPr>
        <w:spacing w:after="0" w:line="179"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quality or timeliness of delivery of materials for product candidates we develop or other materials necessary to conduct clinical trials may be insufficient or inadequate; and</w:t>
      </w:r>
    </w:p>
    <w:p>
      <w:pPr>
        <w:spacing w:after="0" w:line="161"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third parties on whom we are dependent, may suffer business interruptions resulting from geo-political actions, including war and terrorism, or natural disasters and public health emergencies, such as the coronavirus.</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or by the IRBs of the institutions in which such trials are being conducted, ethics committees or the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product candidates. The FDA or other regulatory authorities may disagree with our clinical trial design and our interpretation of data from clinical trials, or may change the requirements for approval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even after they have reviewed and commented on the design for our clinical trials. In addition, factors outside our control, such as government shutdowns, natural disasters and public health emergencies such as the coronavirus, could disrupt business at the FDA or other regulatory authorities, which could result in delays of reviews, approvals and communications with regulatory authorities related to our clinical trials and product candidates.</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the marketing application we submit. Any such delay or rejection could prevent or delay us from commercializing our current or future product candidates.</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If we experience delays in the completion,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the development and approval process for our product candidates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Any such events would impair our ability to successfully commercialize our product candidates and may harm our business and results of operations.</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 or result in the development of our product candidates stopping early.</w:t>
      </w:r>
    </w:p>
    <w:p>
      <w:pPr>
        <w:spacing w:after="0" w:line="176"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With the exception of NC318, NC410, and NC762 all of our product candidates are still in the preclinical stage, and the risk of failure for such product candidates is high. In order to obtain FDA approval to market a new biologic we must demonstrate proof of safety, purity and potency, including efficacy, in humans. To meet these requirements, we will have to conduct adequate and well-controlled clinical trials. Before we can commence clinical trials for a product candidate, we must complete extensive preclinical testing and studies that support our planned clinical trials in humans.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Conducting preclinical testing is a lengthy, time-consuming and expensive process. The length of time of such testing may vary substantially according to the type, complexity and novelty of the program, and often can be several years or more per program. Delays associated with programs for which we are conducting preclinical testing and studies may cause us to incur additional operating expenses. Moreover, we may be affected by delays associated with the preclinical testing and studies of certain programs that are the responsibility of our potential future collaborators over which we have no control. The commencement and rate of completion of preclinical studies and clinical trials for a product candidate may be delayed by many factors, including but not limited to:</w:t>
      </w:r>
    </w:p>
    <w:p>
      <w:pPr>
        <w:spacing w:after="0" w:line="187" w:lineRule="exact"/>
        <w:rPr>
          <w:sz w:val="20"/>
          <w:szCs w:val="20"/>
          <w:color w:val="auto"/>
        </w:rPr>
      </w:pPr>
    </w:p>
    <w:p>
      <w:pPr>
        <w:ind w:left="1020" w:right="79" w:hanging="322"/>
        <w:spacing w:after="0" w:line="284"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inability to generate sufficient preclinical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of clinical studies;</w:t>
      </w:r>
    </w:p>
    <w:p>
      <w:pPr>
        <w:spacing w:after="0" w:line="160"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study design; and</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not permitting the reliance on preclinical or other data from published scientific literature.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and preliminary results from our clinical trials that we announce or publish from time to time may change as more patient data become available and are subject to audit, validation and verification procedures that could result in material changes in the final data.</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publish interim data, including interim top-line results or preliminary results from our clinical trials. Interim data and results from our clinical trials are subject to the risk that one or more of the clinical outcomes may materially change as patient enrollment continues and more patient data become available. For example, notwithstanding the durable responses initially observed in our ongoing Phase 1/2 clinical trial of NC318 in NSCLC, we announced in July 2020 that based on additional clinical response data we would not be advancing the NSCLC cohort into the stage 2 portion of the Simon 2-stage trial. Preliminary or top-line results also remain subject to audit, validation and verification procedures that may result in the final data being materially different from the interim and preliminary data we previously published. As a result, interim and preliminary data may not be predictive of final results and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90" w:lineRule="exact"/>
        <w:rPr>
          <w:sz w:val="20"/>
          <w:szCs w:val="20"/>
          <w:color w:val="auto"/>
        </w:rPr>
      </w:pPr>
    </w:p>
    <w:p>
      <w:pPr>
        <w:jc w:val="both"/>
        <w:ind w:left="6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Positive results from preclinical studies and early-stage clinical trials may not be predictive of future results. Initial positive results in any of our clinical trials may not be indicative of results obtained when the trial is completed or in later stage trials.</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results of preclinical studies may not be predictive of the results of clinical trials. Preclinical studies and early-stage clinical trials are primarily designed to test safety, to study pharmacokinetics and pharmacodynamics and to understand the side effects of product candidates at various doses and schedules, and the results of any early-stage clinical trials may not be predictive of the results of later-stage, large-scale efficacy clinical trials. In addition, initial success in clinical trials may not be indicative of results obtained when such trials are completed. There can be no assurance that any of our current or future clinical trials will ultimately be successful or support further clinical development of any of our product candidates. There is a high failure rate for drugs and biologics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have a material adverse effect on our business and operating results.</w:t>
      </w:r>
    </w:p>
    <w:p>
      <w:pPr>
        <w:spacing w:after="0" w:line="19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Even if our clinical trials are completed, the results may not be sufficient to obtain regulatory approval for our product candidates. Data obtained from preclinical and clinical activities are subject to varying interpretations, which may delay, limit or prevent regulatory approval. In addition, the results of our preclinical studies may not be predictive of the results of outcomes in human clinical trials. For example, our current or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desired pharmacological properties or produce the necessary safety and efficacy results despite having progressed through preclinical studies and initial clinical trials. Even if we are able to initiate and complete clinical trials, the results may not be sufficient to obtain regulatory approval for our product candidates.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186"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numbers of subjects in our Phase 1/2 clinical trials of NC318 and NC410 are small, the results from each of these trials, once completed, may be less reliable than results achieved in larger clinical trials.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 study design that is considered appropriate includes a sufficiently large sample size with appropriate statistical power, as well as proper control of bias, to allow a meaningful interpretation of the results. The preliminary results of studies with smaller sample sizes, such as our ongoing Phase 1/2 clinical trials of NC318 and NC410 and what is expected for our planned Phase 1/2 clinical trial of NC762, can be disproportionately influenced by the impact the treatment had on a few individuals, which limits the ability to generalize the results across a broader community, thus making the study results less reliable than studies with a larger number of subjects and making it difficult to predict final results from preliminary results. As a result, there may be less certainty that NC318, NC410, and NC762 would achieve a statistically significant effect in any future clinical trials. If we conduct any future clinical trials of NC318, NC410, or NC762, we may not achieve a statistically significant result or the same level of statistical significance seen, if any, in our Phase 1/2 clinical trials. Similarly, if we conduct a clinical trial of any other product candidate we develop with a small sample size,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results of any such trial may be less reliable than results achieved in larger clinical trials and may provide less certainty of achieving statistically significant effects in any future clinical trials.</w:t>
      </w:r>
    </w:p>
    <w:p>
      <w:pPr>
        <w:spacing w:after="0" w:line="158"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using our FIND-IO platform is unproven and may not result in marketable products.</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success of our business depends in part upon our ability to identify targets based on our proprietary FIND-IO platform and to develop and commercialize immunomedicines. Our approach to the discovery of targets using the FIND-IO platform is novel. We have not yet initiated or completed a clinical trial of any product candidate developed for a target identified from the FIND-IO platform. The platform may fail to accurately identify targets that modulate the immune system and are appropriate for immunomedicines. Even if we are able to identify targets from the FIND-IO platform and to develop corresponding product candidates, we cannot assure that such product candidates will achieve marketing approval to safely and effectively treat cancer or other disease states.</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we uncover any previously unknown risks related to our FIND-IO platform, or if we experience unanticipated problems or delays in developing our FIND-IO product candidates, we may be unable to achieve our strategy of building an oncology pipeline of novel targets for new immunomedicines focused on non-responders.</w:t>
      </w:r>
    </w:p>
    <w:p>
      <w:pPr>
        <w:spacing w:after="0" w:line="172" w:lineRule="exact"/>
        <w:rPr>
          <w:sz w:val="20"/>
          <w:szCs w:val="20"/>
          <w:color w:val="auto"/>
        </w:rPr>
      </w:pPr>
    </w:p>
    <w:p>
      <w:pPr>
        <w:ind w:left="60" w:right="1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cause undesirable side effects or have other properties when used alone or in combination with other approved products or investigational new drugs that could halt their clinical development, delay or prevent their regulatory approval, limit their commercial potential or result in significant negative consequences.</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our product candidates, we must demonstrate through lengthy, complex and expensive preclinical testing and clinical trials that our product candidates are safe, pure and potent for use in each target indication, and failures can occur at any stage of testing. As with most biologics, use of our current or future product candidates could be associated with side effects or adverse events which can vary in severity from minor reactions to death and in frequency from infrequent to prevalent. There have been serious adverse side effects reported in response to immunotherapies in oncology.</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Treatment-related adverse events experienced by more than 5% of patients in the Phase 1 portion of the Phase 1/2 clinical trial of NC318 as of December 17, 2020 were diarrhea, infusion reactions, fatigue, headaches, pruritis, elevated amylase and elevated lipase. Most treatment-related adverse events in the Phase 1/2 clinical trial were easily manageable, asymptomatic or mild or moderate, with the exception of one case of grade 3 episcleritis/uveitis that resolved after steroid therapy and two cases of grade 3 pneumonitis. In the Phase 2 portion of the trial, the only observed severe or higher grade TRAE as of that date was a grade 3-4 infusion reaction in one patient. Immune-related adverse events that represent immune effects on normal tissue and can result from misdirected stimulation of the immune system are a common class of toxicity in immunomedicines such as NC318. Immune-related adverse events reported in the Phase 1 portion of the Phase 1/2 clinical trial of NC318 included diarrhea, elevated amylase and lipase, pruritis, episcleritis/uveitis, pneumonitis and vitiligo.</w:t>
      </w:r>
    </w:p>
    <w:p>
      <w:pPr>
        <w:spacing w:after="0" w:line="19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Possible adverse side effects that could occur with treatment with immunomedicines include an immunologic reaction early after administration that, while not necessarily adverse to the patient’s health, could substantially limit the effectiveness of the treatment. In addition to any potential side effects caused by the product or product candidate, the administration process or related procedures also can cause adverse side effects. If unacceptable adverse events occur, our clinical trials or any future marketing authorization could be suspended or terminated.</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If unacceptable side effects arise in the development of our product candidates,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Although our current and future product candidates have undergone and will undergo safety testing to the extent possible and, where applicable, under such conditions discussed with regulatory authorities, not all adverse effects of drugs can be predicted or anticipated. Immunomedicines and their method of action of harnessing the body’s immune system are powerful and could lead to serious side effects that we only discover in clinical trials or during commercial marketing. Unforeseen side effects could arise either during clinical development or after our product candidates have been approved by regulatory authorities and the approved product has been marketed, resulting in the exposure of additional patients. So far, we have not demonstrated that NC318, NC410, NC762 or any other product candidate is safe in humans, and we cannot predict if ongoing or future clinical trials will do so. If any of our current or future product candidates fail to demonstrate safety and efficacy in clinical trials or do not gain marketing approval, we will not be able to generate revenue and our business will be harmed.</w:t>
      </w:r>
    </w:p>
    <w:p>
      <w:pPr>
        <w:spacing w:after="0" w:line="19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we intend to pursue NC318 in part in combination with other therapies and may develop NC410, NC762 and future product candidates in combination with other therapies, which exposes us to additional risks relating to undesirable side effects or other properties. For example, the other therapies may lead to toxicities that are improperly attributed to our product candidates or the combination of our product candidates with other therapies may result in toxicities that the product candidate or other therapy does not produce when used alone. The other therapies we are using in combination may be removed from the market, or we may not be able to secure adequate quantities of such materials for which we have no guaranteed supply contract, and thus be unavailable for testing or commercial use with any of our approved products. The other therapies we may use in combination with our product candidates may also be supplanted in the market by newer, safer or more efficacious products or combinations of products. See also “—Risks Related to the Discovery and Development of Our Product Candidates—We intend to develop NC318 in part in combination with other therapies and may develop NC410, NC762, and future product candidates in combination with other therapies, which exposes us to additional regulatory risks.”</w:t>
      </w:r>
    </w:p>
    <w:p>
      <w:pPr>
        <w:spacing w:after="0" w:line="19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Even if we successfully advance one of our product candidates through clinical trials, such trials will likely only include a limited number of subjects and limited duration of exposure to our product candidates. As a result, we cannot be assured that adverse effects of our product candidates will not be uncovered when a significantly larger number of patients are exposed to the product candidate. Further, any clinical trial may not be sufficient to determine the effect and safety consequences of taking our product candidates over a multi-year period.</w:t>
      </w:r>
    </w:p>
    <w:p>
      <w:pPr>
        <w:spacing w:after="0" w:line="18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and we or others later identify undesirable side effects caused by such products, a number of potentially significant negative consequences could result, including:</w:t>
      </w:r>
    </w:p>
    <w:p>
      <w:pPr>
        <w:spacing w:after="0" w:line="162" w:lineRule="exact"/>
        <w:rPr>
          <w:sz w:val="20"/>
          <w:szCs w:val="20"/>
          <w:color w:val="auto"/>
        </w:rPr>
      </w:pPr>
    </w:p>
    <w:p>
      <w:pPr>
        <w:ind w:left="1020" w:hanging="322"/>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product is administered to patients;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REMS or create a Medication Guide outlining the risks of such side effects for distribution to patients;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Any of the foregoing events could prevent us from achieving or maintaining market acceptance of the particular product candidate, if approved, and result in the loss of significant revenues, which would materially harm our business. In addition, if one or more of our product candidates or our immunotherapeutic development approach generally prove to be unsafe, our entire technology platform and pipeline could be affected, which would also materially harm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encounter difficulties enrolling patients in our clinical trials, as we have in the Phase 2 portion of our ongoing Phase 1/2 clinical trial of NC318, our clinical development activities could be delayed or otherwise be adversely affected.</w:t>
      </w:r>
    </w:p>
    <w:p>
      <w:pPr>
        <w:spacing w:after="0" w:line="175" w:lineRule="exact"/>
        <w:rPr>
          <w:sz w:val="20"/>
          <w:szCs w:val="20"/>
          <w:color w:val="auto"/>
        </w:rPr>
      </w:pPr>
    </w:p>
    <w:p>
      <w:pPr>
        <w:jc w:val="both"/>
        <w:ind w:left="60" w:right="59" w:firstLine="648"/>
        <w:spacing w:after="0" w:line="277" w:lineRule="auto"/>
        <w:rPr>
          <w:sz w:val="20"/>
          <w:szCs w:val="20"/>
          <w:color w:val="auto"/>
        </w:rPr>
      </w:pPr>
      <w:r>
        <w:rPr>
          <w:rFonts w:ascii="Times New Roman" w:cs="Times New Roman" w:eastAsia="Times New Roman" w:hAnsi="Times New Roman"/>
          <w:sz w:val="17"/>
          <w:szCs w:val="17"/>
          <w:color w:val="auto"/>
        </w:rPr>
        <w:t>The successful and timely completion of clinical trials in accordance with their protocols depends on, among other things, our ability to enroll a sufficient number of patients who remain in the trial until the trial’s conclusion, including any follow-up period. We may experience difficulties in patient enrollment in our clinical trials for a variety of reasons. For example, we experienced a temporary slowdown of enrollment in the Phase 2 portion of our ongoing Phase 1/2 clinical trial of NC318 as a result of the COVID-19 pandemic. The enrollment of patients depends on many factors, including:</w:t>
      </w:r>
    </w:p>
    <w:p>
      <w:pPr>
        <w:spacing w:after="0" w:line="168" w:lineRule="exact"/>
        <w:rPr>
          <w:sz w:val="20"/>
          <w:szCs w:val="20"/>
          <w:color w:val="auto"/>
        </w:rPr>
      </w:pPr>
    </w:p>
    <w:p>
      <w:pPr>
        <w:ind w:left="1020" w:hanging="322"/>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size of the patient population required for analysis of the trial’s primary endpoints and the process for identifying patients;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participating clinical sites or patients;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17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commercially available therapies and other competing drug candidates’ clinical trials;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informed consents for participation in our clinical trials;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 or, because they may be late-stage cancer patients, will not survive the full terms of the clinical trials; and</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outside of our control, including as a result of business interruptions resulting from natural disasters and public health emergencies, such as the coronavirus.</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product candidates that are in the same therapeutic areas as our current and potential future product candidates. This competition will reduce the number and types of patients available to us, because some patients who might have opted to enroll in our trials may instead opt to enroll in a trial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sites. Moreover, because our current and potential future product candidates may represent a departure from more commonly used methods for cancer treatment, potential patients and their doctors may be inclined to use conventional therapies, such as chemotherapy, rather than enroll patients in our ongoing or any future clinical trial.</w:t>
      </w:r>
    </w:p>
    <w:p>
      <w:pPr>
        <w:spacing w:after="0" w:line="18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Delays from difficulties in patient enrollment in a clinical trial may result in increased costs or affect the timing, outcome or completion of the trial, which could delay or prevent our receipt of regulatory approval of the applicable product candidate or to abandon the trial altogether.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suspend, repeat or terminate our clinical trials if they are not conducted in accordance with regulatory requirements, the results are negative or inconclusive or the trials are not well designed.</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Clinical trials must be conducted in accordance with the FDA’s current cGCP or analogous requirements of applicable foreign regulatory authorities. Clinical trials are subject to oversight by the FDA, other foreign governmental agencies and IRBs or ethical committees at the study sites where the clinical trials are conducted. In addition, clinical trials must be conducted with product candidates manufactured in accordance with applicable cGMP. Clinical trials may be suspended by the FDA, other foreign regulatory authorities, us, or by an IRB or ethics committee with respect to a particular clinical trial site, for various reasons, including:</w:t>
      </w:r>
    </w:p>
    <w:p>
      <w:pPr>
        <w:spacing w:after="0" w:line="187" w:lineRule="exact"/>
        <w:rPr>
          <w:sz w:val="20"/>
          <w:szCs w:val="20"/>
          <w:color w:val="auto"/>
        </w:rPr>
      </w:pPr>
    </w:p>
    <w:p>
      <w:pPr>
        <w:ind w:left="1020" w:right="79" w:hanging="322"/>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the conduct of the clinical trials, including failure to conduct the clinical trial in accordance with regulatory requirements or study protocols;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the clinical trial operations or trial sites;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adverse side effects or the emergence of undue risks to study subjects;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the trial design necessary to demonstrate efficacy;</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candidate may not appear to offer benefits over current therapies; or</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stability of the product candidate may fall below acceptable standards.</w:t>
      </w:r>
    </w:p>
    <w:p>
      <w:pPr>
        <w:spacing w:after="0" w:line="221" w:lineRule="exact"/>
        <w:rPr>
          <w:sz w:val="20"/>
          <w:szCs w:val="20"/>
          <w:color w:val="auto"/>
        </w:rPr>
      </w:pPr>
    </w:p>
    <w:p>
      <w:pPr>
        <w:jc w:val="both"/>
        <w:ind w:left="60" w:right="4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chosen to prioritize development of NC318, NC410, and NC762. We may expend our limited resources on product candidates or indications that do not yield a successful product and fail to capitalize on other candidates or indications for which there may be a greater likelihood of success or may be more profitable.</w:t>
      </w:r>
    </w:p>
    <w:p>
      <w:pPr>
        <w:spacing w:after="0" w:line="175"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7"/>
          <w:szCs w:val="17"/>
          <w:color w:val="auto"/>
        </w:rPr>
        <w:t>Because we have limited resources, we have strategically determined to prioritize development of NC318, NC410, and NC762 rather than other product candidates based, in part, on the significant resources required for developing and manufacturing immunomedicines. To date, no regulatory authority has granted approval for an immunomedicine targeting S15, the LAIR pathway or B7-H4. As a result, we may be foregoing other potentially more profitable immunomedicines or therapies or those with a greater likelihood of success.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with respect to, certain programs may subsequently also prove to be suboptimal and could cause us to miss valuable opportunities. If we make incorrect determinations regarding the viability or market potential of any of our current or future product candidates or misread trends in the oncology or biopharmaceutical industry,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development and commercialization rights.</w:t>
      </w:r>
    </w:p>
    <w:p>
      <w:pPr>
        <w:spacing w:after="0" w:line="175" w:lineRule="exact"/>
        <w:rPr>
          <w:sz w:val="20"/>
          <w:szCs w:val="20"/>
          <w:color w:val="auto"/>
        </w:rPr>
      </w:pPr>
    </w:p>
    <w:p>
      <w:pPr>
        <w:ind w:left="6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need to develop, or enter into a collaboration or partnership to develop, complementary or companion diagnostics for our current or future product candidates. If we, or our future collaborators, are unable to successfully develop complementary or companion diagnostics, or experience significant delays in doing so, we may not realize the full commercial potential of our current or future product candidates.</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One of the key elements of our product development strategy is to identify cancer patient populations that may derive meaningful benefit from our current or future product candidates. Because predictive biomarkers are being and may be used to identify the right patients for current or future product candidates, we believe that our success may depend, in part, on our ability to develop complementary or companion diagnostics in collaboration with partners.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have limited experience in the development of diagnostics and, as such, we may rely in part on future collaborators in developing appropriate diagnostics to pair with our current or future product candidates. We have not yet begun substantial discussions with any potential partners with respect to the development of complementary or companion diagnostics and may be unsuccessful in entering into collaborations for the development of any such diagnostics for our current or future product candidates.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Companion diagnostics are subject to regulation by the FDA and similar comparable foreign regulatory authorities as medical devices and require separate regulatory approval or clearance prior to commercialization. Complementary diagnostics may be subject to regulation by CMS or the FDA and similar comparable foreign regulatory authorities and may require separate regulatory approval or clearance prior to commercialization. Gaining regulatory approval could be time consuming and costly and could delay regulatory approval of the related product candidate.</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and our collaborators may encounter difficulties in developing such tests, including issues relating to the selectivity or specificity of the diagnostic, analytical validation, reproducibility or clinical validation. If we, our collaborators, or any third parties that we engage to assist us, are unable to successfully develop complementary or companion diagnostics for our current or future product candidates or experience delays in doing so:</w:t>
      </w:r>
    </w:p>
    <w:p>
      <w:pPr>
        <w:spacing w:after="0" w:line="180" w:lineRule="exact"/>
        <w:rPr>
          <w:sz w:val="20"/>
          <w:szCs w:val="20"/>
          <w:color w:val="auto"/>
        </w:rPr>
      </w:pPr>
    </w:p>
    <w:p>
      <w:pPr>
        <w:ind w:left="1020" w:right="79" w:hanging="322"/>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our current or future product candidates may be adversely affected if we are unable to appropriately select patients for enrollment in our clinical trials; and</w:t>
      </w:r>
    </w:p>
    <w:p>
      <w:pPr>
        <w:spacing w:after="0" w:line="161"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commercial potential of our current or future product candidates if, among other reasons, we are unable to appropriately identify, or it takes us longer to identify, patients who are likely to benefit from therapy with our products, if approved.</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If any of these events were to occur, our business could be materially harmed.</w:t>
      </w:r>
    </w:p>
    <w:p>
      <w:pPr>
        <w:spacing w:after="0" w:line="221" w:lineRule="exact"/>
        <w:rPr>
          <w:sz w:val="20"/>
          <w:szCs w:val="20"/>
          <w:color w:val="auto"/>
        </w:rPr>
      </w:pPr>
    </w:p>
    <w:p>
      <w:pPr>
        <w:ind w:left="60" w:right="819"/>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the Regulatory Approval and Commercialization of Product Candidates and Other Legal Compliance Matters</w:t>
      </w:r>
    </w:p>
    <w:p>
      <w:pPr>
        <w:spacing w:after="0" w:line="155"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FDA approval of our product candidates under applicable regulatory requirements. The denial or delay of any such approval would prevent or delay commercialization of our product candidates and adversely impact our potential to generate revenue, our business and our results of operations.</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To gain approval to market our product candidates in the United States, we must provide the FDA with clinical data that adequately demonstrate the safety, purity and potency, including efficacy, of the product candidate for the proposed indication or indications in a BLA submission. Product development is a long, expensive and uncertain process, and delay or failure can occur at any stage of any of our clinical development programs. A number of companies in the biotechnology and pharmaceutical industries have suffered significant setbacks in clinical trials, even after promising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Success in preclinical testing and early clinical trials does not ensure that later clinical trials will be successful, and the results of clinical trials by other parties may not be indicative of the results in trials we may conduct.</w:t>
      </w:r>
    </w:p>
    <w:p>
      <w:pPr>
        <w:spacing w:after="0" w:line="19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have not previously submitted a BLA or any other marketing application to the FDA or similar filings to comparable foreign regulatory authorities. A BLA or other similar regulatory filing requesting approval to market a product candidate must include extensive preclinical and clinical data and supporting information to establish that the product candidate is safe, pure and potent for each desired indication. The BLA or other similar regulatory filing must also include significant information regarding the chemistry, manufacturing and controls for the product.</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research, testing, manufacturing, labeling, approval, marketing, sale and distribution of biological products are subject to extensive regulation by the FDA and other regulatory authorities in the United States and other countries, and such regulations differ from country to country. We are not permitted to market our product candidates in the United States or in any foreign countries until they receive the requisite approval from the applicable regulatory authorities of such jurisdictions.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FDA or comparable foreign regulatory authorities can delay, limit or deny approval of our product candidates for many reasons, including:</w:t>
      </w:r>
    </w:p>
    <w:p>
      <w:pPr>
        <w:spacing w:after="0" w:line="162" w:lineRule="exact"/>
        <w:rPr>
          <w:sz w:val="20"/>
          <w:szCs w:val="20"/>
          <w:color w:val="auto"/>
        </w:rPr>
      </w:pPr>
    </w:p>
    <w:p>
      <w:pPr>
        <w:ind w:left="1020" w:right="79" w:hanging="322"/>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a comparable foreign regulatory authority that our product candidates are safe and effective for the requested indication;</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 comparable foreign regulatory authority’s disagreement with our trial protocol or the interpretation of data from preclinical studies or clinical trials;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our product candidates outweigh any safety or other perceived risks;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 comparable foreign regulatory authority’s requirement for additional preclinical studies or clinical trials;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 comparable foreign regulatory authority’s non-approval of the formulation, labeling, or specifications of our product candidates;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 comparable regulatory authority’s failure to approve our manufacturing processes and facilities or the manufacturing processes and facilities of third-party manufacturers upon which we rely; or</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approval policies or regulations of the FDA or a comparable foreign regulatory authority to significantly change in a manner rendering our clinical data insufficient for approval.</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Even if we eventually complete clinical testing and receive approval from the FDA or comparable foreign regulatory authorities for any of our product candidates, the FDA or comparable foreign regulatory authorities may grant approval contingent on the performance of costly additional clinical trials which may be required after approval. The FDA or comparable foreign regulatory authorities also may approve any of our product candidates for a more limited indication or a narrower patient population than we originally requested, and the FDA or comparable foreign regulatory authorities may not approve any of our product candidates with the labeling that we believe is necessary or desirable for the successful commercialization of any such product candidates.</w:t>
      </w:r>
    </w:p>
    <w:p>
      <w:pPr>
        <w:spacing w:after="0" w:line="189"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Of the large number of biopharmaceutical products in development, only a small percentage successfully complete the FDA or other regulatory bodies’ approval processes and are commercialized. Any delay in obtaining, or inability to obtain, applicable regulatory approval would delay or prevent commercialization of our product candidates and would materially harm our business.</w:t>
      </w:r>
    </w:p>
    <w:p>
      <w:pPr>
        <w:spacing w:after="0" w:line="176" w:lineRule="exact"/>
        <w:rPr>
          <w:sz w:val="20"/>
          <w:szCs w:val="20"/>
          <w:color w:val="auto"/>
        </w:rPr>
      </w:pPr>
    </w:p>
    <w:p>
      <w:pPr>
        <w:jc w:val="both"/>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 current or future product candidate receives marketing approval, it may fail to achieve the degree of market acceptance by physicians, patients, third-party payors and others in the medical community necessary for commercial success.</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For example, current approved immunotherapies, and other cancer treatments like chemotherapy and radiation therapy, are well established in the medical community, and doctors may continue to rely on these therapies. Our approach to targeting different components of the tumor microenvironment is novel and unproven. In addition, adverse events in clinical trials testing our product candidates or in clinical trials of others developing similar product candidates and the resulting publicity, as well as any other adverse events in the field of immuno-oncology that may occur in the future, could result in a decrease in demand for our current or future product candidates. If public perception is influenced by claims that the use of cancer immunotherapies is unsafe, whether related to our immunomedicines or our competitors’ products, our products may not be accepted by the general public or the medical community. Future adverse events in immuno-oncology or the biopharmaceutical industry could also result in greater governmental regulation, stricter labeling requirements and potential regulatory delays in the testing or approvals of our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our current and any future product candidates we develop do not achieve an adequate level of acceptance, we may not generate significant product revenues and we may not become profitable. The degree of market acceptance of our current and any future product candidates, if approved for commercial sale, will depend on a number of factors, including:</w:t>
      </w:r>
    </w:p>
    <w:p>
      <w:pPr>
        <w:spacing w:after="0" w:line="176" w:lineRule="exact"/>
        <w:rPr>
          <w:sz w:val="20"/>
          <w:szCs w:val="20"/>
          <w:color w:val="auto"/>
        </w:rPr>
      </w:pPr>
    </w:p>
    <w:p>
      <w:pPr>
        <w:ind w:left="1020" w:right="79" w:hanging="322"/>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and potential advantages compared to alternative treatments, including those that are not yet approved;</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products, if approved, for sale at competitive prices;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sales and distribution support;</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sufficient third-party coverage and adequate reimbursement, including with respect to the use of the approved product as a combination therapy;</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and adoption of a companion or complementary diagnostic, if needed or advisable; and</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21"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any current or future product candidate we develop, if approved, may be limited to those patients who are ineligible for established therapies or for whom prior therapies have failed, and may be small.</w:t>
      </w:r>
    </w:p>
    <w:p>
      <w:pPr>
        <w:spacing w:after="0" w:line="15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Any revenue we are able to generate in the future from product sales will be dependent, in part, upon the size of the market in the United States and any other jurisdiction for which we gain regulatory approval and have commercial rights. If the markets or patient subsets that we are targeting are not as significant as we estimate, we may not generate significant revenues from sales of such products, even if approved.</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We may initially seek approval for NC318, NC410, NC762 and any other product candidates we develop as second- or third-line therapies. If we do so, for those products that prove to be sufficiently beneficial, if any, we would expect potentially to seek approval as a first-line therapy, but there is no guarantee that any product candidate we develop, even if approved, would be approved for first-line therapy, and, prior to any such approvals, we may have to conduct additional clinical trials.</w:t>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number of patients who have the types of cancer we are targeting may turn out to be lower than expected. Additionally, the potentially addressable patient population for our current or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spacing w:after="0" w:line="179"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develop NC318 in part in combination with other therapies and may develop NC410, NC762, and future product candidates in combination with other therapies, which exposes us to additional regulatory risks.</w:t>
      </w:r>
    </w:p>
    <w:p>
      <w:pPr>
        <w:spacing w:after="0" w:line="15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intend to develop NC318 in part in combination with other therapies and may develop NC410, NC762 and future product candidates in combination with one or more currently approved cancer therapies. These combinations have not been tested before and may, among other things, fail to demonstrate synergistic activity, may fail to achieve superior outcomes relative to the use of single agents or other combination therapies, or may fail to demonstrate sufficient safety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or efficacy traits in clinical trials to enable us to complete those clinical trials or obtain marketing approval for the combination therapy.</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we did not develop or obtain regulatory approval for, and we do not manufacture or sell, any of these approved therapeutics. Therefore, even if any product candidate we develop were to receive marketing approval or be commercialized for use in combination with other existing therapies, we would continue to be subject to the risk that the FDA or comparable foreign regulatory authorities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 Combination therapies are commonly used for the treatment of cancer, and we would be subject to similar risks if we develop any of our product candidates for use in combination with other drugs or for indications other than cancer.</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may also evaluate NC318, NC410, NC762 or any future product candidate in combination with one or more other cancer therapies that have not yet been approved for marketing by the FDA or comparable foreign regulatory authorities. We will not be able to market and sell NC318, NC410, NC762 or any product candidate we develop in combination with any such unapproved cancer therapies that do not ultimately obtain marketing approval.</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If the FDA or comparable foreign regulatory authorities do not approve these other biological products or revoke their approval of, or if safety, efficacy, manufacturing or supply issues arise with, the biologics we choose to evaluate in combination with NC318, NC410, NC762 or any product candidate we develop, we may be unable to obtain approval of or market any such product candidate.</w:t>
      </w:r>
    </w:p>
    <w:p>
      <w:pPr>
        <w:spacing w:after="0" w:line="176" w:lineRule="exact"/>
        <w:rPr>
          <w:sz w:val="20"/>
          <w:szCs w:val="20"/>
          <w:color w:val="auto"/>
        </w:rPr>
      </w:pPr>
    </w:p>
    <w:p>
      <w:pPr>
        <w:ind w:left="60" w:right="1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of a product candidate, we will be subject to ongoing regulatory obligations and continued regulatory review, which may result in significant additional expense. If we fail to comply or experience unanticipated problems with our products, we may be subject to administrative and judicial enforcement, including monetary penalties, for non-compliance and our approved products, if any, could be deemed misbranded or adulterated and prohibited from continued distribution.</w:t>
      </w:r>
    </w:p>
    <w:p>
      <w:pPr>
        <w:spacing w:after="0" w:line="183"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Any marketing approvals that we receive for any current or future product candidate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may also require implementation of a REMS as a condition of approval of any product candidate,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a product candidate, the manufacturing processes, labeling, packaging, distribution, adverse event and deviation reporting, storage, advertising, promotion, import and export and record keeping for the product candidate will be subject to extensive and ongoing regulatory requirements. These requirements include submissions of safety and other post-marketing information and reports, registration, as well as continued compliance with cGMP and cGCP, for any clinical trials that we may conduct post-approval. Later discovery of previously unknown problems with any approved candidate, including adverse events of unanticipated severity or frequency, or with our or our third-party manufacturers’ manufacturing processes or facilities, or failure to comply with regulatory requirements, may result in, among other things:</w:t>
      </w:r>
    </w:p>
    <w:p>
      <w:pPr>
        <w:spacing w:after="0" w:line="197" w:lineRule="exact"/>
        <w:rPr>
          <w:sz w:val="20"/>
          <w:szCs w:val="20"/>
          <w:color w:val="auto"/>
        </w:rPr>
      </w:pPr>
    </w:p>
    <w:p>
      <w:pPr>
        <w:ind w:left="1020" w:right="79" w:hanging="322"/>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or imposition of restrictions on, the marketing or manufacturing of the product, withdrawal of the product from the market, or product recalls;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 or holds on clinical trials;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we file, or suspension or revocation of approved biologics licenses;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monetary penalties, refusal to permit the import or export of the product, or placement on Import Alert; and</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permanent injunctions and consent decrees including the imposition of civil or criminal penalties.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Given the nature of biologics manufacturing, there is a risk of contamination. Any contamination could materially adversely affect our ability to produce product candidates on schedule and could, therefore, harm our results of operations and cause reputational damage. Some of the raw materials and other components required in our manufacturing process are derived from biologic sources. Such raw materials are difficult to procure and may be subject to contamination or recall. A material shortage, contamination, recall or restriction on the use of biologically derived substances in manufacturing our product or product candidates could adversely impact or disrupt the commercial manufacturing or the production of clinical material, which could materially and adversely affect our development and commercialization timelines and our business, financial condition, results of operations and prospects and could adversely affect our ability to meet our supply obligations.</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Moreover, the FDA strictly regulates the promotional claims that may be made about drug and biological products. In particular, an approved product may not be promoted for uses that are not approved by the FDA as reflected in the product’s approved labeling, or off-label uses. The FDA and other agencies actively enforce the laws and regulations prohibiting the promotion of off-label uses. The FDA has issued guidance on the factors that it will consider in determining whether a firm’s product communication is consistent with the FDA-required labeling for that product, and those factors contain complexity and potential for overlap and misinterpretation. A company that is found to have improperly promoted off-label uses of their products may be subject to significant civil, criminal and administrative penalties.</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FDA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2"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marketing approval of our current and future product candidates in one jurisdiction does not mean that we will be successful in obtaining and maintaining marketing approval of our current and future product candidates in other jurisdictions.</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94"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or fail to receive applicable marketing approvals, our target market will be reduced and our ability to realize the full market potential of our product candidates will be harmed.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dependent on our information technology systems and those of third parties to operate our business. In the ordinary course of our business, we collect, store and transmit large amounts of confidential information, including intellectual property, proprietary business information and personal information, and data to comply with cGMP and data integrity requirements. It is critical that we do so in a secure manner to maintain data security and data integrity of such information. We have established physical, electronic and organizational measures to safeguard and secure our systems to prevent a data compromise. We have also outsourced elements of our information technology infrastructure, and as a result a number of third-party vendors may or could have access to our confidential information. If we or our vendors fail to comply with applicable data privacy laws, or if the legal mechanisms we or our vendors rely upon for the transfer of personal data are ever deemed inadequate, or if we or our vendors experience a data breach resulting in exposure of personal data subject to the applicable laws, we could be subject to government enforcement actions and significant penalties against us, criminal and civil liability for us and our officers and directors, private litigation or adverse publicity.</w:t>
      </w:r>
    </w:p>
    <w:p>
      <w:pPr>
        <w:spacing w:after="0" w:line="190"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cyber-intrusions, phishing, persons inside our organization or persons with access to systems inside our organization. The risk of a security breach or disruption or data loss,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Likewise, we rely on third parties to conduct clinical trials, and similar events relating to their computer systems could also have a material adverse effect on our business.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if applicable, including HIPAA and its implementing regulations, as well as regulations promulgated by the Federal Trade Commission and state breach notification laws. We would also be exposed to a risk of loss or litigation and potential liability, which could materially adversely affect our business, results of operations and financial condition.</w:t>
      </w:r>
    </w:p>
    <w:p>
      <w:pPr>
        <w:spacing w:after="0" w:line="201" w:lineRule="exact"/>
        <w:rPr>
          <w:sz w:val="20"/>
          <w:szCs w:val="20"/>
          <w:color w:val="auto"/>
        </w:rPr>
      </w:pPr>
    </w:p>
    <w:p>
      <w:pPr>
        <w:ind w:left="60" w:right="1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availability of coverage and adequacy of reimbursement by third-party payors, including managed care plans, governmental healthcare programs, such as Medicare and Medicaid and private health insurers is essential for most patients to be able to afford medical services and pharmaceutical products such as our product candidates that receive FDA approval. Our ability to achieve acceptable levels of coverage and reimbursement for our products or procedures using our products by third-party payors will have an effect on our ability to successfully commercialize our product candidates. Obtaining coverage and adequate reimbursement for our products may be particularly difficult because of the higher prices often associated with drugs administered under the supervision of a physician. Separate reimbursement for the product itself or the treatment or procedure in which our product is used may not be available. A decision by a third-party payor not to cover or not to separately reimburse for our products or procedures using our products could reduce physician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utilization of our products once approved. Assuming there is coverage for our product candidates, or procedures using our product candidates by a third-party payor, the resulting reimbursement payment rates may not be adequate or may require co-payments that patients find unacceptably high. We cannot be sure that coverage and reimbursement in the United States, the European Union or elsewhere will be available for our current or future product candidates, or for any procedures using such product candidates, and any reimbursement that may become available may not be adequate or may be decreased or eliminated in the future.</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ability to successfully commercialize any product candidate, whether as a single agent or combination therapy, will also depend in part on the extent to which coverage and reimbursement for these product candidates and related treatments will be available from third-party payors. Third-party payors decide which medications they will pay for and establish reimbursement levels. It is difficult to predict at this time what government authorities and third-party payors will decide with respect to coverage and reimbursement for our current and future product candidates.</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third-party payors are increasingly challenging prices charged for pharmaceutical and biological products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third-party therapeutics may limit the amount we will be able to charge for our product candidates. These third-party payors may deny or revoke the reimbursement status of our product candidates, if approved, or establish prices for our product candidates at levels that are too low to enable us to realize an appropriate return on our investment. If reimbursement is not available or is available only at limited levels, we may not be able to successfully commercialize our product candidates, and may not be able to obtain a satisfactory financial return on our product candidates.</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newly-approved products, especially novel products like our immunomedicines. To date, no regulatory authority has granted approval for an immunomedicine targeting S15, the LAIR pathway or B7-H4. The Medicare and Medicaid programs are increasingly used as models in the United States for how private third-party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We cannot predict at this time what third-party payors will decide with respect to the coverage and reimbursement for our product candidates.</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No uniform policy for coverage and reimbursement for products exist among third-party payors in the United States. Therefore, coverage and reimbursement for products can differ significantly from payor to payor. As a result, the coverage determination process is often a time-consuming and costly process that may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can change, in some cases on short notice, and we believe that changes in these rules and regulations are likely.</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Additionally, if we or our collaborators develop companion diagnostic tests for use with our product candidates, we, or our collaborators, will be required to obtain coverage and reimbursement for these tests separate and apart from the coverage and reimbursement we seek for our product candidates, once approved. While we and our collaborators have not yet developed any companion diagnostic test for our product candidates, if we or our collaborators do, there is significant uncertainty regarding the ability to obtain coverage and adequate reimbursement for the same reasons applicable to our product candidates.</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Moreover,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Enacted healthcare legislation, changes in healthcare law and implementation of regulations, as well as changes in healthcare policy, may increase the difficulty and cost for us to commercialize our product candidates, may impact our business in ways that we cannot currently predict, could affect the prices we may set, and could have a material adverse effect on our business and financial condition.</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In particular, there have been and continue to be a number of initiatives at the U.S. federal and state levels that seek to reduce healthcare costs and improve the quality of healthcare. For example, the ACA substantially changed the way healthcare is financed by both governmental and private insurers, and significantly impacted the U.S. pharmaceutical industry. The ACA, among other things, subjects biologics to potential competition by lower-cost biosimilars, addresses a methodology by which rebates owed by manufacturers under the MDRP are calculated for drugs that are inhaled, infused, instilled, implanted or injected, increases the minimum Medicaid rebates owed by manufacturers under the MDRP and extends the rebate program to individuals enrolled in Medicaid managed care organizations, and establishes annual fees and taxes on manufacturers of certain branded prescription drugs.</w:t>
      </w:r>
    </w:p>
    <w:p>
      <w:pPr>
        <w:spacing w:after="0" w:line="188"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ACA and certain of its provisions have been subject to judicial challenges as well as efforts to repeal or replace them or to alter their interpretation or implementation. For example, Congress has considered legislation that would repeal or repeal and replace all or part of the ACA. While Congress has not passed comprehensive repeal legislation, bills affecting the implementation of certain taxes under the ACA have been signed into law. The Tax Act included a provision that repealed the tax-based shared responsibility payment imposed by the ACA on certain individuals who fail to maintain qualifying health coverage for all or part of a year that is commonly referred to as the “individual mandate.” The Bipartisan Budget Act of 2018, among other things, amended the ACA to increase the point-of-sale discounts that manufacturers must agree to offer under the Medicare Part D coverage discount program from 50% to 70% off negotiated prices of applicable brand drugs to eligible beneficiaries during their coverage gap period, as a condition for the manufacturer’s outpatient drugs to be covered under Medicare Part D. Also, in 2018, CMS issued final rules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The Further Consolidated Appropriations Act of 2020 fully repealed the ACA’s “Cadillac Tax” on certain high cost employer-sponsored insurance plans and, effective in 2021, the annual fee imposed on certain health insurance providers based on market share. Additional legislative or regulatory changes related to the ACA remain possible.</w:t>
      </w:r>
    </w:p>
    <w:p>
      <w:pPr>
        <w:spacing w:after="0" w:line="19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December 2018, the United States District Court for the Northern District of Texas ruled that the individual mandate is (i) unconstitutional as a result of the associated tax penalty being repealed by Congress as part of the Tax Act and (ii) not severable from the rest of the ACA, and that as a result the entire ACA is invalid. In December 2019, the U.S. Court of Appeals for the Fifth Circuit affirmed the district court’s decision that the individual mandate is unconstitutional, but remanded the case to the district court to reconsider the severability question. The Supreme Court of the United States granted certiorari on March 2, 2020, and heard oral argument on November 10, 2020. On February 10, 2021, the Biden Administration withdrew the federal government’s support for overturning the ACA. The case is expected to be decided by mid-2021. It is unclear how the ultimate decision in this case, or other efforts to repeal, replace, or invalidate the ACA or its implementing regulations, or portions thereof, will impact the ACA and implementation.</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Other healthcare-related legislative and regulatory initiatives and reforms have been proposed and adopted in the United States since the ACA was enacted. In August 2011, the Budget Control Act of 2011, among other things, created measures for automatic spending reductions under certain circumstances. A Joint Select Committee on Deficit Reduction tasked with recommending a targeted deficit reduction of at least $1.2 trillion for the years 2013 through 2021 was unable to reach required goals, thereby triggering the legislation’s automatic reductions. In conjunction with the operation of subsequently enacted law, this has resulted in aggregate reductions of Medicare payments to providers of, on average, 2% per fiscal year through 2030, with the exception of a temporary suspension from May 1, 2020 through December 31, 2020, unless Congress takes additional action. The American Taxpayer Relief Act of 2012, which was signed into law in January 2013, among other things further reduced Medicare payments to several types of providers.</w:t>
      </w:r>
    </w:p>
    <w:p>
      <w:pPr>
        <w:spacing w:after="0" w:line="188" w:lineRule="exact"/>
        <w:rPr>
          <w:sz w:val="20"/>
          <w:szCs w:val="20"/>
          <w:color w:val="auto"/>
        </w:rPr>
      </w:pPr>
    </w:p>
    <w:p>
      <w:pPr>
        <w:jc w:val="both"/>
        <w:ind w:left="60" w:right="59" w:firstLine="648"/>
        <w:spacing w:after="0" w:line="274" w:lineRule="auto"/>
        <w:rPr>
          <w:sz w:val="20"/>
          <w:szCs w:val="20"/>
          <w:color w:val="auto"/>
        </w:rPr>
      </w:pPr>
      <w:r>
        <w:rPr>
          <w:rFonts w:ascii="Times New Roman" w:cs="Times New Roman" w:eastAsia="Times New Roman" w:hAnsi="Times New Roman"/>
          <w:sz w:val="17"/>
          <w:szCs w:val="17"/>
          <w:color w:val="auto"/>
        </w:rPr>
        <w:t>Moreover, payment methodologies may be subject to changes in healthcare legislation and regulatory initiatives. For example, beginning in 2018, CMS has maintained a reduced rate of payment under the Medicare outpatient prospective payment system and ambulatory surgical center payment system for certain separately payable drugs or biologics acquired under the 340B Drug Pricing Program, and a CMS indicated in a recent rule that it will continue to consider setting an even lower payment rate based on collected hospital survey data. We expect that additional state and federal healthcare reform measures will be adopted in the future, any of which could limit the amounts that federal and state governments</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will pay for healthcare products and services, which could result in reduced demand for any product candidate we develop or complementary or companion diagnostics or additional pricing pressures.</w:t>
      </w:r>
    </w:p>
    <w:p>
      <w:pPr>
        <w:spacing w:after="0" w:line="16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and state legislation and regulation designed to, among other things, bring more transparency to drug pricing, reduce the cost of prescription drugs under government payor programs, and review the relationship between pricing and manufacturer patient programs; and reform government program reimbursement methodologies for drugs. For example, on November 20, 2020, CMS issued an interim final rule that implemented a mandatory “Most Favored Nation” demonstration model to test reimbursement of drugs or biologicals under Medicare Part B based on international reference prices, but the final rule is currently subject to a nationwide preliminary injunction, and it remains to be seen whether orders such as these and resulting regulations will remain in force during the Biden Administration. Policymakers have indicated that they will continue to seek legislative and administrative measures to control drug costs. We expect that additional U.S. federal healthcare reform measures will be adopted in the future, any of which could limit the extent to which the U.S. federal government covers particular healthcare products and services and could limit the amounts that the U.S. federal government will pay for healthcare products and services. This could result in reduced demand for our product candidates or additional pricing pressures.</w:t>
      </w:r>
    </w:p>
    <w:p>
      <w:pPr>
        <w:spacing w:after="0" w:line="19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Individual states in the United States have also increasingly passed legislation and implemented regulations designed to control pharmaceutical and biological product pricing, including price or patient reimbursement limitations,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that we successfully commercialize or put pressure on our product pricing.</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Additionally, in May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79"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third-party payors and others may be subject to applicable anti-kickback, fraud and abuse and other healthcare laws and regulations, which could expose us to criminal sanctions, civil penalties, contractual damages, reputational harm, administrative burdens and diminished profits and future earnings.</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applicable federal and state healthcare laws and regulations that may affect our ability to operate include, but are not limited to those described in “Business—Government Regulation—Healthcare Regulation.”</w:t>
      </w:r>
    </w:p>
    <w:p>
      <w:pPr>
        <w:spacing w:after="0" w:line="19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business activities could be subject to challenge under one or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more of such laws. 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 consuming and can divert management’s attention from the business.</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the physicians or other providers or entities with whom we expect to do business are found not to be in compliance with applicable laws, they may be subject to criminal, civil and administrative sanctions, including exclusion from government funded healthcare programs. In addition, the approval and commercialization of any product candidate we develop outside the United States will also likely subject us to foreign equivalents of the healthcare laws mentioned above, among other foreign laws. All of these could harm our ability to operate our business and our financial results.</w:t>
      </w:r>
    </w:p>
    <w:p>
      <w:pPr>
        <w:spacing w:after="0" w:line="188"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w:t>
      </w:r>
    </w:p>
    <w:p>
      <w:pPr>
        <w:spacing w:after="0" w:line="189"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Our business is heavily regulated and therefore involves significant interaction with public officials. We have direct or indirect interactions with officials and employees of government agencies or government-affiliated hospitals, universities and other organizations. We also expect our non-U.S. activities to increase in time.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U.S. Foreign Corrupt Practices Act of 1977, as amended, or FCPA. We plan to engage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In particular, our operations will be subject to FCPA,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government-owned or affiliated entities, candidates for foreign political office, and foreign political parties or officials thereof.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also result in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2"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Manufacturing</w:t>
      </w:r>
    </w:p>
    <w:p>
      <w:pPr>
        <w:spacing w:after="0" w:line="225"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Given our limited operating history, our manufacturing experience as an organization and with our manufacturing facility is limited.</w:t>
      </w:r>
    </w:p>
    <w:p>
      <w:pPr>
        <w:spacing w:after="0" w:line="15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Manufacturing is a critical component of our approach to developing immunomedicines and we have invested significantly in our manufacturing facility. We currently manufacture our product candidates for preclinical and clinical trials.</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Manufacturing drugs for clinical trials and for commercial sale is subject to oversight by the FDA to ensure compliance with cGMP and by other regulatory authorities under other laws, regulations and standards. We cannot assure you that we can successfully manufacture our products in compliance with cGMP and with any other applicable laws, regulations and standards in sufficient quantities for clinical trials or for commercial sale, or in a timely or economical manner.</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manufacturing facility requires specialized personnel and is expensive to operate and maintain. Validation is an ongoing process that must be maintained to allow us to manufacture under cGMP guidelines. We cannot guarantee that our facility will remain in compliance with cGMP.</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Manufacturing pharmaceutical products is a highly complex process in which a variety of difficulties may arise from time to time. We are currently the sole manufacturer of NC318, NC410, and NC762 and if anything were to interfere with our continuing manufacturing operations in our facility, it could materially adversely affect our business and financial condition.</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If we fail to develop sufficient manufacturing capacity and experience, whether internally or with a third party, or fail to manufacture our product candidates economically or on reasonable scale or volumes, or in accordance with cGMP, our development programs and commercialization of any approved products will be materially adversely affected. This may result in delays in commencing or continuing our clinical trials for NC318, NC410, or NC762. Any such delays could materially adversely affect our business and financial condition.</w:t>
      </w:r>
    </w:p>
    <w:p>
      <w:pPr>
        <w:spacing w:after="0" w:line="179"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scale-up manufacturing of our product candidates in sufficient quality and quantity, which would delay or prevent us from developing and, if approved, commercializing our product candidates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candidates, we will need to manufacture them in large quantities. Currently, our product candidates are manufactured in small quantities for use in various preclinical studies and our ongoing Phase 1/2 clinical trials of NC318 and NC410 and our planned Phase 1/2 clinical trial of NC762. We intend to expand our manufacturing capacity, including to provide drug supply of NC318 for future clinical trials, which will require us to incur significant expenses. If one or more of our product candidates progress to late-stage development, we may incur additional significant expenses in the further expansion or construction of manufacturing facilities and increases in personnel in order to manufacture product candidates in sufficient quantities. We cannot assure you that we will be 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 successfully manufacture product candidates at a larger scale in a timely or economical manner, or at all. If we are unable to successfully increase our manufacturing scale or capacity, the development, testing and clinical trials of our current or future product candidates may be delayed or infeasible, and regulatory approval or commercial launch of any resulting product may be delayed or not obtained, which could significantly harm our business.</w:t>
      </w:r>
    </w:p>
    <w:p>
      <w:pPr>
        <w:spacing w:after="0" w:line="176" w:lineRule="exact"/>
        <w:rPr>
          <w:sz w:val="20"/>
          <w:szCs w:val="20"/>
          <w:color w:val="auto"/>
        </w:rPr>
      </w:pPr>
    </w:p>
    <w:p>
      <w:pPr>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loss of our third-party manufacturing partners or our, or our partners’, failure to comply with applicable regulatory requirements or to supply sufficient quantities at acceptable quality levels or prices, or at all, would materially and adversely affect our business.</w:t>
      </w:r>
    </w:p>
    <w:p>
      <w:pPr>
        <w:spacing w:after="0" w:line="17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Although we currently manufacture our product candidates for preclinical and clinical trials, certain elements of manufacturing, including Master Cell Bank manufacturing and fill-finish services, take place at qualified third-party contract manufacturing organizations, or CMOs. If approved, commercial supply of NC318, NC410, NC762 and any future product candidates may be manufactured at a CMO or CMOs.</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facilities used by our CMOs to manufacture our product candidates are subject to various regulatory requirements and may be subject to the inspection of the FDA or other regulatory authorities. We do not control the manufacturing process at our CMOs, and are completely dependent on them for compliance with current regulatory requirements. If we or our CMOs cannot successfully manufacture material that conforms to our specifications and the strict regulatory requirements of the FDA or comparable regulatory authorities in foreign jurisdictions, we may not be able to rely on their manufacturing facilities for manufacturing elements of our product candidates. In addition, we have limited control over the ability of our CMOs to maintain adequate quality control, quality assurance and qualified personnel. If the FDA or a comparable foreign regulatory authority finds our facilities or those of our CMOs inadequate for manufacturing our product candidates or if such facilities are subject to enforcement action in the future or are otherwise inadequate, we may need to find alternative manufacturing facilities, which would significantly impact our ability to develop, obtain regulatory approval for or market our product candidates.</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Additionally, our CMOs may experience manufacturing difficulties due to resource constraints or as a result of labor disputes or unstable political environments. If our CMOs were to encounter any of these difficulties, our ability to provide our product candidate to patients in clinical trials, or to provide product for the treatment of patients once approved, would be jeopardized.</w:t>
      </w:r>
    </w:p>
    <w:p>
      <w:pPr>
        <w:spacing w:after="0" w:line="176"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multiple manufacturing risks, any of which could substantially increase our costs and limit supply of our product candidates.</w:t>
      </w:r>
    </w:p>
    <w:p>
      <w:pPr>
        <w:spacing w:after="0" w:line="15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process of manufacturing immunomedicines, including our product candidates, is complex, time-consuming, highly regulated and subject to several risks, including:</w:t>
      </w:r>
    </w:p>
    <w:p>
      <w:pPr>
        <w:spacing w:after="0" w:line="162" w:lineRule="exact"/>
        <w:rPr>
          <w:sz w:val="20"/>
          <w:szCs w:val="20"/>
          <w:color w:val="auto"/>
        </w:rPr>
      </w:pPr>
    </w:p>
    <w:p>
      <w:pPr>
        <w:jc w:val="both"/>
        <w:ind w:left="1020" w:right="79" w:hanging="322"/>
        <w:spacing w:after="0" w:line="25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loss during the manufacturing process, including loss caused by contamination, equipment failure or improper installation or operation of equipment, or operator error.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such manufacturing facilities may need to be closed for an extended period of time to investigate and remedy the contamination;</w:t>
      </w:r>
    </w:p>
    <w:p>
      <w:pPr>
        <w:spacing w:after="0" w:line="187" w:lineRule="exact"/>
        <w:rPr>
          <w:rFonts w:ascii="Times New Roman" w:cs="Times New Roman" w:eastAsia="Times New Roman" w:hAnsi="Times New Roman"/>
          <w:sz w:val="18"/>
          <w:szCs w:val="18"/>
          <w:color w:val="auto"/>
        </w:rPr>
      </w:pPr>
    </w:p>
    <w:p>
      <w:pPr>
        <w:jc w:val="both"/>
        <w:ind w:left="1020" w:right="79" w:hanging="322"/>
        <w:spacing w:after="0" w:line="26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facilities in which our products are made could be adversely affected by equipment failures, labor and raw material shortages, including due to restrictions on the movement of people or goods, natural disasters, public health emergencies, power failures, other business disruptions and numerous other factors; and</w:t>
      </w:r>
    </w:p>
    <w:p>
      <w:pPr>
        <w:spacing w:after="0" w:line="179" w:lineRule="exact"/>
        <w:rPr>
          <w:rFonts w:ascii="Times New Roman" w:cs="Times New Roman" w:eastAsia="Times New Roman" w:hAnsi="Times New Roman"/>
          <w:sz w:val="18"/>
          <w:szCs w:val="18"/>
          <w:color w:val="auto"/>
        </w:rPr>
      </w:pPr>
    </w:p>
    <w:p>
      <w:pPr>
        <w:jc w:val="both"/>
        <w:ind w:left="1020" w:right="79" w:hanging="322"/>
        <w:spacing w:after="0" w:line="258"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affecting manufacturing operations for our products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w:t>
      </w:r>
    </w:p>
    <w:p>
      <w:pPr>
        <w:spacing w:after="0" w:line="183"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may also make changes to our manufacturing processes at various points during development, for a number of reasons, such as controlling costs, achieving scale, decreasing processing time, increasing manufacturing success rate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or other reasons. Such changes carry the risk that they will not achieve their intended objectives, and any of these changes could cause our product candidates to perform differently and affect the results of our ongoing or future clinical trials. In some circumstances, changes in the manufacturing process may require us to perform ex vivo comparability studies and to collect additional data from patients prior to undertaking more advanced clinical trials. For instance, changes in our process during the course of clinical development may require us to show the comparability of the product used in earlier clinical phases or at earlier portions of a trial to the product used in later clinical phases or later portions of the trial.</w:t>
      </w:r>
    </w:p>
    <w:p>
      <w:pPr>
        <w:spacing w:after="0" w:line="183"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suppliers for key materials used in our manufacturing processes, and the loss of these third-party suppliers or their inability to supply us with adequate materials could harm our business.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rely on third-party suppliers for certain materials and components required for the production of our product candidates. Our dependence on these third-party suppliers and the challenges we may face in obtaining adequate supplies of materials involve several risks, including limited control over pricing, availability, and quality and delivery schedules. As a small company, our negotiation leverage is limited, and we are likely to get lower priority than our competitors that are larger than we are. In addition, COVID-19 has disrupted global supply chains, including pharmaceutical and medical supply chains. We cannot be certain that our suppliers will continue to provide us with the quantities of the raw materials that we require or satisfy our anticipated specifications and quality requirements whether due to our size, COVID-19, or otherwise.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left="60" w:right="1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filed patent applications for our lead product candidates, but no patent has yet issued from these applications. If we are unable to obtain and maintain patent protection for our product candidates, or if the scope of the patent protection obtained is not sufficiently broad or robust, our competitors could develop and commercialize products similar or identical to ours, and our ability to successfully commercialize our product candidates may be adversely affected.</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product candidates. We and our licensors have sought, and intend to seek, to protect our proprietary position by filing patent applications in the United States and abroad related to our product candidates and technology that are important to our business. No patent has yet issued from our patent applications.</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that protect our technology or product candidates or that effectively prevent others from commercializing competitive technologies and product candidates. Because patent applications in the United States and most other countries are confidential for a period of time after filing, and some remain so until issued, we cannot be certain that we or our licensors were the first to file a patent application relating to any particular aspect of a product candidate. Furthermore, if third parties have filed such patent applications, we may challenge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their ownership, for example in a derivation proceeding before the USPTO, to determine who has the right to the claimed subject matter in the applications. Similarly, if our patent applications are challenged in a derivation proceeding, the USPTO may hold that a third-party is entitled to certain patent ownership rights instead of us. We may then be forced to seek a license from the third party that may not be available on commercially favorable terms, or at all.</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0"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technologies or products that do not infringe our patents.</w:t>
      </w:r>
    </w:p>
    <w:p>
      <w:pPr>
        <w:spacing w:after="0" w:line="176"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party to a license agreement with Yale University under which we acquired rights to intellectual property related to certain of our product candidates. If we breach our obligations under this agreement, the agreement could be terminated, which would adversely affect our business and prospects.</w:t>
      </w:r>
    </w:p>
    <w:p>
      <w:pPr>
        <w:spacing w:after="0" w:line="17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a party to a license agreement with Yale pursuant to which we in-license patents and technology for certain of our product candidates. This license imposes various diligence, milestone payment, royalty, insurance and other obligations on us. If we fail to comply with these and other obligations or otherwise materially breach this license agreement, Yale may have the right to terminate the license. If this agreement is terminated, we may not be able to develop, manufacture, market or sell the product candidates or products covered by the agreement, or we would have to negotiate a new or reinstated agreement, which may not be available to us on equally favorable terms, or at all.</w:t>
      </w:r>
    </w:p>
    <w:p>
      <w:pPr>
        <w:spacing w:after="0" w:line="183"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7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spacing w:after="0" w:line="185" w:lineRule="exact"/>
        <w:rPr>
          <w:sz w:val="20"/>
          <w:szCs w:val="20"/>
          <w:color w:val="auto"/>
        </w:rPr>
      </w:pPr>
    </w:p>
    <w:p>
      <w:pPr>
        <w:ind w:left="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or applications will be due to be paid to the USPTO and various government patent agencies outside of the United States over the lifetime of our licensed patents or applications and any patent rights we own or may own in the future. We rely, in part, on our outside counsel or our licensing partners to pay these fees due to the USPTO and to non-U.S. patent agencies. The USPTO and various non-U.S. government patent agencies require compliance with several procedural, documentary, fee payment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Filing, prosecuting and enforcing patents on product candidates in all countries throughout the world would be prohibitively expensive, and our intellectual property rights in some countries outside the United States are and could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remain less extensive than those in the United States. In addition, the laws of some foreign countries do not protect intellectual property rights to the same extent as federal and state laws in the United States. Consequently, we may be less likely to be able to prevent third parties from infringing our patents in all countries outside the United States, or from selling or importing products that infringe our patents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83" w:lineRule="exact"/>
        <w:rPr>
          <w:sz w:val="20"/>
          <w:szCs w:val="20"/>
          <w:color w:val="auto"/>
        </w:rPr>
      </w:pPr>
    </w:p>
    <w:p>
      <w:pPr>
        <w:ind w:left="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product candidates.</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were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included a number of significant changes that affected the way patent applications are prosecuted and also may affect patent litigation. These include allowing third-party submission of prior art to the USPTO during patent prosecution and additional procedures to attack the validity or ownership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Additional changes in patent law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9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Recent rulings from the U.S. Court of Appeals for the Federal Circuit and the U.S. Supreme Court have narrowed the scope of patent protection available in certain circumstances and weakened the rights of patent owners in certain situations. This combination of events has created uncertainty with respect to the validity and enforceability of patents.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185"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which could be expensive, time-consuming and unsuccessful.</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or we may be required to defend against claims of infringement. Countering infringement or unauthorized use claims or defending against claims of infringement can be expensive and time-consuming.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marketing, sales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property portfolios. Uncertainties resulting from the initiation and continuation of patent litigation or other proceedings could have a material adverse effect on our ability to compete in the marketplace.</w:t>
      </w:r>
    </w:p>
    <w:p>
      <w:pPr>
        <w:spacing w:after="0" w:line="16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own, develop or license.</w:t>
      </w:r>
    </w:p>
    <w:p>
      <w:pPr>
        <w:spacing w:after="0" w:line="188"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we or one of our licensing partners initiate legal proceedings against a third party to enforce any patent that is issued covering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In addition, patent validity challenges may, under certain circumstances, be based upon non-statutory obviousness-type double patenting, which, if successful, could result in a finding that the claims are invalid for obviousness-type double patenting or the loss of patent term, including a patent term adjustment granted by the USPTO, if a terminal disclaimer is filed to obviate a finding of obviousness-type double patenting.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and equivalent proceedings in foreign jurisdictions. Such proceedings could result in the revocation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cancellation of or amendment to our patents in such a way that they no longer cover our product candidates. The outcome following legal assertions of invalidity and unenforceability is unpredictable. We cannot be certain that there is no invalidating prior art of which the patent examiner and we or our licensing partners were unaware during prosecution. If a defendant were to prevail on a legal assertion of invalidity or unenforceability, we could lose part, and perhaps all, of the patent protection on one or more of our product candidates. Such a loss of patent protection could have a material adverse impact on our business.</w:t>
      </w:r>
    </w:p>
    <w:p>
      <w:pPr>
        <w:spacing w:after="0" w:line="191"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including portions of our FIND-IO platform. However, trade secrets can be difficult to protect, and some courts inside and outside the United States are less willing or unwilling to protect trade secrets.</w:t>
      </w:r>
    </w:p>
    <w:p>
      <w:pPr>
        <w:spacing w:after="0" w:line="183" w:lineRule="exact"/>
        <w:rPr>
          <w:sz w:val="20"/>
          <w:szCs w:val="20"/>
          <w:color w:val="auto"/>
        </w:rPr>
      </w:pPr>
    </w:p>
    <w:p>
      <w:pPr>
        <w:ind w:left="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 and financial condition.</w:t>
      </w:r>
    </w:p>
    <w:p>
      <w:pPr>
        <w:spacing w:after="0" w:line="17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any collaborators to develop, manufacture, market and sell our product candidates and use our proprietary technologies without infringing the proprietary rights and intellectual property of third parties. We cannot provide any assurances that third-party patents do not exist which might be enforced against our current manufacturing methods, product candidates or future methods or products, resulting in either an injunction prohibiting our manufacture or sales, or, with respect to our sales, an obligation on our part to pay royalties or other forms of compensation to third parties.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post 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before the USPTO. The risks of being involved in such litigation and proceedings may also increase as our product candidates approach commercialization and as we gain greater visibility as a public company.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materially and adversely affect our ability to commercialize any of our product candidates or technologies covered by the asserted third-party patents.</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candidates.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86"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Others may claim an ownership interest in our intellectual property and our product candidates, which could expose us to litigation and have a significant adverse effect on our prospects.</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While we are presently unaware of any claims or assertions by third parties with respect to our patents or other intellectual property, we cannot guarantee that a third party will not assert a claim or an interest in any of such patents or intellectual property. For example, a third party may claim an ownership interest in one or more of our, or our licensors’, patents or other proprietary or intellectual property rights. A third party could bring legal actions against us to seek monetary damages or enjoin clinical testing, manufacturing or marketing of the affected product candidate or product. If we become involved in any litigation, it could consume a substantial portion of our resources and cause a significant diversion of effort by our technical and management personnel. If any such action is successful, in addition to any potential liability for damages, we could be required to obtain a license to continue to manufacture or market the affected product candidate or product, in which case we could be required to pay substantial royalties or grant cross-licenses to patents. We cannot, however, assure you that any such license would be available on acceptable terms, if at all. Ultimately, we could be prevented from commercializing a product, or forced to cease some aspect of our business operations as a result of claims of patent infringement or violation of other intellectual property rights. Further, the outcome of intellectual property litigation is subject to uncertainties that cannot be adequately quantified in advance, including the demeanor and credibility of witnesses and the identity of any adverse party. This is especially true in intellectual property cases, which may turn on the testimony of experts as to technical facts upon which experts may reasonably disagree. Any of the foregoing could have a material adverse effect on our business, financial condition, results of operations or prospects.</w:t>
      </w:r>
    </w:p>
    <w:p>
      <w:pPr>
        <w:spacing w:after="0" w:line="191"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the value of our technology and products could be adversely affected.</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Trade secrets and know-how can be difficult to protect. To maintain the confidentiality of trade secrets and proprietary information, we enter into confidentiality agreements with our employees, consultants, collaborators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also provide that any inventions conceived by the individual in the course of rendering services to us shall be our exclusive property. However, we cannot guarantee that we have entered into such agreements with each party that may have or have had access to our trade secrets or proprietary technology and processes, and individuals with whom we have these agreements may not comply with their terms. Thus, despite such agreement, there can be no assurance that such inventions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will not be assigned to third parties.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 We also seek to preserve the integrity and confidentiality of our trade secrets by other means, including maintaining physical security of our premises and physical and electronic security of our information technology systems. However, these security measures may be breached, and we may be forced to bring claims against third parties, or defend claims that they may bring against us, to determine the ownership of what we regard as our intellectual property.</w:t>
      </w:r>
    </w:p>
    <w:p>
      <w:pPr>
        <w:spacing w:after="0" w:line="19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Adequate remedies may not exist in the event of unauthorized use or disclosure of our proprietary information.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others may independently discover or develop our trade secrets and proprietary information, and the existence of our own trade secrets affords no protection against such independent discovery. For example, a public presentation in the scientific or popular press on the properties of our product candidates could motivate a third party, despite any perceived difficulty, to assemble a team of scientists having backgrounds similar to those of our employees to attempt to independently reverse engineer or otherwise duplicate our antibody technologies to replicate our success.</w:t>
      </w:r>
    </w:p>
    <w:p>
      <w:pPr>
        <w:spacing w:after="0" w:line="184"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or that patents and applications we have filed to protect inventions of these employees, even those related to one or more of our product candidates, are rightfully owned by their former or current employer. Litigation may be necessary to defend against these claims. For example, in 2020, a lawsuit was filed against our Chief Executive Officer alleging that he breached contractual and fiduciary duties to a third party by, among other things, improperly utilizing confidential information to benefit the Company’s business, including with respect to our discovery efforts. While the original complaint was voluntarily dismissed by the plaintiffs, there can be no assurance that the same or similar claims may not be brought against our Chief Executive Officer or us. If we fail in defending claims of misappropriation and similar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93"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Any registered trademarks or trade names may be challenged,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76" w:lineRule="exact"/>
        <w:rPr>
          <w:sz w:val="20"/>
          <w:szCs w:val="20"/>
          <w:color w:val="auto"/>
        </w:rPr>
      </w:pPr>
    </w:p>
    <w:p>
      <w:pPr>
        <w:ind w:left="1020" w:right="79" w:hanging="322"/>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 candidates but that are not covered by the claims of the patents that we own or license or may own in the future;</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partners or collaborators, might not have been the first to make the inventions covered by the issued patent or pending patent application that we license or may own in the future;</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partners or collaborators, might not have been the first to file patent applications covering certain of our or their inventions;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in the future will not lead to issued patents;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61"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and</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62"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225" w:lineRule="exact"/>
        <w:rPr>
          <w:sz w:val="20"/>
          <w:szCs w:val="20"/>
          <w:color w:val="auto"/>
        </w:rPr>
      </w:pPr>
    </w:p>
    <w:p>
      <w:pPr>
        <w:ind w:left="60" w:right="1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rely or will rely on third parties to help conduct our ongoing and planned preclinical studies and clinical trials for NC318, NC410, NC762 and any future product candidates we develop. If these third parties do not successfully carry out their contractual duties, comply with regulatory requirements or meet expected deadlines, we may not be able to obtain marketing approval for or commercialize NC318, NC410, NC762 and any future product candidates we develop, and our business could be materially harmed.</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currently do not have the ability to independently conduct preclinical studies that comply with GLP requirements. We also do not currently have the ability to independently conduct any clinical trials. The FDA and regulatory authorities in other jurisdictions require us to comply with regulations and standards, including cGCP, or requirements for conducting, monitoring, recording and reporting the results of clinical trials, in order to ensure that the data and results are scientifically credible and accurate and that the trial subjects are adequately informed of the potential risks of participating in clinical trials. We rely on medical institutions, clinical investigators, contract laboratories and other third parties, such as CROs, to conduct GLP-compliant preclinical studies and cGCP-compliant clinical trials on our product candidates properly and on time. While we have agreements governing their activities, we control only certain aspects of their activities and have limited influence over their actual performance. The third parties with whom we contract for execution of our GLP-compliant preclinical studies and our cGCP-compliant clinical trials play a significant role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conduct of these studies and trials and the subsequent collection and analysis of data. These third parties are not our employees and, except for restrictions imposed by our contracts with such third parties, we have limited ability to control the amount or timing of resources that they devote to our current or future product candidates. Although we rely on these third parties to conduct our GLP-compliant preclinical studies and cGCP-compliant clinical trials, we remain responsible for ensuring that each of our preclinical studies and clinical trials is conducted in accordance with its investigational plan and protocol and applicable laws and regulations, and our reliance on the CROs does not relieve us of our regulatory responsibilities.</w:t>
      </w:r>
    </w:p>
    <w:p>
      <w:pPr>
        <w:spacing w:after="0" w:line="18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Further, under certain circumstances, these third parties may terminate their agreements with us upon as little as 10 days’ prior written notice. Some of these agreements may also be terminated by such third parties under certain other circumstances. If the third parties conducting our preclinical studies or our clinical trials do not adequately perform their contractual duties or obligations, experience significant business challenges, disruptions or failures, including as a result of natural disasters or public health emergencies such as the coronavirus, do not meet expected deadlines, terminate their agreements with us or need to be replaced, or if the quality or accuracy of the data they obtain is compromised due to their failure to adhere to our protocols or to GLP and cGCP, or for any other reason, we may need to enter into new arrangements with alternative third parties. This could be difficult, costly or impossible, and our preclinical studies or clinical trials may need to be extended, delayed, terminated or repeated. As a result, we may not be able to obtain regulatory approval in a timely fashion, or at all, for the applicable product candidate, our financial results and the commercial prospects for our product candidates would be harmed, our costs could increase and our ability to generate revenues could be delayed.</w:t>
      </w:r>
    </w:p>
    <w:p>
      <w:pPr>
        <w:spacing w:after="0" w:line="193" w:lineRule="exact"/>
        <w:rPr>
          <w:sz w:val="20"/>
          <w:szCs w:val="20"/>
          <w:color w:val="auto"/>
        </w:rPr>
      </w:pPr>
    </w:p>
    <w:p>
      <w:pPr>
        <w:ind w:left="6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depend on Yale or other third-party collaborators for the discovery, development and commercialization of certain of our current and future product candidates. If our collaborations are not successful, we may not be able to capitalize on the market potential of these product candidates.</w:t>
      </w:r>
    </w:p>
    <w:p>
      <w:pPr>
        <w:spacing w:after="0" w:line="17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agreed pursuant to the SRA with Yale to provide funding for a research program aimed at discovering new targets for immunomedicines. We have and expect to continue to have limited control over the amount and timing of resources that are employed in the research program. The research program may not be successful, and as a result, we may not be able to identify, develop and commercialize products from this collaboration.</w:t>
      </w:r>
    </w:p>
    <w:p>
      <w:pPr>
        <w:spacing w:after="0" w:line="180"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In the future, we may form or seek other strategic alliances, joint ventures or collaborations, or enter into additional licensing arrangements with third parties that we believe will complement or augment our development and commercialization efforts with respect to product candidates we develop.</w:t>
      </w:r>
    </w:p>
    <w:p>
      <w:pPr>
        <w:spacing w:after="0" w:line="1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collaborations pose, and potential future collaborations involving our product candidates may pose, the following risks to us:</w:t>
      </w:r>
    </w:p>
    <w:p>
      <w:pPr>
        <w:spacing w:after="0" w:line="162" w:lineRule="exact"/>
        <w:rPr>
          <w:sz w:val="20"/>
          <w:szCs w:val="20"/>
          <w:color w:val="auto"/>
        </w:rPr>
      </w:pPr>
    </w:p>
    <w:p>
      <w:pPr>
        <w:ind w:left="1020" w:right="79" w:hanging="322"/>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discretion in determining the efforts and resources that they will apply to these collaborations;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w:t>
      </w:r>
    </w:p>
    <w:p>
      <w:pPr>
        <w:spacing w:after="0" w:line="161" w:lineRule="exact"/>
        <w:rPr>
          <w:rFonts w:ascii="Times New Roman" w:cs="Times New Roman" w:eastAsia="Times New Roman" w:hAnsi="Times New Roman"/>
          <w:sz w:val="18"/>
          <w:szCs w:val="18"/>
          <w:color w:val="auto"/>
        </w:rPr>
      </w:pPr>
    </w:p>
    <w:p>
      <w:pPr>
        <w:jc w:val="both"/>
        <w:ind w:left="1020" w:right="79" w:hanging="322"/>
        <w:spacing w:after="0" w:line="261"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enforce, maintain or defend our intellectual property rights or may use our proprietary information in a way that gives rise to actual or threatened litigation or that could jeopardize or invalidate our intellectual property or proprietary information, exposing us to potential litigation or other intellectual property proceedings;</w:t>
      </w:r>
    </w:p>
    <w:p>
      <w:pPr>
        <w:spacing w:after="0" w:line="179"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61"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79" w:hanging="322"/>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161"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present or future collaborator were to be involved in a business combination, the continued pursuit and emphasis on our product development or commercialization program under such collaboration could be delayed, diminished or terminated; and</w:t>
      </w:r>
    </w:p>
    <w:p>
      <w:pPr>
        <w:spacing w:after="0" w:line="17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restrict our right to independently pursue new product candidates.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net income that justifies such transaction. Any of the factors set forth above and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Effective March 3, 2020, Lilly terminated the Lilly Agreement, which was focused on using our FIND-IO platform to identify novel oncology targets for additional research and drug discovery by ourselves and Lilly. The termination of the Lilly Agreement prevented us from receiving future research and development support payments, option exercise fees, development and regulatory milestone payments, sales milestone payments or royalties under the agreement. In the event a present or future collaborator terminates their agreement with us, we would be prevented from receiving the benefits of any such agreement, which could have a materially adverse effect on our results of operations.</w:t>
      </w:r>
    </w:p>
    <w:p>
      <w:pPr>
        <w:spacing w:after="0" w:line="183"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advancement of our product candidates and development programs and the potential commercialization of our current and future product candidates will require substantial additional cash to fund expenses. For some of our current or future product candidates, we may decide to collaborate with additional pharmaceutical and biotechnology companies with respect to development and potential commercialization. Any of these relationships may require us to incur non-recurring and other charges, increase our near and long term expenditures, issue securities that dilute our existing stockholders, or disrupt our management and business.</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strategic partners and the negotiation process is time-consuming and complex. Whether we reach a definitive agreement for other collaborations will depend, among other things, upon our assessment of the collaborator’s resources and expertise, the terms and conditions of the proposed collaboration and the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192" w:lineRule="exact"/>
        <w:rPr>
          <w:sz w:val="20"/>
          <w:szCs w:val="20"/>
          <w:color w:val="auto"/>
        </w:rPr>
      </w:pPr>
    </w:p>
    <w:p>
      <w:pPr>
        <w:jc w:val="both"/>
        <w:ind w:left="60" w:right="59" w:firstLine="648"/>
        <w:spacing w:after="0" w:line="289" w:lineRule="auto"/>
        <w:rPr>
          <w:sz w:val="20"/>
          <w:szCs w:val="20"/>
          <w:color w:val="auto"/>
        </w:rPr>
      </w:pPr>
      <w:r>
        <w:rPr>
          <w:rFonts w:ascii="Times New Roman" w:cs="Times New Roman" w:eastAsia="Times New Roman" w:hAnsi="Times New Roman"/>
          <w:sz w:val="17"/>
          <w:szCs w:val="17"/>
          <w:color w:val="auto"/>
        </w:rPr>
        <w:t>Further, we may not be successful in our efforts to establish a strategic partnership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58"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may also be restricted under existing collaboration agreements from entering into future agreements on certain terms with potential collaborators. Such exclusivity could limit our ability to enter into strategic collaborations with future collaborators. In addition, there have been a significant number of recent business combinations among large pharmaceutical companies that have resulted in a reduced number of potential future collaborators.</w:t>
      </w:r>
    </w:p>
    <w:p>
      <w:pPr>
        <w:spacing w:after="0" w:line="18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or delay its development program or one or more of our other development programs, delay its potential commercialization or reduce the scope of any marketing or sales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highly dependent on members of our executive team. The loss of the services of any of them may adversely impact the achievement of our objectives. Any of our executive officers could leave our employment at any time, as all of our employees are “at-will” employees, and we do not have “key person” insurance on them. The loss of the services of our President and Chief Executive Officer Michael Richman, our scientific founder Dr. Lieping Chen who serves as a consultant to us or one or more of our other executive officers could impede the achievement of our research, development and commercialization objectives. For example, our former chief medical officer resigned effective August 4, 2020, and a new chief medical officer was appointed effective January 11, 2021. This transition could delay or otherwise adversely impact our development efforts for NC318 and our other product candidates.</w:t>
      </w:r>
    </w:p>
    <w:p>
      <w:pPr>
        <w:spacing w:after="0" w:line="192" w:lineRule="exact"/>
        <w:rPr>
          <w:sz w:val="20"/>
          <w:szCs w:val="20"/>
          <w:color w:val="auto"/>
        </w:rPr>
      </w:pPr>
    </w:p>
    <w:p>
      <w:pPr>
        <w:jc w:val="both"/>
        <w:ind w:left="60" w:right="59" w:firstLine="648"/>
        <w:spacing w:after="0" w:line="289" w:lineRule="auto"/>
        <w:rPr>
          <w:sz w:val="20"/>
          <w:szCs w:val="20"/>
          <w:color w:val="auto"/>
        </w:rPr>
      </w:pPr>
      <w:r>
        <w:rPr>
          <w:rFonts w:ascii="Times New Roman" w:cs="Times New Roman" w:eastAsia="Times New Roman" w:hAnsi="Times New Roman"/>
          <w:sz w:val="17"/>
          <w:szCs w:val="17"/>
          <w:color w:val="auto"/>
        </w:rPr>
        <w:t>We continue to work with Dr. Chen on discovering novel immunomedicines through his consulting agreement and the SRA with Yale. If we are no longer able to leverage our relationships with Dr. Chen and Yale, our ability to discover additional targets for immunomedicines may be impeded, which may adversely impact the achievement of our objectives.</w:t>
      </w:r>
    </w:p>
    <w:p>
      <w:pPr>
        <w:spacing w:after="0" w:line="158" w:lineRule="exact"/>
        <w:rPr>
          <w:sz w:val="20"/>
          <w:szCs w:val="20"/>
          <w:color w:val="auto"/>
        </w:rPr>
      </w:pPr>
    </w:p>
    <w:p>
      <w:pPr>
        <w:jc w:val="both"/>
        <w:ind w:left="60" w:right="59" w:firstLine="648"/>
        <w:spacing w:after="0" w:line="272" w:lineRule="auto"/>
        <w:rPr>
          <w:sz w:val="20"/>
          <w:szCs w:val="20"/>
          <w:color w:val="auto"/>
        </w:rPr>
      </w:pPr>
      <w:r>
        <w:rPr>
          <w:rFonts w:ascii="Times New Roman" w:cs="Times New Roman" w:eastAsia="Times New Roman" w:hAnsi="Times New Roman"/>
          <w:sz w:val="17"/>
          <w:szCs w:val="17"/>
          <w:color w:val="auto"/>
        </w:rPr>
        <w:t>Recruiting and retaining qualified employees, consultants and advisors for our business, including scientific and technical personnel, will also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preclinical studies, clinical trials or applications for marketing approval may make it more challenging to recruit and retain qualified personnel. The inability to recruit, or the loss of services of certain executives, key employees, consultants or advisors, may impede the progress of our research, development and commercialization objectives and have a material adverse effect on our business, financial condition, results of operations and growth prospects.</w:t>
      </w:r>
    </w:p>
    <w:p>
      <w:pPr>
        <w:spacing w:after="0" w:line="16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biotechnology industry is intensely competitive and subject to rapid and significant technological change. Our current or future product candidates may face competition from major pharmaceutical companies, specialty pharmaceutical companies, universities and other research institutions and from products and therapies that currently exist or are being developed, some of which products and therapies we may not currently know about.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and they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FDA or other regulatory approval or discovering, developing and commercializing products in our field before we do, which could result in our competitors establishing a strong market position before we are able to enter the market.</w:t>
      </w:r>
    </w:p>
    <w:p>
      <w:pPr>
        <w:spacing w:after="0" w:line="196"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Our competitors may obtain FDA or other regulatory approval of their product candidates more rapidly than we may or may obtain patent protection or other intellectual property rights that limit our ability to develop or commercialize our product candidates or platform technologies. Our competitors may also develop drugs or discovery platforms that are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more effective, more convenient, more widely used or less costly than our product candidates or our FIND-IO platform or, in the case of drugs, have a better safety profile than our product candidates. These competitors may also be more successful than us in manufacturing and marketing their products, and have significantly greater financial resources and expertise in research and development.</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There are a large number of companies developing or marketing treatments for cancer, including many major pharmaceutical and biotechnology companies. Currently marketed oncology drugs and therapeutics range from traditional cancer therapies, including chemotherapy, to antibody-drug conjugates, such as Genentech’s Kadcyla, to immune checkpoint inhibitors targeting CTLA-4, such as BMS’ Yervoy, and PD-1/PD-L1, such as BMS’ Opdivo, Merck &amp; Co.’s Keytruda and Genentech’s Tecentriq, to T cell-engager immunotherapies, such as Amgen’s Blincyto. Companies are also developing treatments targeting the Siglec family of proteins, such as Celldex Therapeutics and Palleon Pharmaceuticals, both of which are currently engaged in preclinical studies. In addition, numerous compounds are in clinical development for cancer treatment. Many of these companies are well-capitalized and have significant clinical experience. See “Business —Competition.”</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Smaller and other early stage companies may also prove to be significant competitors. These third parties compete with us in recruiting and retaining qualified scientific and management personnel, establishing clinical trial sites and patient registration for clinical trials, as well as in acquiring technologies complementary to, or necessary for, our current and future product candidates. In addition, the biopharmaceutical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have a broader label, are marketed more effectively, are reimbursed or are less expensive than any products that we may develop. Our competitors may also obtain patent protection or other intellectual property rights that limit our ability to develop or commercialize our product candidates or platform technologies. Even if our product candidates achieve marketing approval, they may be priced at a significant premium over competitive products if any have been approved by then, resulting in reduced competitiveness. If we do not compete successfully, we may not generate or derive sufficient revenue from any product candidate for which we obtain marketing approval and may not become or remain profitable.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of our organization, and we may experience difficulties in managing this growth.</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As our development plans and strategies develop, we expect to need additional managerial, operational, marketing, sales, financial and other personnel. Future growth would impose significant added responsibilities on members of management, including:</w:t>
      </w:r>
    </w:p>
    <w:p>
      <w:pPr>
        <w:spacing w:after="0" w:line="176" w:lineRule="exact"/>
        <w:rPr>
          <w:sz w:val="20"/>
          <w:szCs w:val="20"/>
          <w:color w:val="auto"/>
        </w:rPr>
      </w:pPr>
    </w:p>
    <w:p>
      <w:pPr>
        <w:ind w:left="1020" w:hanging="322"/>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225"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NC318, NC410, NC762 and any future product candidates we develop, while complying with our contractual obligations to contractors and other third parties; and</w:t>
      </w:r>
    </w:p>
    <w:p>
      <w:pPr>
        <w:spacing w:after="0" w:line="17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future financial performance and our ability to advance development of and, if approved, commercialize NC318, NC410, NC762 and any future product candidates we develop will depend, in part, on our ability to effectively manage any future growth, and our management may have to divert a disproportionate amount of its attention away from day-to-day activities in order to devote a substantial amount of time to managing these growth activities.</w:t>
      </w:r>
    </w:p>
    <w:p>
      <w:pPr>
        <w:spacing w:after="0" w:line="180" w:lineRule="exact"/>
        <w:rPr>
          <w:sz w:val="20"/>
          <w:szCs w:val="20"/>
          <w:color w:val="auto"/>
        </w:rPr>
      </w:pPr>
    </w:p>
    <w:p>
      <w:pPr>
        <w:jc w:val="both"/>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any current or future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or otherwise advance our business. We cannot assure you that we will be able to manage our existing consultants or find other competent outside contractors and consultants on economically reasonable terms, or at all.</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NC318, NC410, NC762 and any future product candidates we develop and, accordingly, may not achieve our research, development and commercialization goals.</w:t>
      </w:r>
    </w:p>
    <w:p>
      <w:pPr>
        <w:spacing w:after="0" w:line="176" w:lineRule="exact"/>
        <w:rPr>
          <w:sz w:val="20"/>
          <w:szCs w:val="20"/>
          <w:color w:val="auto"/>
        </w:rPr>
      </w:pPr>
    </w:p>
    <w:p>
      <w:pPr>
        <w:ind w:left="6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marketing, sales and distribution capabilities for NC318, NC410, NC762 or any other product candidate that may receive regulatory approval, we may not be successful in commercializing those product candidates if and when they are approved.</w:t>
      </w:r>
    </w:p>
    <w:p>
      <w:pPr>
        <w:spacing w:after="0" w:line="175" w:lineRule="exact"/>
        <w:rPr>
          <w:sz w:val="20"/>
          <w:szCs w:val="20"/>
          <w:color w:val="auto"/>
        </w:rPr>
      </w:pPr>
    </w:p>
    <w:p>
      <w:pPr>
        <w:jc w:val="both"/>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do not have sales or marketing infrastructure. To achieve commercial success for NC318, NC410, NC762 and any other product candidate for which we may obtain marketing approval, we will need to establish a sales and marketing organization. In the future, we expect to build a focused sales and marketing infrastructure to market some of our product candidates in the United States, if and when they are approved. There are risks involved with establishing our own marketing, sales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Factors that may inhibit our efforts to market our products on our own include:</w:t>
      </w:r>
    </w:p>
    <w:p>
      <w:pPr>
        <w:spacing w:after="0" w:line="225" w:lineRule="exact"/>
        <w:rPr>
          <w:sz w:val="20"/>
          <w:szCs w:val="20"/>
          <w:color w:val="auto"/>
        </w:rPr>
      </w:pPr>
    </w:p>
    <w:p>
      <w:pPr>
        <w:ind w:left="1020" w:hanging="322"/>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in order to educate physicians about our product candidates, once approved;</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If we are unable to establish our own marketing, sales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marketing, sales and distribution capabilities successfully, either on our own or in collaboration with third parties, we will not be successful in commercializing our product candidates.</w:t>
      </w:r>
    </w:p>
    <w:p>
      <w:pPr>
        <w:spacing w:after="0" w:line="188"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our product candidates.</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trials and may face greater risk if we commercialize any products that we develop. Product liability claims may be brought against us by subjects enrolled in our trials, patients, healthcare providers or others using, administering or selling our products. If we cannot successfully defend ourselves against such claims, we could incur substantial liabilities. Regardless of merit or eventual outcome, liability claims may result in:</w:t>
      </w:r>
    </w:p>
    <w:p>
      <w:pPr>
        <w:spacing w:after="0" w:line="183" w:lineRule="exact"/>
        <w:rPr>
          <w:sz w:val="20"/>
          <w:szCs w:val="20"/>
          <w:color w:val="auto"/>
        </w:rPr>
      </w:pPr>
    </w:p>
    <w:p>
      <w:pPr>
        <w:ind w:left="1020" w:hanging="322"/>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 we may develop;</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trial participants;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322"/>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 or patients;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candidates that we may develop.</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While we currently hold trial liability insurance coverage consistent with industry standards, the amount of coverage may not adequately cover all liabilities that we may incur. We may not be able to maintain insurance coverage at a reasonable cost or in an amount adequate to satisfy any liability that may arise.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9" w:lineRule="exact"/>
        <w:rPr>
          <w:sz w:val="20"/>
          <w:szCs w:val="20"/>
          <w:color w:val="auto"/>
        </w:rPr>
      </w:pPr>
    </w:p>
    <w:p>
      <w:pPr>
        <w:ind w:left="6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to offset future taxable income may be subject to certain limitations.</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 As of December 31, 2020, we had federal and state net operating loss carryforwards of $103.2 million and $105 million, respectively. Certain federal and state net operating loss carryforwards will begin to expire, if not utilized, by 2036. Limitations imposed by the applicable jurisdictions on our ability to utilize net operating loss carryforwards could cause income taxes to be paid earlier than would be paid if such limitations were not in effect and could cause such net operating loss carryforwards to expire unused, in each case reducing or eliminating the benefit of such net operating loss carryforwards. Furthermore, we may not be able to generate sufficient taxable income to utilize our net operating loss carryforwards before they expire. If any of these events occur, we may not derive some or all of the expected benefits from our net operating loss carryforwards. In addition, we may experience ownership changes in the future as a result of subsequent shifts in our stock ownership, some of which may be outside of our control. As a result, even if we earn net taxable income, our ability to use our net operating loss and tax credit carryforwards may be materially limited, which could harm our future operating results by effectively increasing our future tax obligations.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continue to be volatile and fluctuate substantially.</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stock price has been and is likely to remain volatile. The stock market in general, and the market for biopharmaceutical companies in particular, have experienced extreme volatility that has often been unrelated to the operating performance or prospects of particular companies. As a result of this volatility, you may not be able to sell your common stock at or above a recently reported price, or at all. The market price for our common stock may be influenced by many factors, including:</w:t>
      </w:r>
    </w:p>
    <w:p>
      <w:pPr>
        <w:spacing w:after="0" w:line="183" w:lineRule="exact"/>
        <w:rPr>
          <w:sz w:val="20"/>
          <w:szCs w:val="20"/>
          <w:color w:val="auto"/>
        </w:rPr>
      </w:pPr>
    </w:p>
    <w:p>
      <w:pPr>
        <w:ind w:left="1020" w:right="79" w:hanging="322"/>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our ongoing or future clinical trials, or changes in the development status of our product candidates;</w:t>
      </w:r>
    </w:p>
    <w:p>
      <w:pPr>
        <w:spacing w:after="0" w:line="161"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7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clinical trials;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of our product candidates;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our product candidates;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our product candidates;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our target markets;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 candidates or our competitors’ products or product candidates;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applicable to our product candidates, including but not limited to clinical trial requirements for approvals;</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any approved product or inability to do so at acceptable prices;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our product candidates or clinical development programs;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product candidates;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 or publications of research reports about us or our industry;</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annual or quarterly financial results or those of companies that are perceived by investors to be similar to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322"/>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directors, officers or their affiliated funds or our other stockholders;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 or unrelated to our operating performance or prospects.</w:t>
      </w:r>
    </w:p>
    <w:p>
      <w:pPr>
        <w:spacing w:after="0" w:line="16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Nasdaq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material adverse impact on the market price of our common stock.</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As a newly public company, we have only limited coverage by equity research analysts. If additional analysts do not commence coverage of us, the trading price of our stock could decrease. In addition, if one or more of the analysts covering our business issue adverse reports about us or downgrade their evaluations of our stock, the price of our stock could decline. If one or more of these analysts cease to cover our stock or fail to publish reports on us regularly, we could lose visibility in the market for our stock, which, in turn, could cause our stock price to decline.</w:t>
      </w:r>
    </w:p>
    <w:p>
      <w:pPr>
        <w:spacing w:after="0" w:line="18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 even if our business is doing well.</w:t>
      </w:r>
    </w:p>
    <w:p>
      <w:pPr>
        <w:spacing w:after="0" w:line="15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market, the market price of our common stock could decline significantly.</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have filed registration statements on Form S-8 shares of common stock that are either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and the restrictions of Rule 144 in the case of our affiliates.</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addition, the holders of certain shares of our common stock outstanding as of December 31, 2020 are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 Any sales of these securities, or the perception that they will be sold, could have a material adverse effect on the market price of our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current beneficial owners of 5% or more of our common stock and their respective affiliates exercise significant influence over our company, which limits your ability to influence corporate matters and could delay or prevent a change in corporate control.</w:t>
      </w:r>
    </w:p>
    <w:p>
      <w:pPr>
        <w:spacing w:after="0" w:line="17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executive officers, directors and current beneficial owners of 5% or more of our common stock and their respective affiliates beneficially own, in the aggregate, a majority of our outstanding common stock.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This concentration of ownership might adversely affect the market price of our common stock by:</w:t>
      </w:r>
    </w:p>
    <w:p>
      <w:pPr>
        <w:spacing w:after="0" w:line="187" w:lineRule="exact"/>
        <w:rPr>
          <w:sz w:val="20"/>
          <w:szCs w:val="20"/>
          <w:color w:val="auto"/>
        </w:rPr>
      </w:pPr>
    </w:p>
    <w:p>
      <w:pPr>
        <w:ind w:left="1020" w:hanging="322"/>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221" w:lineRule="exact"/>
        <w:rPr>
          <w:sz w:val="20"/>
          <w:szCs w:val="20"/>
          <w:color w:val="auto"/>
        </w:rPr>
      </w:pPr>
    </w:p>
    <w:p>
      <w:pPr>
        <w:ind w:left="60" w:right="9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now and may in the future be subject to securities litigation, which can be expensive and could divert management’s attention.</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September 21, 2020, a putative stockholder class action was filed in the U.S. District Court for the Southern District of New York styled </w:t>
      </w:r>
      <w:r>
        <w:rPr>
          <w:rFonts w:ascii="Times New Roman" w:cs="Times New Roman" w:eastAsia="Times New Roman" w:hAnsi="Times New Roman"/>
          <w:sz w:val="18"/>
          <w:szCs w:val="18"/>
          <w:i w:val="1"/>
          <w:iCs w:val="1"/>
          <w:color w:val="auto"/>
        </w:rPr>
        <w:t>Ye Zhou v. NextCure, Inc., et. al.</w:t>
      </w:r>
      <w:r>
        <w:rPr>
          <w:rFonts w:ascii="Times New Roman" w:cs="Times New Roman" w:eastAsia="Times New Roman" w:hAnsi="Times New Roman"/>
          <w:sz w:val="18"/>
          <w:szCs w:val="18"/>
          <w:color w:val="auto"/>
        </w:rPr>
        <w:t>, Case 1:20-cv-0772 (S.D.N.Y.). On February 26, 2021, the Lead Plaintiff filed a consolidated amended complaint that asserts claims against us, certain of our officers and members of our board of directors, and the underwriters in our May 2019 initial public offering and November 2019 underwritten secondary public offering. The complaint alleges that the defendants violated provisions of the Securities Exchange Act of 1934, as amended, and the Securities Act of 1933, as amended, with respect to statements made regarding our lead product candidate, NC318, and the FIND-IO platform. The complaint seeks unspecified damages on behalf of a purported class of purchasers of our securities between May 8, 2019 and July 14, 2020. Defendants intend to move to dismiss the consolidated amended complaint and discovery is stayed pending resolution of that motion. We intend to vigorously defend the action. However, whether or not the claims are successful, this type of litigation is often expensive and can divert management’s attention and resources from other business concerns, which could adversely affect our business. If we are ultimately required to pay significant defense costs, damages or settlement amounts, such payments could adversely affect our operations.</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may be the target of similar litigation in the future. The market price of our common stock has experienced and may continue to experience volatility, and in the past, companies that have experienced volatility in the market price of their stock have been subject to securities litigation. Any future litigation could result in substantial costs and divert our management’s attention from other business concerns, which could seriously harm our business. We maintain liability insurance; however, if any costs or expenses associated with the </w:t>
      </w:r>
      <w:r>
        <w:rPr>
          <w:rFonts w:ascii="Times New Roman" w:cs="Times New Roman" w:eastAsia="Times New Roman" w:hAnsi="Times New Roman"/>
          <w:sz w:val="18"/>
          <w:szCs w:val="18"/>
          <w:i w:val="1"/>
          <w:iCs w:val="1"/>
          <w:color w:val="auto"/>
        </w:rPr>
        <w:t>Ye Zhou</w:t>
      </w:r>
      <w:r>
        <w:rPr>
          <w:rFonts w:ascii="Times New Roman" w:cs="Times New Roman" w:eastAsia="Times New Roman" w:hAnsi="Times New Roman"/>
          <w:sz w:val="18"/>
          <w:szCs w:val="18"/>
          <w:color w:val="auto"/>
        </w:rPr>
        <w:t xml:space="preserve"> action or any other litigation exceed our insurance coverage, we may be forced to bear some or all of these costs and expenses directly, which could be substantial.</w:t>
      </w:r>
    </w:p>
    <w:p>
      <w:pPr>
        <w:spacing w:after="0" w:line="183"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delay or prevent an acquisition of us or a change in our management.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These provisions also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3" w:lineRule="exact"/>
        <w:rPr>
          <w:sz w:val="20"/>
          <w:szCs w:val="20"/>
          <w:color w:val="auto"/>
        </w:rPr>
      </w:pPr>
    </w:p>
    <w:p>
      <w:pPr>
        <w:jc w:val="both"/>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Pursuant to Section 404 of the Sarbanes-Oxley Act, our management is required to report upon the effectiveness of our internal control over financial reporting beginning with this Annual Report.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cannot assure you that there will not be material weaknesses or significant deficiencies in our internal control over financial reporting in the future.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72"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significantly increased costs as a result of operating as a public company, and our management will be required to devote substantial time to new compliance initiatives.</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As a relatively new public company we have incurred, and we expect, particularly after we are no longer an emerging growth company, to continue to incur significant legal, accounting, investor relations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Moreover, these rules and regulations are often subject to varying interpretations, in many cases due to their lack of specificity, and, as a result, their application in practice may evolve over time as new guidance 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provided by regulatory and governing bodies. This could result in continuing uncertainty regarding compliance matters and higher costs necessitated by ongoing revisions to disclosure and governance practices.</w:t>
      </w:r>
    </w:p>
    <w:p>
      <w:pPr>
        <w:spacing w:after="0" w:line="158"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the Court of Chancery of the State of Delaware or the United States District Court for the District of Delaware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an alternative forum, the Court of Chancery of the State of Delaware or, if subject matter jurisdiction over the matter that is the subject of such action is vested exclusively in the federal courts, the United States District Court for the District of Delaware will, to the fullest extent permitted by law, be the sole and exclusive forum for (i) any derivative action or proceeding brought on our behalf,</w:t>
      </w:r>
    </w:p>
    <w:p>
      <w:pPr>
        <w:spacing w:after="0" w:line="3" w:lineRule="exact"/>
        <w:rPr>
          <w:sz w:val="20"/>
          <w:szCs w:val="20"/>
          <w:color w:val="auto"/>
        </w:rPr>
      </w:pPr>
    </w:p>
    <w:p>
      <w:pPr>
        <w:jc w:val="both"/>
        <w:ind w:left="60" w:right="59" w:hanging="10"/>
        <w:spacing w:after="0" w:line="251" w:lineRule="auto"/>
        <w:tabs>
          <w:tab w:leader="none" w:pos="33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current or former directors, officers and employees, (iii) any action asserting a claim arising pursuant to any provision of the Delaware General Corporation Law, our certificate of incorporation or our bylaws, (iv) any action or proceeding to interpret, apply, enforce or determine the validity of our certificate of incorporation or the bylaws or (v) any action asserting a claim that is governed by the internal affairs doctrine, in each case subject to the Court of Chancery or the United States District Court for the District of Delaware, as applicable, having personal jurisdiction over the indispensable parties named as defendants therein. In addition, any person holding, owning or otherwise acquiring any interest in any of our securities shall be deemed to have notice of and to have consented to this provision of our bylaws. The choice of forum provision does not apply to any actions arising under the Securities Act or the Exchange Act. The choice of forum provision may limit a stockholder’s ability to bring a claim in a judicial forum that it finds favorable for disputes with us or our directors, officers or employees, which may discourage such lawsuits against us and our directors, officers and employees even though an action, if successful, might benefit our stockholders. Stockholders who do bring a claim in the Court of Chancery or the United States District Court for the District of Delaware could face additional litigation costs in pursuing any such claim, particularly if they do not reside in or near the jurisdiction. The Court of Chancery or the United States District Court for the District of Delaware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this provision of our amended and restated bylaws inapplicable to, or unenforceable in respect of, one or more of the specified types of actions or proceedings, we may incur additional costs, which could have a material adverse effect on our business, financial condition or results of operations.</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corporate headquarters are located in Beltsville, Maryland and consist of 11,329 square feet of office space, 13,579 square feet of laboratory and manufacturing space and 10,209 square feet that we are in the process of converting into office space, or collectively the Current Space, under a lease that expires in August 2025, or the Original Lease. In June 2019, we took possession of an additional 14,075 square feet of space to be used for future office, laboratory and manufacturing space under a new lease entered into in January 2019, or the New Lease. In August 2019, we entered into an amendment to the New Lease for an additional 14,446 square feet to be used for future office, laboratory and manufacturing space, which the landlord delivered in April 2020. The New Lease expires in March 2030 and will also cover the Current Space upon expiration of the Original Lease. We believe that these facilities are adequate for our current needs and that suitable additional or substitute space will be available in the future if needed.</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information set forth under the heading “Legal Proceedings” in Note 8, Commitments and Contingencies, in Notes to Financial Statements in Part II Item 8 of this Annual Report, is incorporated herein by reference.</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700" w:right="7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 and Holders of Record</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or Nasdaq, under the symbol “NXTC.” As of March 3, 2021 we had 27,599,949 holders of record of our common stock. The actual number of shareholders is greater than this number of record holders and includes shareholders who are beneficial owners but whose shares are held in street name by brokers and other nominees. This number of holders of record also does not include shareholders whose shares may be held in trust by other entities.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and we do not anticipate paying any cash dividends in the foreseeable future. We currently intend to retain all available funds and any future earnings to support our operations and finance the growth and development of our business.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Proceeds from Initial Public Offering</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May 13, 2019, we closed our IPO pursuant to which we issued and sold 5,750,000 shares of common stock at a public offering price of $15.00 per share for aggregate gross proceeds of $86.3 million. The offer and sale of the shares was made pursuant to a registration statement on Form S-1 (File No. 333-230837) that the SEC declared effective on May 9, 2019. Morgan Stanley &amp; Co. LLC, Merrill Lynch, Pierce, Fenner &amp; Smith Incorporated and Piper Jaffray &amp; Co. acted as joint book-running managers of our IPO. The net offering proceeds to us were approximately $76.9 million after deducting underwriting discounts and commissions of $6.0 million and offering expenses of approximately $3.4 million. During the period from the closing of our IPO on May 13, 2019 through December 31, 2020, $0.5 million of the net proceeds from our IPO have been used for payment to Yale University in connection with the closing of our IPO, and the remainder has been invested in temporary investments pending other uses.</w:t>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None of the offering expenses or net proceeds were paid directly or indirectly to any of our directors or officers (or their associates) or persons owning 10% or more of any class of our equity securities or to any other affiliates. There has been no material change in the planned use of proceeds from our IPO from those disclosed in the final prospectus that forms a part of our Registration Statement on Form S-1 (Reg. No. 333-230837), as filed with the SEC pursuant to Rule 424(b)(4) under the Securities Act of 1933, as amended, on May 9, 2019.</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requested by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financial statements and the related notes appearing elsewhere in this Annual Report. This discussion contains forward-looking statements that are based on management’s current expectations, estimates, and projections about our business and operations, and involve risks and uncertainties. Our actual results could differ materially from those discussed in these forward-looking statements. Factors that could cause or contribute to such differences include, but are not limited to, those discussed in the sections entitled “Risk Factors” and “Special Note Regarding Forward-Looking Statements” and elsewhere in this Annual Report.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committed to discovering and developing novel, first-in-class immunomedicines to treat cancer and other immune-related diseases by restoring normal immune function. We view the immune system holistically and, rather than target one specific immune cell type, we focus on understanding biological pathways, the interactions of cells and the role each interaction plays in an immune response. Through our proprietary Functional, Integrated, NextCure Discovery in Immuno-Oncology, or FIND-IO, platform, we study various immune cells to discover and understand targets and structural components of immune cells and their functional impact in order to develop immunomedicines. We are focused on patients who do not respond to current therapies, patients whose cancer progresses despite treatment and patients with cancer types not adequately addressed by available therapies. We are committed to discovering and developing first-in-class immunomedicines, which are immunomedicines that use new or unique mechanisms of action to treat a medical condition, for these patients.</w:t>
      </w:r>
    </w:p>
    <w:p>
      <w:pPr>
        <w:spacing w:after="0" w:line="194"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March 2020, the World Health Organization declared the COVID-19 outbreak a pandemic. In order to mitigate the spread of COVID-19, governments have imposed unprecedented restrictions on business operations, travel and gatherings, resulting in a global economic downturn and other adverse economic and societal impacts. The COVID-19 pandemic has also overwhelmed or otherwise led to changes in the operations of many healthcare facilities, including clinical trial sites. While we are considered an essential business under applicable regulations and continue to operate, the impacts of COVID-19 initially placed significant strain on our clinical trial sites, have raised concerns around monitoring patient safety, and caused enrollment to slow in the Phase 2 portion of the ongoing Phase 1/2 monotherapy clinical trial of our lead product candidate, NC318. We are continuing to work closely with our clinical partners and have taken steps as necessary to adjust our protocols and timelines due to the impact of the COVID-19 pandemic. The COVID-19 pandemic and its impacts continue to evolve. We cannot predict the scope and severity of any further disruptions as a result of COVID-19 or their impacts on us, but business disruptions for us or any of the third parties with whom we engage, including the collaborators, contract organizations, third-party manufacturers, suppliers, clinical trial sites, regulators and other third parties with whom we conduct business could materially and negatively impact our ability to conduct our business in the manner and on the timelines presently planned. The extent to which the COVID-19 pandemic may continue to impact our business and financial performance will depend on future developments, which are highly uncertain and cannot be predicted with confidence, including the scope and duration of the pandemic, the extent and effectiveness of government restrictions and other actions, including relief measures, implemented to address the impact of the pandemic, and resulting economic impacts. We are unable to determine the extent of the impact of the pandemic on our operations and financial condition going forward. These developments are highly uncertain and unpredictable, and may materially adversely affect our financial position and results of operations.</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lead product candidate NC318 is a first-in-class immunomedicine against a novel immunomodulatory receptor called Siglec-15, or S15. In October 2018, we initiated a Phase 1/2 clinical trial of NC318 in patients with advanced or metastatic solid tumors. We completed enrollment of the Phase 1 portion of this trial in August 2019 and preliminary data from the Phase 1 portion were presented at the Society for Immunotherapy of Cancer annual meeting in November 2019 and updated data were announced in December 2020.</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began enrolling patients in the Phase 2 portion of the Phase 1/2 clinical trial of NC318 trial in October 2019. In this portion, we planned to enroll up to 100 patients with tumor types that have been shown to have elevated S15 expression, including non-small cell lung cancer, or NSCLC, ovarian cancer, head and neck squamous cell carcinoma, or HNSCC, and triple-negative breast cancer, or TNBC. In July 2020, we reported a confirmed partial response in a head and neck squamous cell carcinoma patient. In addition, at the time, we reported that at that time we would not progress the NSCLC and ovarian cancer cohorts to the second stage of the Simon 2-stage trial. In December 2020, we completed a retrospective analysis of S15 expression in biopsy samples collected from the Phase 2 patients at their initial screening.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evaluable biopsies collected, 13% of the patients enrolled had S15-positive tumors. These biopsies showed that the selection criterion did not result in enough S15-positive patients for us to effectively evaluate the activity of NC318 in S15-positive tumors. We are modifying the Phase 2 portion of the trial for S15 selection and expect to begin pre-selecting patients for enrollment based on S15 expression in the second quarter of 2021 in order to assess response rates in patients selected for S15 positivity. In addition, we believe that scientific evidence supports a combination of NC318 with anti-PD-1 therapy, and we plan to study that combination in NSCLC patients.</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second product candidate, NC410, is a novel immunomedicine designed to block immune suppression mediated by an immune modulator called Leukocyte-Associated Immunoglobulin-like Receptor 1. In June 2020, we initiated a Phase 1/2 clinical trial of NC410 in patients with advanced or metastatic solid tumors after a temporary delay due to the COVID-19 pandemic. The Phase 1 dose-escalation portion of this open-label trial is designed to evaluate the safety and tolerability of NC410 in patients with advanced or metastatic solid tumors and determine its pharmacologically active and/or maximum tolerated dose. After a recommended dose for the Phase 2 portion of the trial is determined, the efficacy of NC410 will be evaluated in select tumor types. We expect to announce data from the Phase 1 portion of this trial in the second half of 2021.</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third product candidate, NC762, is an immunomedicine targeting an immunomodulatory molecule called human B7 homolog 4 protein, or B7-H4. We submitted our investigational new drug application, or IND, for NC762, to the FDA, in the first quarter of 2021, and we intend to initiate a Phase 1/2 clinical trial of NC762 in patients with lung cancer, HER2+ breast cancer, ovarian cancer or potentially other tumor types in the second quarter of 2021. The Phase 1 dose-escalation portion of this open-label trial is being designed to evaluate the safety and tolerability of NC762 and determine its pharmacologically active and/or maximum tolerated dose. After a recommended dose for the Phase 2 portion of the trial is determined, the efficacy of NC762 will be evaluated in select tumor types.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Since commencing operations in 2015, we have devoted substantially all of our efforts and financial resources to organizing and staffing our company, identifying business development opportunities, raising capital, securing intellectual property rights related to our product candidates, building and optimizing our manufacturing capabilities and conducting discovery, research and development activities for our product candidates, discovery programs and FIND-IO platform.</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have not generated any revenue from product sales and only limited revenue from other sources and, as a result, we have never been profitable and have incurred net losses since the commencement of our operations. Our net losses for the years ended December 31, 2020 and 2019 were $36.6 million and $33.7 million, respectively. As of December 31, 2020, we had an accumulated deficit of $117.6 million primarily as a result of research and development and general and administrative expenses. We do not expect to generate product revenue unless and until we obtain marketing approval for and commercialize a product candidate, and we cannot assure you that we will ever generate significant revenue or profits.</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have funded our operations to date primarily with proceeds from public offerings of our common stock, private placements our preferred stock and upfront fees received under our former research collaboration and development agreement with Eli Lilly and Company, or Lilly. From our inception through December 31, 2020, we received gross proceeds of $164.4 million through private placements of preferred stock and an upfront payment of $25.0 million in connection with our agreement with Lilly, or the Lilly Agreement.</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November 2018, we entered into the Lilly Agreement, to use our FIND-IO platform to identify novel oncology targets for additional collaborative research and drug discovery by us and Lilly. We received an upfront payment of $25.0 million in cash and an equity investment of $15.0 million from Lilly upon entering into the Lilly Agreement, and we were eligible for quarterly research and development support payments during a portion of the term of the Lilly Agreement. Effective March 3, 2020, Lilly terminated the Lilly Agreement.</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May 13, 2019, we closed our initial public offering, or IPO, in which we sold 5,750,000 shares of common stock, at a public offering price of $15.00 per share, for aggregate gross proceeds of $86.3 million. The net offering proceeds to us were approximately $76.9 million after deducting underwriting discounts and commissions of $6.0 million and offering expenses of $3.4 million. See Note 1 to our audited financial statements included elsewhere in this Annual Report for more information.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November 19, 2019, we completed an underwritten public offering, in which we issued and sold 4,077,192 shares of common stock at a public offering price of $36.75 per share. On December 2, 2019, the underwriters exercised in full their option to purchase an additional 611,578 shares of common stock at the public offering price of $36.75, for total net proceeds to us of approximately $160.9 million after deducting underwriting discounts and commissions of approximately $10.3 million and offering expenses of approximately $1.0 million.</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2020, we had cash, cash equivalents and marketable securities, excluding restricted cash, of $283.4 million. We believe that our existing cash, cash equivalents and marketable securities will be sufficient to fund our planned operations into the second half of 2023. We have based this estimate on assumptions that may prove to be incorrect, and we could use our available capital resources sooner than we currently expect.</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expect to incur substantial expenditures in the foreseeable future as we advance our product candidates through clinical development, the regulatory approval process and, if approved, commercialization, and as we expand our pipeline through research and development activities related to our FIND-IO platform and discovery programs. Specifically, in the near term, we expect to incur substantial expenses relating to our ongoing Phase 1/2 clinical trials for NC318 and NC410 and our planned Phase 1/2 clinical for NC762, and other research and development activities. We expect to incur significantly increased costs as a result of operating as a public company, including significant legal, accounting, investor relations and other expenses that we did not incur as a private company.</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will need substantial additional funding to support our continuing operations and to pursue our development strategy. Until such time as we can generate significant revenue from sales of our product candidates, if ever, we expect to finance our operations through a combination of public and private equity offerings, debt financings, marketing and distribution arrangements, other collaborations, strategic alliances and licensing arrangements. Adequate funding may not be available to us on acceptable terms, or at all. If we fail to raise capital or enter into such agreements as and when needed, we may be required to delay, limit, reduce or terminate preclinical studies, clinical trials, or other research and development activities or one or more of our development programs.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recognized revenue under the former Lilly Agreement of $22.4 million and $6.3 million for the years ended December 31, 2020 and 2019, respectively. Lilly terminated the Lilly Agreement effective March 3, 2020, or the Lilly Termination Date, without cause and we recognized all of the remaining deferred revenue as of the Lilly Termination Date in the statement of operations and comprehensive loss. Through December 31, 2020, we have not generated any revenue from product sales.</w:t>
      </w:r>
    </w:p>
    <w:p>
      <w:pPr>
        <w:spacing w:after="0" w:line="18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revenue recognition policy, see Note 2 to our audited financial statements included elsewhere in this Annual Report.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discovery efforts, research activities, development and testing of our product candidates as well as for clinical trials, including:</w:t>
      </w:r>
    </w:p>
    <w:p>
      <w:pPr>
        <w:spacing w:after="0" w:line="162" w:lineRule="exact"/>
        <w:rPr>
          <w:sz w:val="20"/>
          <w:szCs w:val="20"/>
          <w:color w:val="auto"/>
        </w:rPr>
      </w:pPr>
    </w:p>
    <w:p>
      <w:pPr>
        <w:ind w:left="1020" w:right="79" w:hanging="322"/>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stock-based compensation, for personnel engaged in research and development functions;</w:t>
      </w:r>
    </w:p>
    <w:p>
      <w:pPr>
        <w:spacing w:after="0" w:line="161"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agreements with third parties that conduct research, preclinical activities or clinical trials on our behalf, such as our corporate sponsored research agreement, or the SRA, and our license agreement with Yale University, or Yale;</w:t>
      </w:r>
    </w:p>
    <w:p>
      <w:pPr>
        <w:spacing w:after="0" w:line="17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stock-based compensation and related travel expenses;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79" w:hanging="322"/>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laboratory supplies and acquiring, developing and manufacturing preclinical study and clinical trial materials; and</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facility-related expenses, which include direct depreciation costs and allocated expenses for rent and maintenance of facilities and other operating costs.</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expense research and development costs as incurred. Our expenses related to clinical trials are based on actual costs incurred and estimates of other incurred costs. These estimated costs are based on several factors, including patient enrollment and related expenses at clinical investigator sites, contract services received, consulting agreement costs and efforts expended under contracts with research institutions and third-party contract research organizations that conduct and manage clinical trials on our behalf. We generally accrue estimated costs related to clinical trials based on contracted amounts applied to the level of patient enrollment and other activity according to the protocol. If future timelines or contracts are modified based on changes in the clinical trial protocol or scope of work to be performed, we would modify our estimates of accrued expenses accordingly on a prospective basis. Historically, any such modifications have not been material.</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continue to increase substantially for the foreseeable future as we advance our product candidates through development and expand the number of trials we are conducting and the patients enrolled in those trials, and as we utilize our current good manufacturing practice, or cGMP, manufacturing capacity, including to provide drug supply of NC318, NC410 and NC762 for future clinical trials, and as we expand our pipeline through research and development activities, including through our FIND-IO platform and discovery programs.</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cannot determine with certainty the duration and costs of future clinical trials of NC318, NC410, NC762 or any other product candidate we may develop or if, when or to what extent we will generate revenue from the commercialization and sale of any product candidate for which we may obtain marketing approval. We may never succeed in obtaining marketing approval for any product candidate. The duration, costs and timing of clinical trials and development of NC318, NC410, NC762 and any other product candidate we may develop will depend on a variety of factors, including:</w:t>
      </w:r>
    </w:p>
    <w:p>
      <w:pPr>
        <w:spacing w:after="0" w:line="187" w:lineRule="exact"/>
        <w:rPr>
          <w:sz w:val="20"/>
          <w:szCs w:val="20"/>
          <w:color w:val="auto"/>
        </w:rPr>
      </w:pPr>
    </w:p>
    <w:p>
      <w:pPr>
        <w:jc w:val="both"/>
        <w:ind w:left="1020" w:right="79" w:hanging="322"/>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clinical trials of NC318, NC410 and NC762, as well as of any future clinical trials of other product candidates and other research and development activities that we may conduct;</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including delays and slowdowns as a result of strain on our clinical trial sites and concerns about patient safety;</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selection of indications, clinical trial design and patient enrollment rates;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probability of success for our product candidates, including safety and efficacy, early clinical data, competition, ease and ability of manufacturing and commercial viability;</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development or marketing approvals; and</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filing, prosecuting, defending and enforcing any patent claims and other intellectual property rights.</w:t>
      </w:r>
    </w:p>
    <w:p>
      <w:pPr>
        <w:spacing w:after="0" w:line="16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 product candidate could lead to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to complete clinical development for any such product candidate.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payroll and stock-based compensation, for personnel in executive, finance, human resources, business and corporate development and other administrative functions, professional fees for legal, intellectual property, consulting and accounting services, rent and other facility-related costs, depreciation and other general operating expenses not otherwise classified as research and development expenses. General and administrative expenses also include all patent-related costs incurred in connection with filing and prosecuting patent applications, which are expensed as incurred.</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substantially during the next few years, including as a result of expected staff expansion, additional occupancy costs, higher legal and accounting fees, investor relations costs, higher insurance premiums and other compliance costs.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interest income earned on marketable securities and payment of interest on our term loan with a commercial bank, or the Term Loan.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2020 and 2019</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from former research and development arrangement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from Former Research and Development Arrangement</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Revenue was $22.4 million and $6.3 million for the years ended December 31, 2020 and 2019, respectively. The 2019 revenue is related to the recognition of a portion of the upfront consideration under the Lilly Agreement and the premium on the proceeds from Lilly’s investment in shares of our Series B-3 Preferred Stock. The 2020 revenue exclusively relates to the recognition of all of the remaining deferred revenue under the Lilly Agreement as of the Lilly Termination Date. Effective with the termination of the Lilly Agreement, no further quarterly research and development support payments are payable to 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by product candidate for the periods indicated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5"/>
                <w:szCs w:val="15"/>
                <w:color w:val="auto"/>
              </w:rPr>
            </w:pPr>
          </w:p>
        </w:tc>
        <w:tc>
          <w:tcPr>
            <w:tcW w:w="64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External research and development expenses: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NC318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9,455</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8,773</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NC410</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Programs in discovery and preclinical development</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external research and development expenses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internal research and development expenses</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6,229</w:t>
            </w:r>
          </w:p>
        </w:tc>
        <w:tc>
          <w:tcPr>
            <w:tcW w:w="0" w:type="dxa"/>
            <w:vAlign w:val="bottom"/>
          </w:tcPr>
          <w:p>
            <w:pPr>
              <w:spacing w:after="0"/>
              <w:rPr>
                <w:sz w:val="1"/>
                <w:szCs w:val="1"/>
                <w:color w:val="auto"/>
              </w:rPr>
            </w:pPr>
          </w:p>
        </w:tc>
      </w:tr>
      <w:tr>
        <w:trPr>
          <w:trHeight w:val="209"/>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12,338</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do not allocate personnel-related costs, including stock-based compensation costs, or other indirect costs to specific programs, as they are deployed across multiple projects under development and discovery and, as such are separately classified as internal research and development expenses in the table above.</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2020 increased by $12.3 million to $46.6 million compared to $34.2 million for the year ending December 31, 2019. The increase was driven primarily by $6.2 million in internal research and development expenses, such as personnel-related costs, facilities related expenses, and depreciation. Another significant component of the increase in research and development expenses included $5.7 million in external research and development expenses related to early-stage programs and discovery activities, such as lab supplies and services, and payments pursuant to the SRA, and other sponsored research agreements.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for the year ended December 31, 2020 increased by $7.4 million to $17.0 million as compared to $9.6 million for the year ending December 31, 2019. The increase was driven primarily by $4.6 million in personnel-related costs due to an increase in headcount. Other significant components of the increase in general and administrative expenses included $1.6 million in professional fees related to legal, finance/audit services, public relations, compensation, and investor relations support, and $1.0 million in insurance expenses.</w:t>
      </w:r>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Other income, net for the year ended December 31, 2020 increased by $0.9 million to $4.6 million compared to $3.7 million for the year ended December 31, 2019. The increase was driven primarily by interest income earned on higher cash and marketable securities balances.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financed our operations primarily with proceeds from public offerings of our common stock, private placements of our preferred stock and upfront fees received under the Lilly Agreement. On May 13, 2019, we closed our IPO in which we sold 5,750,000 shares of common stock, at a public offering price of $15.00 per share, for aggregate gross proceeds of $86.3 million. The net offering proceeds to us were approximately $76.9 million after deducting underwriting discounts and commissions and offering expenses. On November 19, 2019, we completed an underwritten public offering, in which we sold 4,077,192 shares of common stock at a public offering price of $36.75 per share. On December 2, 2019, the underwriters exercised in full their option to purchase an additional 611,578 shares of common stock at the public offering price of $36.75. The total gross proceeds to us were $172.2 million and the total net offering proceeds to us were approximately $160.9 million after deducting underwriting discounts and commissions and offering expenses.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2020, we had cash, cash equivalents and marketable securities, excluding restricted cash, of $283.4 million. We believe that our existing cash, cash equivalents and marketable securities will be sufficient to fund our planned operations into the second half of 2023.</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in April 2016, we entered into a term loan to finance laboratory equipment purchases. In January 2019, we amended the term loan to increase our borrowing capacity from $1.0 million to $5.0 million. As amended, the term loan matures in January 2023. Our obligations under the term loan are secured by a security interest in our certificates of deposit, money market accounts, cash, securities, investment property and deposit or investment accounts. The term loan bears interest at a rate equal to the greater of (i) the prime rate less 1.0% and (ii) 4.25% and is subject to mandatory prepayment upon the occurrence of specified events, including failure to pay the term loan when due, uncured breach, bankruptcy or dissolution. Under the term loan, we made interest-only payments through January 2020 and 36 equal monthly payments of principal plus accrued interest thereafter through January 2023. As of December 31, 2020, our outstanding borrowings under this term loan were $3.5 million.</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will continue to require additional capital to develop our product candidates and fund operations for the foreseeable future. We may seek to raise capital through sale of equity, debt financings, strategic alliances and licensing arrangements. Adequate additional funding may not be available to us on acceptable terms or at all. If we fail to raise capital or enter into such agreements as and when needed, we may have to significantly delay, scale back or discontinue the development of our product candidates or delay our efforts to expand our pipeline of product candidates. Our need to raise additional capital will depend on many factors, including:</w:t>
      </w:r>
    </w:p>
    <w:p>
      <w:pPr>
        <w:spacing w:after="0" w:line="187" w:lineRule="exact"/>
        <w:rPr>
          <w:sz w:val="20"/>
          <w:szCs w:val="20"/>
          <w:color w:val="auto"/>
        </w:rPr>
      </w:pPr>
    </w:p>
    <w:p>
      <w:pPr>
        <w:jc w:val="both"/>
        <w:ind w:left="1020" w:right="79" w:hanging="322"/>
        <w:spacing w:after="0" w:line="266"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NC318, NC410, NC762 and our other programs, including targets identified through our FIND-IO platform, and of conducting preclinical studies and clinical trials;</w:t>
      </w:r>
    </w:p>
    <w:p>
      <w:pPr>
        <w:spacing w:after="0" w:line="17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approvals for NC318, NC410, NC762 and any future product candidates we develop, if clinical trials are successful;</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NC318, NC410 and any future product candidates we develop for preclinical studies and clinical trials in preparation for marketing approval and commercialization;</w:t>
      </w:r>
    </w:p>
    <w:p>
      <w:pPr>
        <w:spacing w:after="0" w:line="161"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including marketing, sales and distribution costs, for NC318, NC410, NC762 and any future product candidates we develop, whether alone or with a collaborator, if any such product candidates are approved for sale, including marketing, sales and distribution costs;</w:t>
      </w:r>
    </w:p>
    <w:p>
      <w:pPr>
        <w:spacing w:after="0" w:line="17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SRA with Yale;</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licenses or other arrangements on favorable terms, if at all;</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any such litigation;</w:t>
      </w:r>
    </w:p>
    <w:p>
      <w:pPr>
        <w:spacing w:after="0" w:line="161"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collaboration and license agreements remaining in effect and our achievement of milestones and the timing and amount of milestone payments we are required to make, or that we may be eligible to receive, under those agreements;</w:t>
      </w:r>
    </w:p>
    <w:p>
      <w:pPr>
        <w:spacing w:after="0" w:line="17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royalties on, our future products, if any; and</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and other adverse developments in the oncology market.</w:t>
      </w:r>
    </w:p>
    <w:p>
      <w:pPr>
        <w:spacing w:after="0" w:line="22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Adequate additional financing may not be available to us on acceptable terms, or at all.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that are not favorable to us or our stockholders. If we raise additional funds through government or private grants, collaborations, strategic alliances or marketing, distribution or licensing arrangements with third parties, we may be required to relinquish valuable rights to our future revenue streams, product candidates or research programs or to grant licenses on terms that may not be favorable to us. If we are unable to raise additional funds when needed, we may be required to delay, reduce or terminate some or all of our development programs and clinical trials. We may also be required to sell or license to others rights to our product candidates in certain territories or indications that we would prefer to retain for ourselves. See the section entitled "Risk Factors" for additional risks associated with our substantial capital requirements.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primary sources and uses of cash and cash equivalents for each of the periods presented below (in thousands):</w:t>
      </w:r>
    </w:p>
    <w:p>
      <w:pPr>
        <w:spacing w:after="0" w:line="169"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4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504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(35,623)</w:t>
            </w:r>
          </w:p>
        </w:tc>
        <w:tc>
          <w:tcPr>
            <w:tcW w:w="60" w:type="dxa"/>
            <w:vAlign w:val="bottom"/>
          </w:tcPr>
          <w:p>
            <w:pPr>
              <w:spacing w:after="0"/>
              <w:rPr>
                <w:sz w:val="18"/>
                <w:szCs w:val="18"/>
                <w:color w:val="auto"/>
              </w:rPr>
            </w:pPr>
          </w:p>
        </w:tc>
      </w:tr>
      <w:tr>
        <w:trPr>
          <w:trHeight w:val="216"/>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(303,923)</w:t>
            </w:r>
          </w:p>
        </w:tc>
        <w:tc>
          <w:tcPr>
            <w:tcW w:w="60" w:type="dxa"/>
            <w:vAlign w:val="bottom"/>
            <w:shd w:val="clear" w:color="auto" w:fill="CCEEFF"/>
          </w:tcPr>
          <w:p>
            <w:pPr>
              <w:spacing w:after="0"/>
              <w:rPr>
                <w:sz w:val="18"/>
                <w:szCs w:val="18"/>
                <w:color w:val="auto"/>
              </w:rPr>
            </w:pPr>
          </w:p>
        </w:tc>
      </w:tr>
      <w:tr>
        <w:trPr>
          <w:trHeight w:val="216"/>
        </w:trPr>
        <w:tc>
          <w:tcPr>
            <w:tcW w:w="5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18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243,043</w:t>
            </w:r>
          </w:p>
        </w:tc>
        <w:tc>
          <w:tcPr>
            <w:tcW w:w="60" w:type="dxa"/>
            <w:vAlign w:val="bottom"/>
            <w:tcBorders>
              <w:bottom w:val="single" w:sz="8" w:color="CCEEFF"/>
            </w:tcBorders>
          </w:tcPr>
          <w:p>
            <w:pPr>
              <w:spacing w:after="0"/>
              <w:rPr>
                <w:sz w:val="18"/>
                <w:szCs w:val="18"/>
                <w:color w:val="auto"/>
              </w:rPr>
            </w:pPr>
          </w:p>
        </w:tc>
      </w:tr>
      <w:tr>
        <w:trPr>
          <w:trHeight w:val="209"/>
        </w:trPr>
        <w:tc>
          <w:tcPr>
            <w:tcW w:w="5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(96,503)</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Used in/Provided by Operating Activities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$45.0 million for the year ended December 31, 2020, which was primarily due to our net loss of $36.6 million. Net cash used in operating activities was $35.6 million for the year ended December 31, 2019, which was primarily due to our net loss of $33.7 million. The amount of cash used in operating activities in any period is influenced by the timing of cash payments for research-related expenses.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Provided by/Used in Investing Activities</w:t>
      </w:r>
    </w:p>
    <w:p>
      <w:pPr>
        <w:spacing w:after="0" w:line="227"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Cash provided by investing activities for the year ended December 31, 2020 was $43.5 million, which was primarily due to the maturities of marketable securities that were not reinvested in marketable securities. Cash used in investing activities for the year ended December 31, 2019 was $303.9 million, which was primarily due to the purchase of marketable securities.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Used in/Provided by Financing Activities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$1.4 million for the year ended December 31, 2020, which consisted primarily of repayment of a portion of the Term Loan. Cash provided by financing activities was $243.0 million for the year ended December 31, 2019, which consisted primarily of net proceeds from the public offerings of our common stock.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February 2016, we entered into a non-cancelable facilities operating sublease, or the 2016 Sublease, for our current headquarters that expires in August 2025. The base rent under the 2016 Sublease is currently $32,254 per month, plus our prorated share of the sublandlord’s operating expense and is subject to annual rent increases of 3%.</w:t>
      </w:r>
    </w:p>
    <w:p>
      <w:pPr>
        <w:spacing w:after="0" w:line="17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In January 2019, we entered into a new lease to be used for office and laboratory space, or the 2019 Lease, that expires in March 2030. Upon expiration of the 2016 Sublease, the 2019 Lease will also cover the space we are currently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subleasing under the 2016 Sublease. The base rent under the 2019 Lease is currently $37,824 per month, subject to annual rent increases of 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April 2016, we entered into a $1.0 million term loan, or the Term Loan. In January 2019, we amended the Term Loan to increase our borrowing capacity to $5.0 million, which amount remains secured by our certificates of deposit, money market account, investment property and deposit or investment accounts. As amended, the Term Loan bears interest at the greater of the prime rate less 1% and 4.25%. The effective interest rate was 4.25% and 4.40% for the years ended December 31, 2020 and 2019, respectively. Under the Term Loan, we were required to make monthly interest-only payments through January 2020 and are required to make 36 equal monthly payments of principal plus accrued interest thereafter through January 2023. Interest expense under the Term Loan was approximately $183,000 and $209,000 for the years ended December 31, 2020 and 2019, respectively. The outstanding balance on the Term Loan totaled $3.5 million and $5.0 million as of December 31, 2020 and 2019, respectively.</w:t>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also have potential contingent payment obligations upon the achievement by us of clinical, regulatory, and commercial events, as applicable, or royalty payments that we may be required to make under license agreements we have entered into with various entities pursuant to which we have in-licensed intellectual property, including, our license agreement with Yale and the SRA with Yale. The timing and amount (if any) of any such payments cannot be reasonably estimated at this time. See “Business—Our Collaboration Agreements” for additional information.</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third-party contract organizations for clinical trials, non-clinical studies and testing, manufacturing and other services and products for operating purposes. These contracts generally provide for termination following a certain period after notice, and therefore we believe that our non-cancelable obligations under these agreements are not material.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U.S. generally accepted accounting principles, or GAAP. The preparation of our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The most significant assumptions used in the financial statements are valuing share-based compensation, including the fair value of our common stock in periods before our IPO.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Actual results may differ from these estimates under different assumptions or conditions.</w:t>
      </w:r>
    </w:p>
    <w:p>
      <w:pPr>
        <w:spacing w:after="0" w:line="18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notes to our financial statements, we believe that the following critical accounting policies are most important to understanding and evaluating our reported financial results, as these policies relate to the more significant areas involving management’s judgments and estimates.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Including Clinical Trial Accruals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Research costs consist of employee-related costs, contractor expenses, laboratory supplies and facility costs, for research and development of product candidates are expensed as incurred. Development costs, including clinical trial-related expenses, incurred by third parties, such as CROs, are expensed as the contracted work is performed. Where contingent milestone payments are due to third parties under research and development arrangements, the milestone payment obligations are expensed when the milestone results are probable of being achieved. When evaluating the adequacy of the accrued liabilities, we analyze progress of the studies, including the phase or completion of events, invoices received and contracted costs. For further discussion of research and development expenses, including clinical trial accruals, see Note 2 to our audited financial statements included elsewhere in this Annual Report.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account for revenue in accordance with ASC Topic 606, Revenue from Contracts with Customers (“ASC 606”). Under ASC 606, an entity recognizes revenue when its customer obtains control of promised goods or services in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an amount that reflects the consideration that the entity expects to receive in exchange for those goods or services. To determine the appropriate amount of revenue to be recognized for arrangements determined to be within the scope of ASC 606, we perform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w:t>
      </w:r>
    </w:p>
    <w:p>
      <w:pPr>
        <w:spacing w:after="0" w:line="3" w:lineRule="exact"/>
        <w:rPr>
          <w:sz w:val="20"/>
          <w:szCs w:val="20"/>
          <w:color w:val="auto"/>
        </w:rPr>
      </w:pPr>
    </w:p>
    <w:p>
      <w:pPr>
        <w:jc w:val="both"/>
        <w:ind w:left="60" w:right="59" w:hanging="10"/>
        <w:spacing w:after="0" w:line="253" w:lineRule="auto"/>
        <w:tabs>
          <w:tab w:leader="none" w:pos="39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and (v) recognition of revenue when (or as) we satisfy each performance obligation. We only apply the five-step model to contracts when it is probable that we will collect consideration to which we are entitled in exchange for the goods or services we transfer to the customer. For further discussion of revenue recognition, see Note 2 to our audited financial statements included elsewhere in this Annual Report.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account for stock-based compensation, including stock options and restricted stock units, based on the fair value of the award as of the grant date. We utilize the Black-Scholes option-pricing model as the method for estimating the fair value of our stock option grants. The Black-Scholes option-pricing model requires the use of highly subjective and complex assumptions, including the options’ expected term and the price volatility of the underlying stock. The fair value of the portion of the award that is ultimately expected to vest is recognized as compensation expense over the award’s requisite service period. We recognize stock-based compensation to expense using the straight-line method and recognize forfeitures as they occur. If there are any modifications or cancelations of stock-based awards, we may be required to accelerate, increase, or decrease any remaining unrecognized stock-based compensation expense.</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Before our IPO, there was no public market for our common stock to date and the estimated fair value of our common stock was determined by our board of directors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w:t>
      </w:r>
    </w:p>
    <w:p>
      <w:pPr>
        <w:spacing w:after="0" w:line="18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Accounting and Valuation Guide, </w:t>
      </w:r>
      <w:r>
        <w:rPr>
          <w:rFonts w:ascii="Times New Roman" w:cs="Times New Roman" w:eastAsia="Times New Roman" w:hAnsi="Times New Roman"/>
          <w:sz w:val="18"/>
          <w:szCs w:val="18"/>
          <w:i w:val="1"/>
          <w:iCs w:val="1"/>
          <w:color w:val="auto"/>
        </w:rPr>
        <w:t>Valuation of Privately-Held-Company Equity Securities Issued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Our common stock valuations were prepared using an option pricing method, or OPM, which used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approaches to estimate our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w:t>
      </w:r>
    </w:p>
    <w:p>
      <w:pPr>
        <w:spacing w:after="0" w:line="18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Since the closing of our IPO, we have determined the fair value of our common stock based on the closing price of our common stock on the Nasdaq Global Select Market as reported on the date of grant.</w:t>
      </w:r>
    </w:p>
    <w:p>
      <w:pPr>
        <w:spacing w:after="0" w:line="16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For further discussion of our accounting for stock-based compensation, see Note 2 to our audited financial statements included elsewhere in this Annual Report.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Since our inception, we have not engaged in any off-balance sheet arrangements, as defined in the rules and regulations of the Securities and Exchange Commission.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Jumpstart Our Business Startups Act of 2012, or the JOBS Act, permits an “emerging growth company” such as us to take advantage of an extended transition period to comply with new or revised accounting standards applicable to public companies. We have elected to take advantage of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404(b) of the Sarbanes-Oxley Act of 2002. We will remain an emerging growth company until the earliest of (i) December 31, 2024,</w:t>
      </w:r>
    </w:p>
    <w:p>
      <w:pPr>
        <w:spacing w:after="0" w:line="3" w:lineRule="exact"/>
        <w:rPr>
          <w:sz w:val="20"/>
          <w:szCs w:val="20"/>
          <w:color w:val="auto"/>
        </w:rPr>
      </w:pPr>
    </w:p>
    <w:p>
      <w:pPr>
        <w:jc w:val="both"/>
        <w:ind w:left="60" w:right="59" w:hanging="10"/>
        <w:spacing w:after="0" w:line="253" w:lineRule="auto"/>
        <w:tabs>
          <w:tab w:leader="none" w:pos="33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first fiscal year in which we have total annual gross revenues of at least $1.07 billion, (iii) the last day of the first fiscal year in which the market value of our common stock that is held by non-affiliates exceeds $700.0 million on June 30th and (iv) the date on which we have issued more than $1.0 billion in non-convertible debt securities during the prior three-year period.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See Note 2 to our audited financial statements included elsewhere in this Annual Report for a discussion of recent accounting pronouncements that have impacted or may impact our financial position and results of operations.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 About Market Risk</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requested by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34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97">
              <w:r>
                <w:rPr>
                  <w:rFonts w:ascii="Times New Roman" w:cs="Times New Roman" w:eastAsia="Times New Roman" w:hAnsi="Times New Roman"/>
                  <w:sz w:val="18"/>
                  <w:szCs w:val="18"/>
                  <w:u w:val="single" w:color="auto"/>
                  <w:color w:val="0000EE"/>
                </w:rPr>
                <w:t>Report of Independent Registered Public Accounting Firm</w:t>
              </w:r>
            </w:hyperlink>
          </w:p>
        </w:tc>
        <w:tc>
          <w:tcPr>
            <w:tcW w:w="5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8340" w:type="dxa"/>
            <w:vAlign w:val="bottom"/>
            <w:vMerge w:val="continue"/>
          </w:tcPr>
          <w:p>
            <w:pPr>
              <w:spacing w:after="0"/>
              <w:rPr>
                <w:sz w:val="16"/>
                <w:szCs w:val="16"/>
                <w:color w:val="auto"/>
              </w:rPr>
            </w:pPr>
          </w:p>
        </w:tc>
        <w:tc>
          <w:tcPr>
            <w:tcW w:w="5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Times New Roman" w:cs="Times New Roman" w:eastAsia="Times New Roman" w:hAnsi="Times New Roman"/>
                <w:sz w:val="18"/>
                <w:szCs w:val="18"/>
                <w:u w:val="single" w:color="auto"/>
                <w:color w:val="0000EE"/>
              </w:rPr>
            </w:pPr>
            <w:hyperlink w:anchor="page98">
              <w:r>
                <w:rPr>
                  <w:rFonts w:ascii="Times New Roman" w:cs="Times New Roman" w:eastAsia="Times New Roman" w:hAnsi="Times New Roman"/>
                  <w:sz w:val="18"/>
                  <w:szCs w:val="18"/>
                  <w:u w:val="single" w:color="auto"/>
                  <w:color w:val="0000EE"/>
                </w:rPr>
                <w:t>Balance Sheets as of December 31, 2020 and 2019</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Statements of Operations and Comprehensive Loss for the Years Ended December 31, 2020 and 2019</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Times New Roman" w:cs="Times New Roman" w:eastAsia="Times New Roman" w:hAnsi="Times New Roman"/>
                <w:sz w:val="18"/>
                <w:szCs w:val="18"/>
                <w:u w:val="single" w:color="auto"/>
                <w:color w:val="0000EE"/>
                <w:w w:val="99"/>
              </w:rPr>
            </w:pPr>
            <w:hyperlink w:anchor="page100">
              <w:r>
                <w:rPr>
                  <w:rFonts w:ascii="Times New Roman" w:cs="Times New Roman" w:eastAsia="Times New Roman" w:hAnsi="Times New Roman"/>
                  <w:sz w:val="18"/>
                  <w:szCs w:val="18"/>
                  <w:u w:val="single" w:color="auto"/>
                  <w:color w:val="0000EE"/>
                  <w:w w:val="99"/>
                </w:rPr>
                <w:t>Statements of Preferred Stock and Stockholders’ Equity (Deficit) for the Years Ended December 31, 2020 and 2019</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Times New Roman" w:cs="Times New Roman" w:eastAsia="Times New Roman" w:hAnsi="Times New Roman"/>
                <w:sz w:val="18"/>
                <w:szCs w:val="18"/>
                <w:u w:val="single" w:color="auto"/>
                <w:color w:val="0000EE"/>
              </w:rPr>
            </w:pPr>
            <w:hyperlink w:anchor="page101">
              <w:r>
                <w:rPr>
                  <w:rFonts w:ascii="Times New Roman" w:cs="Times New Roman" w:eastAsia="Times New Roman" w:hAnsi="Times New Roman"/>
                  <w:sz w:val="18"/>
                  <w:szCs w:val="18"/>
                  <w:u w:val="single" w:color="auto"/>
                  <w:color w:val="0000EE"/>
                </w:rPr>
                <w:t>Statements of Cash Flows for the Years Ended December 31, 2020 and 2019</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4"/>
        </w:trPr>
        <w:tc>
          <w:tcPr>
            <w:tcW w:w="8340" w:type="dxa"/>
            <w:vAlign w:val="bottom"/>
          </w:tcPr>
          <w:p>
            <w:pPr>
              <w:spacing w:after="0"/>
              <w:rPr>
                <w:rFonts w:ascii="Times New Roman" w:cs="Times New Roman" w:eastAsia="Times New Roman" w:hAnsi="Times New Roman"/>
                <w:sz w:val="18"/>
                <w:szCs w:val="18"/>
                <w:u w:val="single" w:color="auto"/>
                <w:color w:val="0000EE"/>
              </w:rPr>
            </w:pPr>
            <w:hyperlink w:anchor="page102">
              <w:r>
                <w:rPr>
                  <w:rFonts w:ascii="Times New Roman" w:cs="Times New Roman" w:eastAsia="Times New Roman" w:hAnsi="Times New Roman"/>
                  <w:sz w:val="18"/>
                  <w:szCs w:val="18"/>
                  <w:u w:val="single" w:color="auto"/>
                  <w:color w:val="0000EE"/>
                </w:rPr>
                <w:t>Notes to Financial Statements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the Board of Directors of NextCure,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sheets of NextCure, Inc. (the “Company”) as of December 31, 2020 and 2019, the related statements of operations and comprehensive loss, preferred stock and stockholders’ equity (deficit) and cash flows for the years then ended and the related notes (collectively referred to as the “financial statements”). In our opinion, the financial statements present fairly, in all material respects, the financial position of the Company at December 31, 2020 and 2019, and the results of its operations and its cash flows for the years then ended in conformity with U.S. generally accepted accounting principles.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Baltimore, MD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19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32,772</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34,091</w:t>
            </w:r>
          </w:p>
        </w:tc>
      </w:tr>
      <w:tr>
        <w:trPr>
          <w:trHeight w:val="203"/>
        </w:trPr>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Marketable securities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250,676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300,514</w:t>
            </w:r>
          </w:p>
        </w:tc>
      </w:tr>
      <w:tr>
        <w:trPr>
          <w:trHeight w:val="203"/>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r>
      <w:tr>
        <w:trPr>
          <w:trHeight w:val="203"/>
        </w:trPr>
        <w:tc>
          <w:tcPr>
            <w:tcW w:w="6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3,684</w:t>
            </w:r>
          </w:p>
        </w:tc>
      </w:tr>
      <w:tr>
        <w:trPr>
          <w:trHeight w:val="19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287,978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339,995</w:t>
            </w:r>
          </w:p>
        </w:tc>
      </w:tr>
      <w:tr>
        <w:trPr>
          <w:trHeight w:val="203"/>
        </w:trPr>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12,090</w:t>
            </w:r>
          </w:p>
        </w:tc>
      </w:tr>
      <w:tr>
        <w:trPr>
          <w:trHeight w:val="202"/>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4,083</w:t>
            </w:r>
          </w:p>
        </w:tc>
      </w:tr>
      <w:tr>
        <w:trPr>
          <w:trHeight w:val="236"/>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306,644</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356,168</w:t>
            </w:r>
          </w:p>
        </w:tc>
      </w:tr>
      <w:tr>
        <w:trPr>
          <w:trHeight w:val="183"/>
        </w:trPr>
        <w:tc>
          <w:tcPr>
            <w:tcW w:w="66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w:t>
            </w:r>
          </w:p>
        </w:tc>
      </w:tr>
      <w:tr>
        <w:trPr>
          <w:trHeight w:val="203"/>
        </w:trPr>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liabilities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4,871</w:t>
            </w:r>
          </w:p>
        </w:tc>
      </w:tr>
      <w:tr>
        <w:trPr>
          <w:trHeight w:val="203"/>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rent, current portion</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03"/>
        </w:trPr>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Term loan, current portion</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w:t>
            </w:r>
          </w:p>
        </w:tc>
      </w:tr>
      <w:tr>
        <w:trPr>
          <w:trHeight w:val="203"/>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revenue, current portion</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6,428</w:t>
            </w:r>
          </w:p>
        </w:tc>
      </w:tr>
      <w:tr>
        <w:trPr>
          <w:trHeight w:val="196"/>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15,042</w:t>
            </w:r>
          </w:p>
        </w:tc>
      </w:tr>
      <w:tr>
        <w:trPr>
          <w:trHeight w:val="203"/>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rent, net of current portion</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203"/>
        </w:trPr>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Term loan, net of current portion</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w:t>
            </w:r>
          </w:p>
        </w:tc>
      </w:tr>
      <w:tr>
        <w:trPr>
          <w:trHeight w:val="203"/>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15,950</w:t>
            </w:r>
          </w:p>
        </w:tc>
      </w:tr>
      <w:tr>
        <w:trPr>
          <w:trHeight w:val="196"/>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12,923</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34,684</w:t>
            </w:r>
          </w:p>
        </w:tc>
      </w:tr>
      <w:tr>
        <w:trPr>
          <w:trHeight w:val="19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9"/>
        </w:trPr>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Preferred stock, par value of $0.001 per share; 10,000,000 shares authorized at December 31, 2020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3"/>
        </w:trPr>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and 2019. No shares issued and outstanding at December 31, 2020 and 2019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Common stock, par value of $0.001 per share; 100,000,000 shares authorized at December 31,</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03"/>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2020 and 2019, respectively, 27,568,802 and 27,499,260 shares issued and outstanding at</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6"/>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December 31, 2020 and 2019, respectively</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3"/>
        </w:trPr>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410,551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402,529</w:t>
            </w:r>
          </w:p>
        </w:tc>
      </w:tr>
      <w:tr>
        <w:trPr>
          <w:trHeight w:val="203"/>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3"/>
        </w:trPr>
        <w:tc>
          <w:tcPr>
            <w:tcW w:w="6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(117,637)</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(81,034)</w:t>
            </w:r>
          </w:p>
        </w:tc>
      </w:tr>
      <w:tr>
        <w:trPr>
          <w:trHeight w:val="19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293,721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321,484</w:t>
            </w:r>
          </w:p>
        </w:tc>
      </w:tr>
      <w:tr>
        <w:trPr>
          <w:trHeight w:val="196"/>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306,644</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356,168</w:t>
            </w:r>
          </w:p>
        </w:tc>
      </w:tr>
      <w:tr>
        <w:trPr>
          <w:trHeight w:val="20"/>
        </w:trPr>
        <w:tc>
          <w:tcPr>
            <w:tcW w:w="6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3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64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from former research and development arrangement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income, net</w:t>
            </w:r>
          </w:p>
        </w:tc>
        <w:tc>
          <w:tcPr>
            <w:tcW w:w="8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(36,603)</w:t>
            </w:r>
          </w:p>
        </w:tc>
        <w:tc>
          <w:tcPr>
            <w:tcW w:w="2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per share:</w:t>
            </w:r>
          </w:p>
        </w:tc>
        <w:tc>
          <w:tcPr>
            <w:tcW w:w="8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Net loss per common share—basic and diluted</w:t>
            </w:r>
          </w:p>
        </w:tc>
        <w:tc>
          <w:tcPr>
            <w:tcW w:w="8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40" w:type="dxa"/>
            <w:vAlign w:val="bottom"/>
            <w:tcBorders>
              <w:bottom w:val="single" w:sz="8" w:color="CCEEFF"/>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—basic and diluted</w:t>
            </w: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27,532,177</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15,695,461</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8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(33,775)</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STATEMENTS OF PREFERRED STOCK AND STOCKHOLDERS’ EQUITY (DEFICIT)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ectPr>
          <w:pgSz w:w="11900" w:h="16838" w:orient="portrait"/>
          <w:cols w:equalWidth="0" w:num="1">
            <w:col w:w="9440"/>
          </w:cols>
          <w:pgMar w:left="1220" w:top="513" w:right="1239" w:bottom="1440" w:gutter="0" w:footer="0" w:header="0"/>
        </w:sect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15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560" w:type="dxa"/>
            <w:vAlign w:val="bottom"/>
          </w:tcPr>
          <w:p>
            <w:pPr>
              <w:spacing w:after="0"/>
              <w:rPr>
                <w:sz w:val="22"/>
                <w:szCs w:val="22"/>
                <w:color w:val="auto"/>
              </w:rPr>
            </w:pPr>
          </w:p>
        </w:tc>
        <w:tc>
          <w:tcPr>
            <w:tcW w:w="1420" w:type="dxa"/>
            <w:vAlign w:val="bottom"/>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15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Balance as of</w:t>
            </w:r>
          </w:p>
        </w:tc>
        <w:tc>
          <w:tcPr>
            <w:tcW w:w="800" w:type="dxa"/>
            <w:vAlign w:val="bottom"/>
            <w:tcBorders>
              <w:top w:val="single" w:sz="8" w:color="auto"/>
            </w:tcBorders>
            <w:gridSpan w:val="2"/>
          </w:tcPr>
          <w:p>
            <w:pPr>
              <w:jc w:val="right"/>
              <w:ind w:right="28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0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1"/>
                <w:szCs w:val="11"/>
                <w:color w:val="auto"/>
              </w:rPr>
            </w:pPr>
          </w:p>
        </w:tc>
        <w:tc>
          <w:tcPr>
            <w:tcW w:w="800" w:type="dxa"/>
            <w:vAlign w:val="bottom"/>
            <w:tcBorders>
              <w:top w:val="single" w:sz="8" w:color="auto"/>
            </w:tcBorders>
            <w:gridSpan w:val="2"/>
          </w:tcPr>
          <w:p>
            <w:pPr>
              <w:ind w:left="1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0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1560" w:type="dxa"/>
            <w:vAlign w:val="bottom"/>
            <w:vMerge w:val="continue"/>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December 31, 2018</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68,181,819</w:t>
            </w:r>
          </w:p>
        </w:tc>
        <w:tc>
          <w:tcPr>
            <w:tcW w:w="1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71,000</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56,828,851</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91,223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Stock-based</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compensation</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Issuance of common</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stock</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Public offerings of</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common stock, net of</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issuance costs of $20.7M</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Conversion of preferred</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stock to common stock</w:t>
            </w:r>
          </w:p>
        </w:tc>
        <w:tc>
          <w:tcPr>
            <w:tcW w:w="8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w w:val="95"/>
              </w:rPr>
              <w:t>(68,181,819)</w:t>
            </w:r>
          </w:p>
        </w:tc>
        <w:tc>
          <w:tcPr>
            <w:tcW w:w="60" w:type="dxa"/>
            <w:vAlign w:val="bottom"/>
          </w:tcPr>
          <w:p>
            <w:pPr>
              <w:spacing w:after="0"/>
              <w:rPr>
                <w:sz w:val="11"/>
                <w:szCs w:val="11"/>
                <w:color w:val="auto"/>
              </w:rPr>
            </w:pPr>
          </w:p>
        </w:tc>
        <w:tc>
          <w:tcPr>
            <w:tcW w:w="5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w w:val="94"/>
              </w:rPr>
              <w:t>(71,000)</w:t>
            </w: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w w:val="98"/>
              </w:rPr>
              <w:t>(56,828,851)</w:t>
            </w:r>
          </w:p>
        </w:tc>
        <w:tc>
          <w:tcPr>
            <w:tcW w:w="80" w:type="dxa"/>
            <w:vAlign w:val="bottom"/>
          </w:tcPr>
          <w:p>
            <w:pPr>
              <w:spacing w:after="0"/>
              <w:rPr>
                <w:sz w:val="11"/>
                <w:szCs w:val="11"/>
                <w:color w:val="auto"/>
              </w:rPr>
            </w:pPr>
          </w:p>
        </w:tc>
        <w:tc>
          <w:tcPr>
            <w:tcW w:w="4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w w:val="89"/>
              </w:rPr>
              <w:t>(91,223)</w:t>
            </w:r>
          </w:p>
        </w:tc>
        <w:tc>
          <w:tcPr>
            <w:tcW w:w="0" w:type="dxa"/>
            <w:vAlign w:val="bottom"/>
          </w:tcPr>
          <w:p>
            <w:pPr>
              <w:spacing w:after="0"/>
              <w:rPr>
                <w:sz w:val="1"/>
                <w:szCs w:val="1"/>
                <w:color w:val="auto"/>
              </w:rPr>
            </w:pPr>
          </w:p>
        </w:tc>
      </w:tr>
      <w:tr>
        <w:trPr>
          <w:trHeight w:val="135"/>
        </w:trPr>
        <w:tc>
          <w:tcPr>
            <w:tcW w:w="1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Unrealized loss on</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marketable securities</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7"/>
        </w:trPr>
        <w:tc>
          <w:tcPr>
            <w:tcW w:w="1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3"/>
        </w:trPr>
        <w:tc>
          <w:tcPr>
            <w:tcW w:w="156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Balance as of</w:t>
            </w: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December 31, 2019</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3"/>
        </w:trPr>
        <w:tc>
          <w:tcPr>
            <w:tcW w:w="1560" w:type="dxa"/>
            <w:vAlign w:val="bottom"/>
          </w:tcPr>
          <w:p>
            <w:pPr>
              <w:ind w:left="100"/>
              <w:spacing w:after="0" w:line="104" w:lineRule="exact"/>
              <w:rPr>
                <w:sz w:val="20"/>
                <w:szCs w:val="20"/>
                <w:color w:val="auto"/>
              </w:rPr>
            </w:pPr>
            <w:r>
              <w:rPr>
                <w:rFonts w:ascii="Times New Roman" w:cs="Times New Roman" w:eastAsia="Times New Roman" w:hAnsi="Times New Roman"/>
                <w:sz w:val="10"/>
                <w:szCs w:val="10"/>
                <w:color w:val="auto"/>
              </w:rPr>
              <w:t>Stock-based</w:t>
            </w: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compensation</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Issuance of common</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stock</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Unrealized gain on</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marketable securities</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7"/>
        </w:trPr>
        <w:tc>
          <w:tcPr>
            <w:tcW w:w="1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3"/>
        </w:trPr>
        <w:tc>
          <w:tcPr>
            <w:tcW w:w="156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Balance as of</w:t>
            </w: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December 31, 2020</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-81280</wp:posOffset>
            </wp:positionV>
            <wp:extent cx="5983605" cy="25285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83605" cy="25285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8"/>
        </w:trPr>
        <w:tc>
          <w:tcPr>
            <w:tcW w:w="6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gridSpan w:val="2"/>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r>
      <w:tr>
        <w:trPr>
          <w:trHeight w:val="155"/>
        </w:trPr>
        <w:tc>
          <w:tcPr>
            <w:tcW w:w="10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140" w:type="dxa"/>
            <w:vAlign w:val="bottom"/>
          </w:tcPr>
          <w:p>
            <w:pPr>
              <w:spacing w:after="0"/>
              <w:rPr>
                <w:sz w:val="13"/>
                <w:szCs w:val="13"/>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Stockholders’</w:t>
            </w:r>
          </w:p>
        </w:tc>
      </w:tr>
      <w:tr>
        <w:trPr>
          <w:trHeight w:val="128"/>
        </w:trPr>
        <w:tc>
          <w:tcPr>
            <w:tcW w:w="6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600" w:type="dxa"/>
            <w:vAlign w:val="bottom"/>
            <w:gridSpan w:val="3"/>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2"/>
              </w:rPr>
              <w:t>Capital</w:t>
            </w:r>
          </w:p>
        </w:tc>
        <w:tc>
          <w:tcPr>
            <w:tcW w:w="140" w:type="dxa"/>
            <w:vAlign w:val="bottom"/>
          </w:tcPr>
          <w:p>
            <w:pPr>
              <w:spacing w:after="0"/>
              <w:rPr>
                <w:sz w:val="11"/>
                <w:szCs w:val="11"/>
                <w:color w:val="auto"/>
              </w:rPr>
            </w:pPr>
          </w:p>
        </w:tc>
        <w:tc>
          <w:tcPr>
            <w:tcW w:w="12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Comprehensive Loss</w:t>
            </w:r>
          </w:p>
        </w:tc>
        <w:tc>
          <w:tcPr>
            <w:tcW w:w="120" w:type="dxa"/>
            <w:vAlign w:val="bottom"/>
          </w:tcPr>
          <w:p>
            <w:pPr>
              <w:spacing w:after="0"/>
              <w:rPr>
                <w:sz w:val="11"/>
                <w:szCs w:val="11"/>
                <w:color w:val="auto"/>
              </w:rPr>
            </w:pPr>
          </w:p>
        </w:tc>
        <w:tc>
          <w:tcPr>
            <w:tcW w:w="700" w:type="dxa"/>
            <w:vAlign w:val="bottom"/>
            <w:gridSpan w:val="2"/>
          </w:tcPr>
          <w:p>
            <w:pPr>
              <w:jc w:val="right"/>
              <w:ind w:right="28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2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2"/>
              </w:rPr>
              <w:t>Equity (Deficit)</w:t>
            </w:r>
          </w:p>
        </w:tc>
      </w:tr>
      <w:tr>
        <w:trPr>
          <w:trHeight w:val="20"/>
        </w:trPr>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61"/>
        </w:trPr>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1,374,812</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(47,297)</w:t>
            </w:r>
          </w:p>
        </w:tc>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(46,944)</w:t>
            </w:r>
          </w:p>
        </w:tc>
      </w:tr>
      <w:tr>
        <w:trPr>
          <w:trHeight w:val="270"/>
        </w:trPr>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1,886</w:t>
            </w: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1,886</w:t>
            </w:r>
          </w:p>
        </w:tc>
      </w:tr>
      <w:tr>
        <w:trPr>
          <w:trHeight w:val="270"/>
        </w:trPr>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125,109</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r>
      <w:tr>
        <w:trPr>
          <w:trHeight w:val="405"/>
        </w:trPr>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10,438,770</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237,965</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237,975</w:t>
            </w:r>
          </w:p>
        </w:tc>
      </w:tr>
      <w:tr>
        <w:trPr>
          <w:trHeight w:val="270"/>
        </w:trPr>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15,560,569</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16</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162,207</w:t>
            </w: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162,223</w:t>
            </w:r>
          </w:p>
        </w:tc>
      </w:tr>
      <w:tr>
        <w:trPr>
          <w:trHeight w:val="241"/>
        </w:trPr>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(38)</w:t>
            </w:r>
          </w:p>
        </w:tc>
        <w:tc>
          <w:tcPr>
            <w:tcW w:w="12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3"/>
        </w:trPr>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(33,737)</w:t>
            </w: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(33,737)</w:t>
            </w:r>
          </w:p>
        </w:tc>
      </w:tr>
      <w:tr>
        <w:trPr>
          <w:trHeight w:val="20"/>
        </w:trPr>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63"/>
        </w:trPr>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27,499,260</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27</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402,529</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(38)</w:t>
            </w:r>
          </w:p>
        </w:tc>
        <w:tc>
          <w:tcPr>
            <w:tcW w:w="12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(81,034)</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321,484</w:t>
            </w:r>
          </w:p>
        </w:tc>
      </w:tr>
      <w:tr>
        <w:trPr>
          <w:trHeight w:val="261"/>
        </w:trPr>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7,911</w:t>
            </w:r>
          </w:p>
        </w:tc>
        <w:tc>
          <w:tcPr>
            <w:tcW w:w="14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7,911</w:t>
            </w:r>
          </w:p>
        </w:tc>
      </w:tr>
      <w:tr>
        <w:trPr>
          <w:trHeight w:val="270"/>
        </w:trPr>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69,542</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r>
      <w:tr>
        <w:trPr>
          <w:trHeight w:val="241"/>
        </w:trPr>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w:t>
            </w:r>
          </w:p>
        </w:tc>
      </w:tr>
      <w:tr>
        <w:trPr>
          <w:trHeight w:val="153"/>
        </w:trPr>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(36,603)</w:t>
            </w: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(36,603)</w:t>
            </w:r>
          </w:p>
        </w:tc>
      </w:tr>
      <w:tr>
        <w:trPr>
          <w:trHeight w:val="20"/>
        </w:trPr>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63"/>
        </w:trPr>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27,568,802</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28</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410,551</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w:t>
            </w:r>
          </w:p>
        </w:tc>
        <w:tc>
          <w:tcPr>
            <w:tcW w:w="14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(117,637)</w:t>
            </w:r>
          </w:p>
        </w:tc>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293,721</w:t>
            </w:r>
          </w:p>
        </w:tc>
      </w:tr>
      <w:tr>
        <w:trPr>
          <w:trHeight w:val="20"/>
        </w:trPr>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4300" w:space="160"/>
            <w:col w:w="4980"/>
          </w:cols>
          <w:pgMar w:left="1220" w:top="513" w:right="1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type w:val="continuous"/>
        </w:sectPr>
      </w:pPr>
    </w:p>
    <w:bookmarkStart w:id="100" w:name="page101"/>
    <w:bookmarkEnd w:id="10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4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rent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revenue</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(44,954)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public offerings of common stock, net of issuance costs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issuances of common stock</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the term loan</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Payments of the term loan</w:t>
            </w:r>
          </w:p>
        </w:tc>
        <w:tc>
          <w:tcPr>
            <w:tcW w:w="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135,633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7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36,284</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paid for interest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7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04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 of property and equipment included in accrued liabilities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Deferred financing costs included in accrued liabilities</w:t>
            </w:r>
          </w:p>
        </w:tc>
        <w:tc>
          <w:tcPr>
            <w:tcW w:w="7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04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40" w:type="dxa"/>
            <w:vAlign w:val="bottom"/>
            <w:tcBorders>
              <w:bottom w:val="single" w:sz="8" w:color="CCEEFF"/>
            </w:tcBorders>
            <w:shd w:val="clear" w:color="auto" w:fill="CCEEFF"/>
          </w:tcPr>
          <w:p>
            <w:pPr>
              <w:ind w:left="80"/>
              <w:spacing w:after="0" w:line="195" w:lineRule="exact"/>
              <w:rPr>
                <w:sz w:val="20"/>
                <w:szCs w:val="20"/>
                <w:color w:val="auto"/>
              </w:rPr>
            </w:pPr>
            <w:r>
              <w:rPr>
                <w:rFonts w:ascii="Times New Roman" w:cs="Times New Roman" w:eastAsia="Times New Roman" w:hAnsi="Times New Roman"/>
                <w:sz w:val="18"/>
                <w:szCs w:val="18"/>
                <w:color w:val="auto"/>
              </w:rPr>
              <w:t>Conversion of convertible preferred stock into common stock</w:t>
            </w: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162,223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NextCure, Inc. (“NextCure” or the “Company”) was incorporated in Delaware in September 2015 and is headquartered in Beltsville, Maryland. The Company is a clinical-stage biopharmaceutical company committed to discovering and developing novel, first-in-class immunomedicines to treat cancer and other immune-related diseases by restoring normal immune function. Through its proprietary Functional, Integrated, NextCure Discovery in Immuno-Oncology (“FIND-IO”) platform, the Company studies various immune cells in order to discover and understand targets and structural components of immune cells and their functional impact in order to develop immunomedicines. Since inception, the Company has devoted substantially all of its efforts and financial resources to organizing and staffing the Company, identifying business development opportunities, raising capital, securing intellectual property rights related to the Company’s product candidates, building and optimizing the Company’s manufacturing capabilities and conducting discovery, research and development activities for the Company’s product candidates, discovery programs and its FIND-IO platform.</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Public Offerings of Common Stock</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May 13, 2019, the Company closed its initial public offering (“IPO”), in which the Company issued and sold 5,750,000 shares of common stock at a public offering price of $15.00 per share, for net proceeds to the Company of approximately $76.9 million after deducting underwriting discounts and commissions of $6.0 million and offering expenses of approximately $3.4 million.</w:t>
      </w:r>
    </w:p>
    <w:p>
      <w:pPr>
        <w:spacing w:after="0" w:line="180" w:lineRule="exact"/>
        <w:rPr>
          <w:sz w:val="20"/>
          <w:szCs w:val="20"/>
          <w:color w:val="auto"/>
        </w:rPr>
      </w:pPr>
    </w:p>
    <w:p>
      <w:pPr>
        <w:jc w:val="both"/>
        <w:ind w:left="60" w:right="59" w:firstLine="648"/>
        <w:spacing w:after="0" w:line="281" w:lineRule="auto"/>
        <w:rPr>
          <w:sz w:val="20"/>
          <w:szCs w:val="20"/>
          <w:color w:val="auto"/>
        </w:rPr>
      </w:pPr>
      <w:r>
        <w:rPr>
          <w:rFonts w:ascii="Times New Roman" w:cs="Times New Roman" w:eastAsia="Times New Roman" w:hAnsi="Times New Roman"/>
          <w:sz w:val="17"/>
          <w:szCs w:val="17"/>
          <w:color w:val="auto"/>
        </w:rPr>
        <w:t>In preparation for the IPO, on May 3, 2019, the Company effected a one-for-8.0338 reverse stock split of its issued and outstanding common stock. The par value and authorized shares of common stock were not adjusted as a result of the reverse stock split. All of the share and per share information presented in the accompanying financial statements has been adjusted to reflect the reverse common stock split on a retroactive basis for all periods and as of all dates presented.</w:t>
      </w:r>
    </w:p>
    <w:p>
      <w:pPr>
        <w:spacing w:after="0" w:line="16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Upon the closing of the IPO, all of the outstanding shares of the Company’s convertible preferred stock automatically converted into 15,560,569 shares of common stock at the applicable conversion ratio then in effect. Subsequent to the closing of the IPO, there were no shares of preferred stock outstanding. Additionally, the Company’s certificate of incorporation was amended and restated to provide for 100,000,000 authorized shares of common stock with a par value of $0.001 per share and 10,000,000 authorized shares of preferred stock with a par value of $0.001 per share.</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November 19, 2019, the Company completed an underwritten public offering, in which the Company issued and sold 4,077,192 shares of common stock at a public offering price of $36.75 per share. On December 2, 2019, the underwriters exercised in full their option to purchase an additional 611,578 shares of common stock at the public offering price of $36.75, for total net proceeds to the Company of approximately $160.9 million after deducting underwriting discounts and commissions of approximately $10.3 million and offering expenses of approximately $1.0 million.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has not generated any revenue to date from product sales and does not expect to generate any revenues from product sales in the foreseeable future. Through December 2020, the Company has funded its operations primarily with proceeds from public offerings of its common stock, private placements of its preferred stock and upfront fees received under the Company’s former agreement with Eli Lilly and Company (Note 7). The Company expects to incur additional operating losses and negative operating cash flows for the foreseeable future.</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expects that its operating losses and negative cash flows will continue for the foreseeable future. As of the issuance date of the financial statements for the year ended December 31, 2020, the Company expects that its cash and cash equivalents will be sufficient to fund its operating expenses and capital expenditure requirements through at least two years from the issuance date of the financial statements. The future viability of the Company beyond that date may depend on its ability to raise additional capital to finance its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plans to seek additional funding through public or private equity offerings, debt financings, marketing and distribution arrangements, other collaborations, strategic alliances, licensing arrangements or other methods.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the Company could be required to delay, reduce or eliminate research and development programs, product portfolio expansion or future commercialization efforts, which could adversely affect its business prospects.</w:t>
      </w:r>
    </w:p>
    <w:p>
      <w:pPr>
        <w:spacing w:after="0" w:line="10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Although management continues to pursue these funding plans, there is no assurance that the Company will be successful in obtaining sufficient funding on terms acceptable to the Company, if at all, to fund continuing operations past two years from the issuance date of these financial statements.</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6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Company is subject to risks common to early-stage companies in the biotechnology industry including, but not limited to: having a limited operating history and no products approved for commercial sale; having a history of significant losses; its need to obtain additional financing; dependence on its ability to advance its current and future product candidates through clinical trials, marketing approval and commercialization; the unproven approach to the discovery and development of product candidates based on the Company’s FIND-IO platform; the lengthy and expensive nature and uncertain outcomes of the clinical development process; the lengthy, time-consuming and unpredictable nature of the regulatory approval process; the results of preclinical studies and early-stage clinical trials that may not be predictive of future results; dependence on its key personnel; its limited manufacturing experience as an organization and with its manufacturing facility; risks related to patent protection and the Company’s pending patent applications; dependence on third-party collaborators for the discovery, development and commercialization of current and future product candidates; and significant competition from other biotechnology and pharmaceutical companies. Pursuit of the Company’s business efforts will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1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declared the novel coronavirus disease 2019 (“COVID-19”), outbreak a pandemic. In order to mitigate the spread of COVID-19, governments have imposed unprecedented restrictions on business operations, travel and gatherings, resulting in a global economic downturn and other adverse economic and societal impacts. The COVID-19 pandemic has also overwhelmed or otherwise led to changes in the operations of many healthcare facilities, including clinical trial sites.</w:t>
      </w:r>
    </w:p>
    <w:p>
      <w:pPr>
        <w:spacing w:after="0" w:line="116"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The impact of the COVID-19 pandemic on the Company’s business and financial performance is uncertain and depends on various factors, including the scope and duration of the pandemic, government restrictions and other actions, including relief measures, implemented to address the impact of the pandemic, and resulting impacts on the financial markets and overall economy. The imposition of “lockdown,” “social distancing” and “shelter in place” directives and other restrictions on business operations, travel and gatherings by state and federal governments in the United States as well as governments in other regions of the world in response to the COVID-19 pandemic initially placed significant strain on the Company’s clinical trial sites, have raised concerns around monitoring patient safety, and caused enrollment to slow in the Phase 2 portion of the ongoing Phase 1/2 monotherapy clinical trial of the Company’s lead product candidate, NC318. Any rise of COVID-19 infection rates, especially in the United States, could continue to negatively affect enrollment going forward. The Company is unable to determine the extent of the impact of the pandemic on its operations and financial condition going forward. These developments are highly uncertain and unpredictable, and may materially adversely affect the Company’s financial position and results of operations. The Company continues to closely monitor the COVID-19 situation and any potential impact to the Company’s planned activities.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entity about which separate discrete information is available for evaluation by the chief operating decision maker, or decision-making group, in deciding how to allocate resources and in assessing performance. The chief operating decision makers view the operations and manage the business in one operating segment that operates exclusively in the United States.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include the accounts of the Company. The Company’s financial statements have been prepared in accordance with United States generally accepted accounting principles (‘‘GAAP’’). Any reference in these notes to applicable guidance is meant to refer to the authoritative GAAP as found in the Accounting Standards Codification (‘‘ASC’’) and Accounting Standards Update (‘‘ASU’’) of the Financial Accounting Standards Board (‘‘FASB’’).</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amounts reported in the financial statements and accompanying notes. These estimates and assumptions affect the reported amounts of assets and liabilities, the disclosure of contingent assets and liabilities at the date of the financial statements and the reported amounts of revenues and expenses for the period presented. Although actual results could differ from those estimates, management does not believe that such differences would be material.</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0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purchase to be cash equivalents. The Company deposits its cash primarily in checking, sweep account and money market accounts. Cash equivalents are stated at amortized cost plus accrued interest, which approximates fair value.</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At December 31, 2020 and 2019, the Company had restricted cash of $3.5 million and $5.0, million, respectively. The Company is required, as a condition of its Term Loan (Note 9), to maintain cash collateral on deposit in a segregated money market bank account equal to the principal portion outstanding under the Term Loan on a quarterly basis. The bank may restrict withdrawals or transfers by, or on behalf of, the Company. The required reserve totaled $3.5 million and $5.0 million as of December 31, 2020 and December 31, 2019, respectively. The amounts are presented in part as restricted cash and in part as other assets on the accompanying balance sheets.</w:t>
      </w:r>
    </w:p>
    <w:p>
      <w:pPr>
        <w:spacing w:after="0" w:line="16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cash and cash equivalents and restricted cash per the balance sheet to the statement of cash flows:</w:t>
      </w:r>
    </w:p>
    <w:p>
      <w:pPr>
        <w:spacing w:after="0" w:line="169" w:lineRule="exact"/>
        <w:rPr>
          <w:sz w:val="20"/>
          <w:szCs w:val="20"/>
          <w:color w:val="auto"/>
        </w:rPr>
      </w:pPr>
    </w:p>
    <w:tbl>
      <w:tblPr>
        <w:tblLayout w:type="fixed"/>
        <w:tblInd w:w="840" w:type="dxa"/>
        <w:tblCellMar>
          <w:top w:w="0" w:type="dxa"/>
          <w:left w:w="0" w:type="dxa"/>
          <w:bottom w:w="0" w:type="dxa"/>
          <w:right w:w="0" w:type="dxa"/>
        </w:tblCellMar>
      </w:tblPr>
      <w:tr>
        <w:trPr>
          <w:trHeight w:val="173"/>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58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34,091</w:t>
            </w:r>
          </w:p>
        </w:tc>
        <w:tc>
          <w:tcPr>
            <w:tcW w:w="0" w:type="dxa"/>
            <w:vAlign w:val="bottom"/>
          </w:tcPr>
          <w:p>
            <w:pPr>
              <w:spacing w:after="0"/>
              <w:rPr>
                <w:sz w:val="1"/>
                <w:szCs w:val="1"/>
                <w:color w:val="auto"/>
              </w:rPr>
            </w:pPr>
          </w:p>
        </w:tc>
      </w:tr>
      <w:tr>
        <w:trPr>
          <w:trHeight w:val="198"/>
        </w:trPr>
        <w:tc>
          <w:tcPr>
            <w:tcW w:w="5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Restricted cash (including $1,806 and $3,333 in other assets as of</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December 31, 2020 and 2019, respectively)</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0" w:type="dxa"/>
            <w:vAlign w:val="bottom"/>
          </w:tcPr>
          <w:p>
            <w:pPr>
              <w:spacing w:after="0"/>
              <w:rPr>
                <w:sz w:val="1"/>
                <w:szCs w:val="1"/>
                <w:color w:val="auto"/>
              </w:rPr>
            </w:pPr>
          </w:p>
        </w:tc>
      </w:tr>
      <w:tr>
        <w:trPr>
          <w:trHeight w:val="210"/>
        </w:trPr>
        <w:tc>
          <w:tcPr>
            <w:tcW w:w="5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39,130</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Marketable securities primarily consist of government debt securities, corporate bonds and agency bonds. These marketable securities are classified as available-for-sale, and as such, are carried at fair value as determined by prices for identical or similar securities at the balance sheet date. Marketable securities consist of Level 2 financial instruments in the fair-value hierarchy. The Company’s policy is to classify all investments with contractual maturities within one year as current. At each reporting date, the Company evaluates the classification of its investments with maturities beyond one year based on the nature of the investment securities and whether the investments are considered available for use in current operations. Investment income is recognized when earned and reported net of investment expenses. Unrealized holding gains and losses are reported within accumulated other comprehensive income (loss) as a separate component of stockholders’ equity. The amortized cost of debt securities is adjusted for amortization of premiums and accretion of discounts to maturity. Such amortization and interest on securities are included in other income, net, on the Company’s statements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At each balance sheet date, the Company assesses available-for-sale securities in an unrealized loss position to determine whether the unrealized loss is other-than-temporary. If a decline in the fair value of a marketable security below the Company’s cost basis is determined to be other-than-temporary, such marketable security is written down to its estimated fair value as a new cost basis and the amount of the write-down is included in earnings as an impairment charge. The Company considers factors including the significance of the decline in value compared to the cost basis, underlying factors contributing to a decline in the prices of securities in a single asset class, the length of time the market value of the security has been less than its cost basis, the security's relative performance versus its peers, sector or asset class, expected market volatility and the market and economy in general. The Company also evaluates whether it is more likely than not that it will be required to sell a security prior to recovery of its fair value. The cost of securities sold is based on the specific identification method.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primarily consist of cash and cash equivalents. The Company maintains its cash and cash equivalents at one accredited financial institution that is federally insured. While balances deposited often exceed federally insured limits, the Company does not believe that it is subject to unusual credit risk beyond the normal credit risk associated with commercial banking relationships. The Company's investment policy limits investments to certain types of debt securities issued by the U.S. government, its agencies and institutions with investment-grade credit ratings and places restrictions on maturities and concentration by type and issuer. The counterparties are various corporations, financial institutions and government agencies of high credit standing.</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value hierarchy that distinguishes between the following:</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Level 1—Quoted market prices in active markets for identical assets or liabilities.</w:t>
      </w:r>
    </w:p>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Level 2—Inputs other than Level 1 inputs that are either directly or indirectly observable, such as quoted market prices, interest rates and yield curves.</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Level 3—Unobservable inputs developed using estimates of assumptions developed by the Company, which reflect those that a market participant would use. Use of these inputs involves significant and subjective judgments to be made by a reporting entity – e.g., determining an appropriate adjustment to a discount factor for illiquidity associated with a given security.</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Property and equipment are valued at cost less accumulated depreciation. Depreciation is recognized on a straight-line basis over the estimated useful lives of the related assets. Leasehold improvements are amortized on a straight-line basis over the shorter of the useful life or term of the lease. Upon retirement or disposal, the cost and related accumulated depreciation are removed from the balance sheet and the resulting gain or loss is recorded to general 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administrative expenses in the accompanying statement of operations and comprehensive loss. Routine expenditures for maintenance and repairs are expensed as incurred.</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Estimated useful lives for property and equipment are as follows: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80" w:type="dxa"/>
            <w:vAlign w:val="bottom"/>
            <w:tcBorders>
              <w:bottom w:val="single" w:sz="8" w:color="CCEEFF"/>
            </w:tcBorders>
          </w:tcPr>
          <w:p>
            <w:pPr>
              <w:spacing w:after="0"/>
              <w:rPr>
                <w:sz w:val="15"/>
                <w:szCs w:val="15"/>
                <w:color w:val="auto"/>
              </w:rPr>
            </w:pPr>
          </w:p>
        </w:tc>
        <w:tc>
          <w:tcPr>
            <w:tcW w:w="4020" w:type="dxa"/>
            <w:vAlign w:val="bottom"/>
            <w:tcBorders>
              <w:bottom w:val="single" w:sz="8" w:color="auto"/>
            </w:tcBorders>
          </w:tcPr>
          <w:p>
            <w:pPr>
              <w:jc w:val="right"/>
              <w:ind w:right="1254"/>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and peripherals</w:t>
            </w:r>
          </w:p>
        </w:tc>
        <w:tc>
          <w:tcPr>
            <w:tcW w:w="4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34"/>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Lesser of estimated useful life or remaining lease term</w:t>
            </w:r>
          </w:p>
        </w:tc>
      </w:tr>
    </w:tbl>
    <w:p>
      <w:pPr>
        <w:spacing w:after="0" w:line="17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reviews long-lived assets, which primarily consist of property and equipment, for impairment whenever events or changes in circumstances indicate that the carrying amount of an asset or group of assets may not be fully recoverable based on the criteria for accounting for the impairment or disposal of long-lived assets under ASC Topic 360, Property, Plant and Equipment. These events or changes in circumstances may include a significant deterioration of operating results, changes in business plans, or changes in anticipated future cash flows. If an impairment indicator is present, the Company evaluates recoverability by comparing the carrying amount of the assets group to future undiscounted net cash flows expected to be generated by the assets group. Assets are grouped at the lowest level for which there is identifiable cash flows that are largely independent of the cash flows generated by other asset groups. If the total of the expected undiscounted future cash flows is less than the carrying amount of the asset, an impairment loss is recognized for the difference between the fair value and carrying value of assets within the group. Fair value is generally determined by estimates of discounted cash flows. The discount rate used in any estimate of discounted cash flows would be the rate required for a similar investment of like risk. No impairment losses were recognized during the years ended December 31, 2020 or 2019.</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Construction in progress (Note 5) is carried at cost and consists of specifically identifiable direct and indirect development and construction costs. While under construction, costs of the property are included in construction in progress until the property is placed in service, at which time costs are transferred to the appropriate property and equipment account including, but not limited to, leasehold improvements or other such accounts.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enters into lease agreements for its office and laboratory facilities and accounts for them in accordance with ASC Topic 840, Leases. These leases are classified as operating leases. Rent expense is recognized on a straight-line basis over the term of the lease and, accordingly, the Company records the difference between cash rent payments and the recognition of rent expense as a deferred rent liability. Incentives granted under the Company’s facilities leases, including allowances to fund leasehold improvements, are deferred and are recognized as adjustments to rental expense on a straight-line basis over the term of the lease.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Company’s preferred stock was classified outside of stockholders’ deficit as of December 31, 2018 and for the period of 2019 during which it was outstanding because the shares carried deemed liquidation rights that were a contingent redemption feature not solely within the control of the Company. This preferred stock was fully converted to common shares during 2019. The Company did not have any outstanding preferred stock as of December 31, 2019 and 2020.</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 Including Clinical Trial Accruals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Research costs consist of employee-related costs, contractor expenses, laboratory supplies and facility costs, for research and development of product candidates are expensed as incurred. Development costs, including clinical trial-related expenses, incurred by third parties, such as clinical research organizations (CROs), are expensed as the contracted work is performed. Where contingent milestone payments are due to third parties under research and development arrangements, the milestone payment obligations are expensed when the milestone results are probable of being achieved. When evaluating the adequacy of the accrued liabilities, the Company analyzes progress of the studies, including the phase or completion of events, invoices received and contracted costs.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Clinical trial expenses are a significant component of research and development expenses, and the Company outsources a significant portion of these costs to third parties. Third-party clinical trial expenses include investigator fees, site and patient costs, CRO costs, and costs for central laboratory testing and data management. The accrual for site and patient costs includes inputs such as estimates of patient enrollment, patient cycles incurred, clinical site activations, and other pass-through costs. These inputs are required to be estimated due to a lag in receiving the actual clinical information from third parties. Payments for these activities are based on the terms of the individual arrangements, which may differ from the pattern of costs incurred, and are reflected on the balance sheets as a prepaid asset or accrued expenses. These third-party agreements are generally cancelable,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When evaluating the adequacy of the accrued expenses,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The historical clinical accrual estimates have not been materially different from the actual costs.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 in the accompanying statement of operations and comprehensive loss.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in accordance with ASC Topic 718,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(“ASC 718”). ASC 718 requires all share-based payments to employees, consultants and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grants of incentive stock options, nonqualified stock options, restricted stock awards, unrestricted stock awards or restricted stock units to employees, consultants and directors of the Company, to be recognized as expense in the statement of operations and comprehensive loss based on their grant date fair values. The Company estimates the fair value of options granted using the Black-Scholes option pricing model (“Black-Scholes”) for stock option grants to both employees and non-employees and the fair value of common stock to determine the fair value of restricted stock.</w:t>
      </w:r>
    </w:p>
    <w:p>
      <w:pPr>
        <w:spacing w:after="0" w:line="18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Black-Scholes option pricing model requires inputs based on certain subjective assumptions, including (i) the expected stock price volatility, (ii) the expected term of the award, (iii) the risk-free interest rate and (iv) expected dividends. Due to the lack of a public market for the Company’s common stock and lack of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Company uses the simplified method as prescribed by the SEC Staff Accounting Bulletin No. 107, Share-Based Payment, to calculate the expected term for options granted to employees as it does not have sufficient historical exercise data to provide a reasonable basis upon which to estimate the expected term. The expected term is applied to the stock option grant group as a whole, as the Company does not expect substantially different exercise or post-vesting termination behavior among its employee population. For options granted to non-employees, the Company utilizes the simplified method also as the basis for the expected term assumption. The risk-free interest rate is based on a treasury instrument whose term is consistent with the expected term of the stock options. The expected dividend yield is assumed to be zero because the Company has never paid dividends and has no current plans to pay any dividends on its common stock. The Company recognizes forfeitures as they occur as allowed by ASU No. 2016-09, </w:t>
      </w:r>
      <w:r>
        <w:rPr>
          <w:rFonts w:ascii="Times New Roman" w:cs="Times New Roman" w:eastAsia="Times New Roman" w:hAnsi="Times New Roman"/>
          <w:sz w:val="18"/>
          <w:szCs w:val="18"/>
          <w:i w:val="1"/>
          <w:iCs w:val="1"/>
          <w:color w:val="auto"/>
        </w:rPr>
        <w:t>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Employee Share-Based Payment Accounting </w:t>
      </w:r>
      <w:r>
        <w:rPr>
          <w:rFonts w:ascii="Times New Roman" w:cs="Times New Roman" w:eastAsia="Times New Roman" w:hAnsi="Times New Roman"/>
          <w:sz w:val="18"/>
          <w:szCs w:val="18"/>
          <w:color w:val="auto"/>
        </w:rPr>
        <w:t>(“ASU 2016-09”).</w:t>
      </w:r>
    </w:p>
    <w:p>
      <w:pPr>
        <w:spacing w:after="0" w:line="19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There are significant judgments and estimates inherent in the determination of the fair value of the Company’s common stock. These estimates and assumptions include a number of objective and subjective factors, including external market conditions, the prices at which the Company sold shares of preferred stock, the superior rights and preferences of securities senior to its common stock at the time of a liquidity event, such as the IPO or a sale, and the likelihood of such an event.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expenses the fair value of its share-based compensation awards on a straight-line basis over the requisite service period, which is generally the vesting period.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Deferred tax assets and liabilities are recognized for the estimated future tax consequences attributable to temporary differences between the financial statement carrying amounts of existing assets and liabilities and their respective tax base. Deferred tax assets and liabilities, which relate primarily to the carrying amount of the Company’s its net operating loss carryforwards, are measured using enacted tax rates expected to apply to taxable income in the years in which those temporary differences are expected to be recovered or settled. Deferred tax expense or benefit is the result of changes in the deferred tax assets and liabilities. Valuation allowances are established when necessary to reduce deferred tax assets where, based upon the available evidence, the Company concludes that it is more-likely-than-not that the deferred tax assets will not be realized. In evaluating its ability to recover deferred tax assets, the Company considers all available positive and negative evidence, including its operating results, ongoing tax planning and forecasts of future taxable income on a jurisdiction-by-jurisdiction basis. Because of the uncertainty of the realization of deferred tax assets, the Company has recorded a full valuation allowance against its deferred tax assets as of December 31, 2020 and 2019.</w:t>
      </w:r>
    </w:p>
    <w:p>
      <w:pPr>
        <w:spacing w:after="0" w:line="19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Reserves are provided for tax benefits for which realization is uncertain. Such benefits are only recognized when the underlying tax position is considered more-likely-than-not to be sustained on examination by a taxing authority, assuming they possess full knowledge of the position and facts. Interest and penalties related to uncertain tax positions are recognized in the provision of income taxes; however, the Company currently has no interest or penalties related to uncertain income tax benefits.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accounts for revenue in accordance with ASC Topic 606, Revenue from Contracts with Customers (“ASC 606”). Under ASC 606, an entity recognizes revenue when its customer obtains control of promised goods or services in an amount that reflects the consideration that the entity expects to receive in exchange for those goods or services. To determine the appropriate amount of revenue to be recognized for arrangements determined to be within the scope of ASC 606, the Company performs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Company will collect consideration to which it is entitled in exchange for the goods or services it transfers to the customer.</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evaluates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Performance obligations are promised goods or services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customer to develop the intellectual property on its own or whether the required expertise is readily available and whether the goods or services are integral to or dependent on other goods or services in the contract.</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estimates the transaction price based on the amount expected to be received for transferring the goods or services promised in the contract. Consideration generally may include fixed consideration or variable consideration. Should an arrangement include variable consideration, the Company will evaluate the amount of potential payments and the likelihood that the payments will be received. The Company will utilize either the most likely amount method or expected amount method to estimate the amount expected to be received based on which method best predicts the amount expected to be received. The amount of variable consideration that is included in the transaction price may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constrained and will be included in the transaction price only to the extent that it is probable that a significant reversal in the amount of the cumulative revenue recognized will not occur in a future period.</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Company’s contracts may include development and regulatory milestone payments, which would be assessed under the most likely amount method and constrained if it is probable that a significant revenue reversal would occur. Milestone payments that are not within the Company’s control or the licensee’s control, such as regulatory approvals, will not be considered probable of being achieved until those approvals are received. At the end of each reporting period, the Company re-evaluates the probability of achievement of such development milestones and any related constraint, and if necessary, adjusts its estimate of the overall transaction price. Any such adjustments would be recorded on a cumulative catch-up basis, which would affect collaboration revenues in the period of adjustment.</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milestone payments based on the level of sales, and the license is deemed to be the predominant item to which the royalties relate, the Company will recognize revenue at the later of (i) when the related sales occur and (ii) when the performance obligation to which some or all of the royalty has been allocated has been satisfied (or partially satisfied).</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allocates the transaction price based on the estimated stand-alone selling price of each of the performance obligations. The Company must develop assumptions that require judgment to determine the stand-alone selling price for each performance obligation identified in the contract. The Company utilizes key assumptions to determine the stand-alone selling price for service obligations, which may include other comparable transactions, pricing considered in negotiating the transaction and the estimated costs. Additionally, in determining the standalone selling price for material rights, the Company may reference comparable transactions, clinical trial success probabilities and estimates of option exercise likelihood. Variable consideration will be allocated specifically to one or more performance obligations in a contract when the terms of the variable consideration relate to the satisfaction of the performance obligation and the resulting amounts allocated are consistent with the amounts the Company would expect to receive for the satisfaction of each performance obligation.</w:t>
      </w:r>
    </w:p>
    <w:p>
      <w:pPr>
        <w:spacing w:after="0" w:line="194"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consideration allocated to each performance obligation is recognized as revenue when control is transferred for the related goods or services.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Upfront payments and fees are recorded as deferred revenue upon receipt or when due until the Company performs its obligations under these arrangements. Amounts expected to be recognized as revenue within the 12 months following the balance sheet date are classified as current portion of deferred revenue in the accompanying balance sheets. Amounts not expected to be recognized as revenue within the 12 months following the balance sheet date are classified as deferred revenue, net of current portion. Amounts are recorded as accounts receivable when the Company’s right to consideration is unconditional.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Comprehensive loss is the change in equity of a business enterprise during a period from transactions and other events and circumstances from non-owner sources. Comprehensive loss includes net loss and the change in accumulated other comprehensive loss for the period. Accumulated other comprehensive loss consisted entirely of unrealized gains and losses on available-for-sale marketable securities at December 31, 2020 and 2019.</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Basic loss per common share is determined by dividing loss attributable to common stockholders by the weighted-average number of common shares outstanding during the period, without consideration of common stock equivalents. Diluted loss per share is computed by dividing the loss attributable to common stockholders by the weighted-average number of common share equivalents outstanding for the period. The treasury stock method is used to determine the dilutive effect of the Company's stock option grants.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qualifies as an emerging growth company (“EGC”) as defined under the Jumpstart Our Business Startups Act (the “JOBS Act”). Using exemptions provided under the JOBS Act provided to EGCs, the Company has elected to defer compliance with new or revised financial accounting standards until it is required to comply with such standards.</w:t>
      </w:r>
    </w:p>
    <w:p>
      <w:pPr>
        <w:spacing w:after="0" w:line="18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ASU 2016-02 (Topic 842), Leases (“ASC 842”). ASC 842 supersedes the lease recognition requirements in ASC 840, Leases. ASC 842 clarifies the definition of a lease and requires lessees to recognize right-of-use assets and lease liabilities for all leases, including those classified as operating leases under previous lease accounting guidance. For public entities, ASU 2016-02 was effective for fiscal years beginning after December 15, 2018, including interim periods within that year. As a result of the Company having elected the extended transition period for complying with new or revised accounting standards pursuant to Section 107(b) of the JOBS Act, ASC 842 will be effective for the Company on January 1, 2022. Originally, entities were required to adopt ASC 842 using a modified retrospective transition method. However, in July 2018, the FASB issued ASU 2018-11 (Topic 842), Leases: Targeted Improvements, which provides entities with an additional transition method. Under ASU 2018-11, entities have the option of initially applying ASC 842 at the adoption date, rather than at the beginning of the earliest period presented, and recognizing the cumulative effect of applying the new standard as an adjustment to beginning retained earnings in the year of adoption while continuing to present all prior periods under previous lease accounting guidance. The Company is currently evaluating the impact of adopting this guidance on the Company’s financial statements. The Company currently expects that its operating lease commitments will be subject to the new standard and recognized as right-of-use assets and operating lease liabilities upon adoption of this standard, which will increase the total assets and total liabilities that it reports relative to such amounts presented prior to adoption.</w:t>
      </w:r>
    </w:p>
    <w:p>
      <w:pPr>
        <w:spacing w:after="0" w:line="19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Measurement of Credit Losses on Financial Instruments (“ASU 2016-13”). ASU 2016-13 will require credit losses to be reported using an expected losses model rather than the incurred losses model that is currently used and will require additional disclosures related to credit risks. For available-for-sale debt securities with unrealized losses, this standard will require allowances to be recorded instead of reducing the amortized cost of the investment. ASU 2016-13 will be effective for the Company for fiscal years beginning after December 15, 2022 and interim periods within those fiscal years. Early adoption is permitted and the Company plans to adopt ASU 2016-13 on January 1, 2021. The Company is implementing the related internal controls, business processes, and accounting policies related to both the implementation of, and ongoing compliance with, the new guidance. The impact on the operating results or consolidated statements of cash flows is expected to be immaterial.</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issued by the FASB. All other ASUs issued subsequent to the filing of the Company’s Annual Report were assessed and determined to be either inapplicable or not expected to have a material impact on the Company’s financial position or results of operations.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Marketable securities consist of the following:</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4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242,900</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854</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243,679</w:t>
            </w:r>
          </w:p>
        </w:tc>
        <w:tc>
          <w:tcPr>
            <w:tcW w:w="0" w:type="dxa"/>
            <w:vAlign w:val="bottom"/>
          </w:tcPr>
          <w:p>
            <w:pPr>
              <w:spacing w:after="0"/>
              <w:rPr>
                <w:sz w:val="1"/>
                <w:szCs w:val="1"/>
                <w:color w:val="auto"/>
              </w:rPr>
            </w:pPr>
          </w:p>
        </w:tc>
      </w:tr>
      <w:tr>
        <w:trPr>
          <w:trHeight w:val="216"/>
        </w:trPr>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249,897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250,676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1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4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gridSpan w:val="3"/>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Agency bonds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24,451</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271,072</w:t>
            </w:r>
          </w:p>
        </w:tc>
        <w:tc>
          <w:tcPr>
            <w:tcW w:w="0" w:type="dxa"/>
            <w:vAlign w:val="bottom"/>
          </w:tcPr>
          <w:p>
            <w:pPr>
              <w:spacing w:after="0"/>
              <w:rPr>
                <w:sz w:val="1"/>
                <w:szCs w:val="1"/>
                <w:color w:val="auto"/>
              </w:rPr>
            </w:pPr>
          </w:p>
        </w:tc>
      </w:tr>
      <w:tr>
        <w:trPr>
          <w:trHeight w:val="209"/>
        </w:trPr>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300,552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gridSpan w:val="3"/>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300,514</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2020, no marketable securities are considered to be other-than-temporarily impaired. The Company uses the specific identification method when calculating realized gains and losses. The Company recorded $70,000 and $0 in realized gains on available-for-sale securities for the years ended December 31, 2020 and 2019, respectively, which is included in other income on the statements of operations and comprehensive loss.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maturities of the Company’s investments available-for-sale as of December 31,</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2020:</w:t>
      </w:r>
    </w:p>
    <w:p>
      <w:pPr>
        <w:spacing w:after="0" w:line="214"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20" w:type="dxa"/>
            <w:vAlign w:val="bottom"/>
            <w:tcBorders>
              <w:bottom w:val="single" w:sz="8" w:color="auto"/>
            </w:tcBorders>
            <w:gridSpan w:val="4"/>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117"/>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tcPr>
          <w:p>
            <w:pPr>
              <w:spacing w:after="0"/>
              <w:rPr>
                <w:sz w:val="10"/>
                <w:szCs w:val="10"/>
                <w:color w:val="auto"/>
              </w:rPr>
            </w:pPr>
          </w:p>
        </w:tc>
        <w:tc>
          <w:tcPr>
            <w:tcW w:w="9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0"/>
                <w:szCs w:val="10"/>
                <w:color w:val="auto"/>
              </w:rPr>
            </w:pPr>
          </w:p>
        </w:tc>
        <w:tc>
          <w:tcPr>
            <w:tcW w:w="780" w:type="dxa"/>
            <w:vAlign w:val="bottom"/>
          </w:tcPr>
          <w:p>
            <w:pPr>
              <w:jc w:val="right"/>
              <w:ind w:right="184"/>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73"/>
        </w:trPr>
        <w:tc>
          <w:tcPr>
            <w:tcW w:w="3980" w:type="dxa"/>
            <w:vAlign w:val="bottom"/>
            <w:gridSpan w:val="2"/>
            <w:vMerge w:val="continue"/>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Maturities:</w:t>
            </w:r>
          </w:p>
        </w:tc>
        <w:tc>
          <w:tcPr>
            <w:tcW w:w="1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$ 161,216</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$ 162,009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1 to 2 years</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88,667</w:t>
            </w:r>
          </w:p>
        </w:tc>
        <w:tc>
          <w:tcPr>
            <w:tcW w:w="0" w:type="dxa"/>
            <w:vAlign w:val="bottom"/>
          </w:tcPr>
          <w:p>
            <w:pPr>
              <w:spacing w:after="0"/>
              <w:rPr>
                <w:sz w:val="1"/>
                <w:szCs w:val="1"/>
                <w:color w:val="auto"/>
              </w:rPr>
            </w:pPr>
          </w:p>
        </w:tc>
      </w:tr>
      <w:tr>
        <w:trPr>
          <w:trHeight w:val="210"/>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14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$ 249,897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$ 250,676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The Company has classified all of its investments available-for-sale, including those with maturities beyond one year, as current assets on the accompanying balance sheets based on the highly-liquid nature of these investment securities and because these investment securities are considered available for use in current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financial assets by level within the fair value hierarchy as of December 31, 2020 and 2019:</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0"/>
                <w:szCs w:val="10"/>
                <w:color w:val="auto"/>
              </w:rPr>
            </w:pPr>
          </w:p>
        </w:tc>
        <w:tc>
          <w:tcPr>
            <w:tcW w:w="8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or</w:t>
            </w:r>
          </w:p>
        </w:tc>
        <w:tc>
          <w:tcPr>
            <w:tcW w:w="1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332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34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243,679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261,831</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40" w:type="dxa"/>
            <w:vAlign w:val="bottom"/>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$ 250,676</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3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0"/>
                <w:szCs w:val="10"/>
                <w:color w:val="auto"/>
              </w:rPr>
            </w:pPr>
          </w:p>
        </w:tc>
        <w:tc>
          <w:tcPr>
            <w:tcW w:w="8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or</w:t>
            </w:r>
          </w:p>
        </w:tc>
        <w:tc>
          <w:tcPr>
            <w:tcW w:w="1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332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19,341</w:t>
            </w:r>
          </w:p>
        </w:tc>
        <w:tc>
          <w:tcPr>
            <w:tcW w:w="34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Agency bonds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5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271,072</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271,072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319,855</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19,341</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$ 300,514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transfer any assets measured at fair value on a recurring basis between fair value levels during the years ended December 31, 2020 and 2019.</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carrying value of financial instruments, including trade receivables, accounts payable and accrued liabilities approximate fair value because of the short-term maturity of these items. The estimated fair values may not represent actual values of the financial instruments that could be realized as of the balance sheet date or that will be realized in the future.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5"/>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48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equipment</w:t>
            </w:r>
          </w:p>
        </w:tc>
        <w:tc>
          <w:tcPr>
            <w:tcW w:w="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9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Construction in progress at December 31, 2020 and 2019 consists of the costs incurred for research equipment and for the build-out of additional lab and office space.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$3.4 million and $2.7 million for the years ended December 31, 2020 and 2019,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Accrued Liabilities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liabilities consist of the following:</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70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trial costs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7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Former Agreement with Eli Lilly and Company</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November 2, 2018, the Company entered into a multi-year research and development collaboration agreement (the “Lilly Agreement”) with Eli Lilly and Company (“Lilly”), pursuant to which the Company agreed to use its proprietary FIND-IO platform to identify novel oncology targets for additional collaborative research and drug discovery by the Company and Lilly. Effective March 3, 2020, Lilly, terminated the Lilly Agreement without cause. The Company recognized revenue under the Lilly Agreement of $22.4 million and $6.3 million for the years ended December 31, 2020 and December 31, 2019, respectively. Effective with the termination of the agreement, no further quarterly research and development support payments are payable to the Company.</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leases primarily comprise real estate for office and manufacturing space.</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 December 31, 2020, the Company’s minimum obligations under non-cancelable operating leases are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6350</wp:posOffset>
            </wp:positionV>
            <wp:extent cx="451739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7"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4340" w:type="dxa"/>
            <w:vAlign w:val="bottom"/>
            <w:gridSpan w:val="2"/>
          </w:tcPr>
          <w:p>
            <w:pPr>
              <w:jc w:val="right"/>
              <w:ind w:right="3890"/>
              <w:spacing w:after="0"/>
              <w:rPr>
                <w:sz w:val="20"/>
                <w:szCs w:val="20"/>
                <w:color w:val="auto"/>
              </w:rPr>
            </w:pPr>
            <w:r>
              <w:rPr>
                <w:rFonts w:ascii="Times New Roman" w:cs="Times New Roman" w:eastAsia="Times New Roman" w:hAnsi="Times New Roman"/>
                <w:sz w:val="18"/>
                <w:szCs w:val="18"/>
                <w:color w:val="auto"/>
                <w:w w:val="94"/>
              </w:rPr>
              <w:t>2021</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jc w:val="right"/>
              <w:ind w:right="3890"/>
              <w:spacing w:after="0"/>
              <w:rPr>
                <w:sz w:val="20"/>
                <w:szCs w:val="20"/>
                <w:color w:val="auto"/>
              </w:rPr>
            </w:pPr>
            <w:r>
              <w:rPr>
                <w:rFonts w:ascii="Times New Roman" w:cs="Times New Roman" w:eastAsia="Times New Roman" w:hAnsi="Times New Roman"/>
                <w:sz w:val="18"/>
                <w:szCs w:val="18"/>
                <w:color w:val="auto"/>
                <w:w w:val="88"/>
              </w:rPr>
              <w:t>2022</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16"/>
        </w:trPr>
        <w:tc>
          <w:tcPr>
            <w:tcW w:w="20" w:type="dxa"/>
            <w:vAlign w:val="bottom"/>
          </w:tcPr>
          <w:p>
            <w:pPr>
              <w:spacing w:after="0"/>
              <w:rPr>
                <w:sz w:val="18"/>
                <w:szCs w:val="18"/>
                <w:color w:val="auto"/>
              </w:rPr>
            </w:pPr>
          </w:p>
        </w:tc>
        <w:tc>
          <w:tcPr>
            <w:tcW w:w="4320" w:type="dxa"/>
            <w:vAlign w:val="bottom"/>
          </w:tcPr>
          <w:p>
            <w:pPr>
              <w:jc w:val="right"/>
              <w:ind w:right="3890"/>
              <w:spacing w:after="0"/>
              <w:rPr>
                <w:sz w:val="20"/>
                <w:szCs w:val="20"/>
                <w:color w:val="auto"/>
              </w:rPr>
            </w:pPr>
            <w:r>
              <w:rPr>
                <w:rFonts w:ascii="Times New Roman" w:cs="Times New Roman" w:eastAsia="Times New Roman" w:hAnsi="Times New Roman"/>
                <w:sz w:val="18"/>
                <w:szCs w:val="18"/>
                <w:color w:val="auto"/>
                <w:w w:val="88"/>
              </w:rPr>
              <w:t>2023</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jc w:val="right"/>
              <w:ind w:right="3890"/>
              <w:spacing w:after="0"/>
              <w:rPr>
                <w:sz w:val="20"/>
                <w:szCs w:val="20"/>
                <w:color w:val="auto"/>
              </w:rPr>
            </w:pPr>
            <w:r>
              <w:rPr>
                <w:rFonts w:ascii="Times New Roman" w:cs="Times New Roman" w:eastAsia="Times New Roman" w:hAnsi="Times New Roman"/>
                <w:sz w:val="18"/>
                <w:szCs w:val="18"/>
                <w:color w:val="auto"/>
                <w:w w:val="88"/>
              </w:rPr>
              <w:t>2024</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16"/>
        </w:trPr>
        <w:tc>
          <w:tcPr>
            <w:tcW w:w="20" w:type="dxa"/>
            <w:vAlign w:val="bottom"/>
          </w:tcPr>
          <w:p>
            <w:pPr>
              <w:spacing w:after="0"/>
              <w:rPr>
                <w:sz w:val="18"/>
                <w:szCs w:val="18"/>
                <w:color w:val="auto"/>
              </w:rPr>
            </w:pPr>
          </w:p>
        </w:tc>
        <w:tc>
          <w:tcPr>
            <w:tcW w:w="4320" w:type="dxa"/>
            <w:vAlign w:val="bottom"/>
          </w:tcPr>
          <w:p>
            <w:pPr>
              <w:jc w:val="right"/>
              <w:ind w:right="3490"/>
              <w:spacing w:after="0"/>
              <w:rPr>
                <w:sz w:val="20"/>
                <w:szCs w:val="20"/>
                <w:color w:val="auto"/>
              </w:rPr>
            </w:pPr>
            <w:r>
              <w:rPr>
                <w:rFonts w:ascii="Times New Roman" w:cs="Times New Roman" w:eastAsia="Times New Roman" w:hAnsi="Times New Roman"/>
                <w:sz w:val="18"/>
                <w:szCs w:val="18"/>
                <w:color w:val="auto"/>
                <w:w w:val="95"/>
              </w:rPr>
              <w:t>Thereafter</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6,705</w:t>
            </w:r>
          </w:p>
        </w:tc>
      </w:tr>
      <w:tr>
        <w:trPr>
          <w:trHeight w:val="209"/>
        </w:trPr>
        <w:tc>
          <w:tcPr>
            <w:tcW w:w="20" w:type="dxa"/>
            <w:vAlign w:val="bottom"/>
          </w:tcPr>
          <w:p>
            <w:pPr>
              <w:spacing w:after="0"/>
              <w:rPr>
                <w:sz w:val="18"/>
                <w:szCs w:val="18"/>
                <w:color w:val="auto"/>
              </w:rPr>
            </w:pPr>
          </w:p>
        </w:tc>
        <w:tc>
          <w:tcPr>
            <w:tcW w:w="4320" w:type="dxa"/>
            <w:vAlign w:val="bottom"/>
            <w:tcBorders>
              <w:top w:val="single" w:sz="8" w:color="CCEEFF"/>
              <w:bottom w:val="single" w:sz="8" w:color="CCEEFF"/>
            </w:tcBorders>
            <w:shd w:val="clear" w:color="auto" w:fill="CCEEFF"/>
          </w:tcPr>
          <w:p>
            <w:pPr>
              <w:jc w:val="right"/>
              <w:ind w:right="1810"/>
              <w:spacing w:after="0"/>
              <w:rPr>
                <w:sz w:val="20"/>
                <w:szCs w:val="20"/>
                <w:color w:val="auto"/>
              </w:rPr>
            </w:pPr>
            <w:r>
              <w:rPr>
                <w:rFonts w:ascii="Times New Roman" w:cs="Times New Roman" w:eastAsia="Times New Roman" w:hAnsi="Times New Roman"/>
                <w:sz w:val="18"/>
                <w:szCs w:val="18"/>
                <w:color w:val="auto"/>
              </w:rPr>
              <w:t>Total future minimum payments</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10,593</w:t>
            </w: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Rent expense incurred under operating leases was approximately $870,000 and $679,000 for the years ended December 31, 2020 and 2019,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from time to time, is a party to litigation or legal proceedings arising in the ordinary course of business. The Company is not a party to any litigation or legal proceedings, nor is management aware of any pending or threatened litigation that, in the opinion of the Company’s management, are likely to have a material adverse effect on the Company’s business. At each reporting date, the Company evaluates whether a potential loss amount or a potential range of loss is probable and reasonably estimable under the provisions of the authoritative guidance that addresses accounting for contingencies. The Company expenses the costs related to its legal proceedings as incurred.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September 21, 2020, a putative stockholder class action was filed in the U.S. District Court for the Southern District of New York styled </w:t>
      </w:r>
      <w:r>
        <w:rPr>
          <w:rFonts w:ascii="Times New Roman" w:cs="Times New Roman" w:eastAsia="Times New Roman" w:hAnsi="Times New Roman"/>
          <w:sz w:val="18"/>
          <w:szCs w:val="18"/>
          <w:i w:val="1"/>
          <w:iCs w:val="1"/>
          <w:color w:val="auto"/>
        </w:rPr>
        <w:t>Ye Zhou v. NextCure, Inc., et. al.</w:t>
      </w:r>
      <w:r>
        <w:rPr>
          <w:rFonts w:ascii="Times New Roman" w:cs="Times New Roman" w:eastAsia="Times New Roman" w:hAnsi="Times New Roman"/>
          <w:sz w:val="18"/>
          <w:szCs w:val="18"/>
          <w:color w:val="auto"/>
        </w:rPr>
        <w:t>, Case 1:20-cv-0772 (S.D.N.Y.). On February 26, 2021, the Lead Plaintiff filed a consolidated amended complaint that asserts claims against us, certain of our officers and members of our board of directors, and the underwriters in our May 2019 initial public offering and November 2019 underwritten secondary public offering. The complaint alleges that the defendants violated provisions of the Securities Exchange Act of 1934, as amended, and the Securities Act of 1933, as amended, with respect to statements made regarding our lead product candidate, NC318, and the FIND-IO platform. The complaint seeks unspecified damages on behalf of a purported class of purchasers of our securities between May 8, 2019 and July 14, 2020. Defendants intend to move to dismiss the consolidated amended complaint and discovery is stayed pending resolution of that motion.</w:t>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intends to vigorously defend the action. However, whether or not the claims are successful, this type of litigation is often expensive. Due to the early stages of this matter and unspecified damages sought, at this time, the Company is unable to estimate the potential loss or range of losses. The Company, however, will continue to evaluate information as it becomes known and will record an estimate for losses at the time or times when it is both probable that a loss has been incurred and the amount of the loss is reasonably estimable.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Term Loan</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Times New Roman" w:cs="Times New Roman" w:eastAsia="Times New Roman" w:hAnsi="Times New Roman"/>
          <w:sz w:val="17"/>
          <w:szCs w:val="17"/>
          <w:color w:val="auto"/>
        </w:rPr>
        <w:t>In April 2016, the Company entered into a $1.0 million term loan (the “Term Loan”). On January 25, 2019, the Company amended the Term Loan to increase the Company’s borrowing capacity to $5.0 million, which amount remains secured by the Company’s certificates of deposit, money market account, investment property and deposit or investment accounts. As amended, the Term Loan bears interest at the greater of the prime rate less 1% and 4.25%. The effective interest rate was 4.25% and 4.40% for the years ended December 31, 2020 and 2019, respectively. Under the Term Loan, the Company was required to make monthly interest-only payments through January 2020 and is required to make 36 equal monthly payments of principal plus accrued interest thereafter through January 2023. Interest expense under the Term Loan was approximately $183,000 and $209,000 for the years ended December 31, 2020 and 2019, respectively. The outstanding balance on the Term Loan totaled $3.5 million and $5.0 million as of December 31, 2020 and 2019, respectively.</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Future maturities of the Term Loan as of December 31, 2020 are as follows:</w:t>
      </w:r>
    </w:p>
    <w:p>
      <w:pPr>
        <w:spacing w:after="0" w:line="234"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20" w:type="dxa"/>
            <w:vAlign w:val="bottom"/>
          </w:tcPr>
          <w:p>
            <w:pPr>
              <w:spacing w:after="0"/>
              <w:rPr>
                <w:sz w:val="18"/>
                <w:szCs w:val="18"/>
                <w:color w:val="auto"/>
              </w:rPr>
            </w:pPr>
          </w:p>
        </w:tc>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2024</w:t>
            </w:r>
          </w:p>
        </w:tc>
        <w:tc>
          <w:tcPr>
            <w:tcW w:w="1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r>
      <w:tr>
        <w:trPr>
          <w:trHeight w:val="216"/>
        </w:trPr>
        <w:tc>
          <w:tcPr>
            <w:tcW w:w="20" w:type="dxa"/>
            <w:vAlign w:val="bottom"/>
          </w:tcPr>
          <w:p>
            <w:pPr>
              <w:spacing w:after="0"/>
              <w:rPr>
                <w:sz w:val="18"/>
                <w:szCs w:val="18"/>
                <w:color w:val="auto"/>
              </w:rPr>
            </w:pPr>
          </w:p>
        </w:tc>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 of term loan</w:t>
            </w:r>
          </w:p>
        </w:tc>
        <w:tc>
          <w:tcPr>
            <w:tcW w:w="1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w:t>
            </w: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Term loan, net of current portion</w:t>
            </w:r>
          </w:p>
        </w:tc>
        <w:tc>
          <w:tcPr>
            <w:tcW w:w="19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Preferred Stock</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Upon the closing of the IPO, on May 13, 2019, all of the outstanding shares of the Company’s preferred stock automatically converted into shares of common stock at the applicable conversion ratio then in effect. Subsequent to the closing of the IPO, there were no shares of preferred stock outstanding.</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2020, the Company’s certificate of incorporation, as amended and restated, authorized the Company to issue 10,000,000 shares of $0.001 par value preferred stock, and there were no shares of preferred stock issued or outstanding. The Company can fix the price, rights, preferences, privileges and restrictions of the preferred stock without any further vote or action by its stockholders.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Common Stock</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2020, the Company’s Certificate of Incorporation, as amended and restated, authorized the Company to issue 100,000,000 shares of $0.001 par value common stock, of which 27,568,802 were issued and outstanding.</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entitled to receive dividends, as may be declared by the board of directors, if any, subject to the preferential dividend rights of any preferred stock. No dividends have been declared or paid by the Company through December 31, 2020.</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the event of any liquidation or dissolution of the Company, the holders of common stock are entitled to the remaining assets of the Company legally available for distribution after the payment of the full liquidation preference for any preferred stock.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 Equity Plans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NextCure, Inc. 2015 Omnibus Incentive Plan (the “2015 Plan”) provides for the grant of awards of stock options, restricted stock awards, unrestricted stock awards and restricted stock units to employees, consultants and directors of the Company. The 2015 Plan is administered by the board of directors or, at the discretion of the board of directors, by a committee of the board of directors.</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May 3, 2019, the Company’s stockholders approved the NextCure, Inc. 2019 Omnibus Incentive Plan (the “2019 Plan”), which became effective on May 8, 2019, the date on which the Company’s Registration Statement on Form S-1 (Reg. No. 333-230837) was declared effective (the “Effective Date”). The Company’s board of directors (the “Board”) determined not to make additional awards under the 2015 Plan following the effectiveness of the 2019 Plan. The 2019 Plan provides for the grant of awards of stock options, stock appreciation rights, restricted stock, restricted stock units, deferred stock units, unrestricted stock, dividend equivalent rights, other equity-based awards and cash bonus awards to the Company’s officers, employees, non-employee directors and other key persons (including consultants). The number of shares of common stock reserved for issuance under the 2019 Plan is 2,900,000 plus the number of shares of stock related to awards outstanding under the 2015 Plan that subsequently terminate by expiration or forfeiture, cancellation or otherwise without the issuance of such shares. The number of shares reserved for issuance under the 2019 Plan will automatically increase on January 1, 2020 and each January 1st thereafter during the term of the 2019 Plan by 4% of the number of shares of the Company’s common stock outstanding on December 31st of the preceding calendar year or such lesser number of shares determined by the Board.</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2020, 2,749,830 shares were reserved for future issuance under the 2019 Plan.</w:t>
      </w:r>
    </w:p>
    <w:p>
      <w:pPr>
        <w:spacing w:after="0" w:line="25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Stock options granted under the 2015 Plan and 2019 Plan (together, the “Plans”) to employees generally vest over four years and expire after 10 years.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5" w:name="page116"/>
    <w:bookmarkEnd w:id="11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summary of stock option activity for awards under the Plans is presented below:</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520" w:type="dxa"/>
            <w:vAlign w:val="bottom"/>
            <w:tcBorders>
              <w:bottom w:val="single" w:sz="8" w:color="auto"/>
            </w:tcBorders>
            <w:gridSpan w:val="9"/>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Options Outstanding and Exercisable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900" w:type="dxa"/>
            <w:vAlign w:val="bottom"/>
            <w:gridSpan w:val="2"/>
          </w:tcPr>
          <w:p>
            <w:pPr>
              <w:jc w:val="center"/>
              <w:ind w:left="33"/>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w:t>
            </w:r>
            <w:r>
              <w:rPr>
                <w:rFonts w:ascii="Times New Roman" w:cs="Times New Roman" w:eastAsia="Times New Roman" w:hAnsi="Times New Roman"/>
                <w:sz w:val="10"/>
                <w:szCs w:val="10"/>
                <w:b w:val="1"/>
                <w:bCs w:val="1"/>
                <w:color w:val="auto"/>
                <w:w w:val="98"/>
              </w:rPr>
              <w:t>(1)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31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2019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2,056,891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258,897</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(125,108)</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Forfeitures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(20,468)</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4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tcBorders>
              <w:bottom w:val="single" w:sz="8" w:color="CCEEFF"/>
            </w:tcBorders>
          </w:tcPr>
          <w:p>
            <w:pPr>
              <w:spacing w:after="0"/>
              <w:rPr>
                <w:sz w:val="17"/>
                <w:szCs w:val="17"/>
                <w:color w:val="auto"/>
              </w:rPr>
            </w:pPr>
          </w:p>
        </w:tc>
        <w:tc>
          <w:tcPr>
            <w:tcW w:w="316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gridSpan w:val="2"/>
            <w:vMerge w:val="continue"/>
          </w:tcPr>
          <w:p>
            <w:pPr>
              <w:spacing w:after="0"/>
              <w:rPr>
                <w:sz w:val="17"/>
                <w:szCs w:val="17"/>
                <w:color w:val="auto"/>
              </w:rPr>
            </w:pPr>
          </w:p>
        </w:tc>
        <w:tc>
          <w:tcPr>
            <w:tcW w:w="5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2,170,212</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113,295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1,115,720</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(69,542)</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(104,014)</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4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tcBorders>
              <w:bottom w:val="single" w:sz="8" w:color="CCEEFF"/>
            </w:tcBorders>
          </w:tcPr>
          <w:p>
            <w:pPr>
              <w:spacing w:after="0"/>
              <w:rPr>
                <w:sz w:val="17"/>
                <w:szCs w:val="17"/>
                <w:color w:val="auto"/>
              </w:rPr>
            </w:pPr>
          </w:p>
        </w:tc>
        <w:tc>
          <w:tcPr>
            <w:tcW w:w="316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gridSpan w:val="2"/>
            <w:vMerge w:val="continue"/>
          </w:tcPr>
          <w:p>
            <w:pPr>
              <w:spacing w:after="0"/>
              <w:rPr>
                <w:sz w:val="17"/>
                <w:szCs w:val="17"/>
                <w:color w:val="auto"/>
              </w:rPr>
            </w:pPr>
          </w:p>
        </w:tc>
        <w:tc>
          <w:tcPr>
            <w:tcW w:w="5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2020</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3,112,376</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220" w:type="dxa"/>
            <w:vAlign w:val="bottom"/>
            <w:tcBorders>
              <w:bottom w:val="single" w:sz="8" w:color="CCEEFF"/>
            </w:tcBorders>
            <w:shd w:val="clear" w:color="auto" w:fill="CCEEFF"/>
          </w:tcPr>
          <w:p>
            <w:pPr>
              <w:spacing w:after="0"/>
              <w:rPr>
                <w:sz w:val="16"/>
                <w:szCs w:val="16"/>
                <w:color w:val="auto"/>
              </w:rPr>
            </w:pPr>
          </w:p>
        </w:tc>
        <w:tc>
          <w:tcPr>
            <w:tcW w:w="3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2020</w:t>
            </w: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380" w:type="dxa"/>
            <w:vAlign w:val="bottom"/>
            <w:gridSpan w:val="2"/>
            <w:vMerge w:val="continue"/>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3,112,376</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10,810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20" w:type="dxa"/>
            <w:vAlign w:val="bottom"/>
            <w:tcBorders>
              <w:bottom w:val="single" w:sz="8" w:color="CCEEFF"/>
            </w:tcBorders>
          </w:tcPr>
          <w:p>
            <w:pPr>
              <w:spacing w:after="0"/>
              <w:rPr>
                <w:sz w:val="19"/>
                <w:szCs w:val="19"/>
                <w:color w:val="auto"/>
              </w:rPr>
            </w:pPr>
          </w:p>
        </w:tc>
        <w:tc>
          <w:tcPr>
            <w:tcW w:w="31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CCEEFF"/>
            </w:tcBorders>
            <w:gridSpan w:val="2"/>
            <w:vMerge w:val="continue"/>
          </w:tcPr>
          <w:p>
            <w:pPr>
              <w:spacing w:after="0"/>
              <w:rPr>
                <w:sz w:val="19"/>
                <w:szCs w:val="19"/>
                <w:color w:val="auto"/>
              </w:rPr>
            </w:pPr>
          </w:p>
        </w:tc>
        <w:tc>
          <w:tcPr>
            <w:tcW w:w="500" w:type="dxa"/>
            <w:vAlign w:val="bottom"/>
            <w:tcBorders>
              <w:bottom w:val="single" w:sz="8" w:color="CCEEFF"/>
            </w:tcBorders>
            <w:vMerge w:val="continue"/>
          </w:tcPr>
          <w:p>
            <w:pPr>
              <w:spacing w:after="0"/>
              <w:rPr>
                <w:sz w:val="19"/>
                <w:szCs w:val="19"/>
                <w:color w:val="auto"/>
              </w:rPr>
            </w:pPr>
          </w:p>
        </w:tc>
        <w:tc>
          <w:tcPr>
            <w:tcW w:w="900" w:type="dxa"/>
            <w:vAlign w:val="bottom"/>
            <w:tcBorders>
              <w:bottom w:val="single" w:sz="8" w:color="CCEEFF"/>
            </w:tcBorders>
            <w:gridSpan w:val="2"/>
            <w:vMerge w:val="continue"/>
          </w:tcPr>
          <w:p>
            <w:pPr>
              <w:spacing w:after="0"/>
              <w:rPr>
                <w:sz w:val="19"/>
                <w:szCs w:val="19"/>
                <w:color w:val="auto"/>
              </w:rPr>
            </w:pPr>
          </w:p>
        </w:tc>
        <w:tc>
          <w:tcPr>
            <w:tcW w:w="260" w:type="dxa"/>
            <w:vAlign w:val="bottom"/>
            <w:tcBorders>
              <w:bottom w:val="single" w:sz="8" w:color="CCEEFF"/>
            </w:tcBorders>
            <w:gridSpan w:val="2"/>
            <w:vMerge w:val="continue"/>
          </w:tcPr>
          <w:p>
            <w:pPr>
              <w:spacing w:after="0"/>
              <w:rPr>
                <w:sz w:val="19"/>
                <w:szCs w:val="19"/>
                <w:color w:val="auto"/>
              </w:rPr>
            </w:pPr>
          </w:p>
        </w:tc>
        <w:tc>
          <w:tcPr>
            <w:tcW w:w="78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Exercisable as of December 31, 2020</w:t>
            </w: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1,212,614</w:t>
            </w:r>
          </w:p>
        </w:tc>
        <w:tc>
          <w:tcPr>
            <w:tcW w:w="240" w:type="dxa"/>
            <w:vAlign w:val="bottom"/>
            <w:gridSpan w:val="2"/>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5.16</w:t>
            </w:r>
          </w:p>
        </w:tc>
        <w:tc>
          <w:tcPr>
            <w:tcW w:w="9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260" w:type="dxa"/>
            <w:vAlign w:val="bottom"/>
            <w:gridSpan w:val="2"/>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7,450</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3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fair value of the common stock for the options that were in the money at December 31, 2020 and 2019.</w:t>
      </w:r>
    </w:p>
    <w:p>
      <w:pPr>
        <w:spacing w:after="0" w:line="16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per share of stock options granted during the years ended December 31, 2020 and 2019 was $23.25 and $11.92, respectively. The aggregate intrinsic value of stock options exercised during the years ended December 31, 2020 and 2019 was $633,000 and $7,225,000, respectively.</w:t>
      </w:r>
    </w:p>
    <w:p>
      <w:pPr>
        <w:spacing w:after="0" w:line="176"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The aggregate grant date fair value of stock options and restricted stock vested during the year ended December 31, 2020 and 2019 was approximately $2,389,000 and $1,322,000, respectively.</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May 3, 2019, the Company’s stockholders approved the NextCure, Inc. 2019 Employee Stock Purchase Plan (the “ESPP”), which became effective on the Effective Date. The ESPP is intended to qualify as an “employee stock purchase plan” within the meaning of Section 423(b) of the Internal Revenue Code. A total of 240,000 shares of common stock were reserved for issuance under this plan. In addition, the number of shares of common stock that may be issued under the ESPP will automatically increase on January 1, 2020 and each January 1st thereafter until expiration of the ESPP, in an amount equal to the lesser of (i) 1% of the number of shares of the Company’s common stock outstanding on December 31st of the preceding calendar year, (ii) 480,000 shares of common stock and (iii) a number of shares of common stock determined by the administrator of the ESPP. As of December 31, 2020, no shares of common stock had been issued pursuant to the ESPP and 240,000 shares were reserved for future issuance thereunder.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6" w:name="page117"/>
    <w:bookmarkEnd w:id="11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recorded stock-based compensation expense of $7.9 million and $1.9 million during the years ended December 31, 2020 and 2019, respectively. As of December 31, 2020, there was $23.3 million of unrecognized compensation cost related to unvested stock-based compensation arrangements granted under the Plans. This remaining compensation expense is expected to be recognized over a weighted-average period of three years as of December 31, 2020.</w:t>
      </w:r>
    </w:p>
    <w:p>
      <w:pPr>
        <w:spacing w:after="0" w:line="183"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recorded as research and development and general and administrative expenses is as follows:</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4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vMerge w:val="continue"/>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09"/>
        </w:trPr>
        <w:tc>
          <w:tcPr>
            <w:tcW w:w="4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assumptions used in the Black-Scholes option-pricing model for stock options granted were as follows: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6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years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years</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8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69.7 - 81.1 %</w:t>
            </w:r>
          </w:p>
        </w:tc>
        <w:tc>
          <w:tcPr>
            <w:tcW w:w="9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69.7 %</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286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0.3 - 1.0 %</w:t>
            </w:r>
          </w:p>
        </w:tc>
        <w:tc>
          <w:tcPr>
            <w:tcW w:w="9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1.90 %</w:t>
            </w: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0" w:type="dxa"/>
            <w:vAlign w:val="bottom"/>
          </w:tcPr>
          <w:p>
            <w:pPr>
              <w:spacing w:after="0"/>
              <w:rPr>
                <w:sz w:val="20"/>
                <w:szCs w:val="20"/>
                <w:color w:val="auto"/>
              </w:rPr>
            </w:pPr>
          </w:p>
        </w:tc>
        <w:tc>
          <w:tcPr>
            <w:tcW w:w="12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Net Loss Per Share Attributable to Common Stockholders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Company’s potential dilutive securities, which include common stock options, have been excluded from the computation of diluted net loss per share as the effect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 for the period indicated because including them would have had an anti-dilutive effect:</w:t>
      </w:r>
    </w:p>
    <w:p>
      <w:pPr>
        <w:spacing w:after="0" w:line="194"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7620</wp:posOffset>
            </wp:positionV>
            <wp:extent cx="11741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ind w:left="6520"/>
        <w:spacing w:after="0"/>
        <w:tabs>
          <w:tab w:leader="none" w:pos="750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tbl>
      <w:tblPr>
        <w:tblLayout w:type="fixed"/>
        <w:tblInd w:w="920" w:type="dxa"/>
        <w:tblCellMar>
          <w:top w:w="0" w:type="dxa"/>
          <w:left w:w="0" w:type="dxa"/>
          <w:bottom w:w="0" w:type="dxa"/>
          <w:right w:w="0" w:type="dxa"/>
        </w:tblCellMar>
      </w:tblP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3,112,376</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2,170,212</w:t>
            </w:r>
          </w:p>
        </w:tc>
      </w:tr>
      <w:tr>
        <w:trPr>
          <w:trHeight w:val="210"/>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3,112,376</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2,170,212</w:t>
            </w:r>
          </w:p>
        </w:tc>
      </w:tr>
      <w:tr>
        <w:trPr>
          <w:trHeight w:val="20"/>
        </w:trPr>
        <w:tc>
          <w:tcPr>
            <w:tcW w:w="5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reconciliation of federal statutory income tax rate to the Company’s effective income tax rate is as follows: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88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2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income tax benefit at the federal statutory rate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 net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items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 provision to return adjustments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effects of temporary differences between the carrying amounts of assets and liabilities for financial reporting purposes and the amounts used for income tax purposes.</w:t>
      </w:r>
    </w:p>
    <w:p>
      <w:pPr>
        <w:spacing w:after="0" w:line="162"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principal components of the Company’s deferred tax assets consisted of the following as of December 31, 2020 and 2019:</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4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 and state net operating loss carryforwards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28,511</w:t>
            </w:r>
          </w:p>
        </w:tc>
        <w:tc>
          <w:tcPr>
            <w:tcW w:w="160" w:type="dxa"/>
            <w:vAlign w:val="bottom"/>
          </w:tcPr>
          <w:p>
            <w:pPr>
              <w:spacing w:after="0"/>
              <w:rPr>
                <w:sz w:val="18"/>
                <w:szCs w:val="18"/>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Charitable contribution carryforwards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Accruals and other</w:t>
            </w:r>
          </w:p>
        </w:tc>
        <w:tc>
          <w:tcPr>
            <w:tcW w:w="8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8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8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Unrealized gains</w:t>
            </w:r>
          </w:p>
        </w:tc>
        <w:tc>
          <w:tcPr>
            <w:tcW w:w="8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8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8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Based on the Company’s history of losses, the Company recorded a full valuation allowance against its deferred tax assets as of December 31, 2020. The Company increased its valuation allowance by approximately $11.9 million for the year ended December 31, 2020. The Company intends to maintain a valuation allowance until sufficient positive evidence exists to support a reversal of the allowance.</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2020, the Company had federal and state net operating loss carryforwards of $103.2 million and $105.0 million, respectively, some of which begin to expire in the year ending December 31, 2036. Approximately $80.4 million of the federal net operating loss carryforwards do not expire. The Company had federal and state research and development tax credit carryforwards of approximately $6.8 million and $0.1 million, respectively, as of December 31, 2020. The federal credits begin to expire in the year ending December 31, 2036 and the state credits begin to expire in the year ending December 31, 2024.</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Under the provisions of Sections 382 and 383 of the Internal Revenue Code (the “IRC”), certain substantial changes in the Company’s ownership may have limited, or may limit in the future, the amount of net operating loss and credit carryforwards that can be used to reduce future income taxes if there has been a significant change in ownership of the Company, as defined by the IRC. Future owner or equity shifts could result in limitations on net operating loss and credit carryforwards.</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as well as in Maryland. The tax years 2017 to 2019 remain open to examination by the major jurisdictions in which the Company is subject to tax. Fiscal years outside the normal statute of limitation remain open to audit by tax authorities due to tax attributes generated in those early years, which have been carried forward and may be audited in subsequent years when utilized.</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evaluates tax positions for recognition using a more-likely-than-not recognition threshold, and those tax positions eligible for recognition are measured as the largest amount of tax benefit that is greater than 50% likely of being realized upon the effective settlement with a taxing authority that has full knowledge of all relevant information. As of December 31, 2020, the Company had no unrecognized income tax benefits that would affect the Company’s effective tax rate if recognized.</w:t>
      </w:r>
    </w:p>
    <w:p>
      <w:pPr>
        <w:spacing w:after="0" w:line="183" w:lineRule="exact"/>
        <w:rPr>
          <w:sz w:val="20"/>
          <w:szCs w:val="20"/>
          <w:color w:val="auto"/>
        </w:rPr>
      </w:pPr>
    </w:p>
    <w:p>
      <w:pPr>
        <w:ind w:left="60" w:right="279" w:firstLine="648"/>
        <w:spacing w:after="0" w:line="289" w:lineRule="auto"/>
        <w:rPr>
          <w:sz w:val="20"/>
          <w:szCs w:val="20"/>
          <w:color w:val="auto"/>
        </w:rPr>
      </w:pPr>
      <w:r>
        <w:rPr>
          <w:rFonts w:ascii="Times New Roman" w:cs="Times New Roman" w:eastAsia="Times New Roman" w:hAnsi="Times New Roman"/>
          <w:sz w:val="17"/>
          <w:szCs w:val="17"/>
          <w:color w:val="auto"/>
        </w:rPr>
        <w:t>The Coronavirus Aid, Relief, and Economic Security Act (“CARES Act”) and the Consolidated Appropriations Act, 2021 (“Stimulus Bill”), signed into law on March 27, 2020 and December 27, 2020, respectively, have resulted in significant changes to the U.S. federal corporate tax law. Several states have also enacted tax legislation changes. We</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8" w:name="page119"/>
    <w:bookmarkEnd w:id="11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have considered the applicable tax law changes and determined there was no significant impact to the tax provision of the Company.</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Employee Benefit Plan</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sponsors a 401(k) plan that stipulates that eligible employees can elect to contribute to the 401(k) plan, subject to certain limitations, up to the lesser of the statutory maximum or 100% of eligible compensation on a pre-tax basis. For the years ended December 31, 2020 and 2019 the Company did not provide any contributions to this plan.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filing date of this Form 10-K with the SEC and determined that there have been no events that have occurred that would require adjustments to our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December 31, 2020.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2020, our Chief Executive Officer and Chief Financial Officer concluded that, as of such date, our disclosure controls and procedures were effective at the reasonable assurance level.</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During the fourth quarter of 2020, we implemented a new Enterprise Resource Planning, or ERP, system. As a result of this implementation, we modified certain existing internal controls as well as implemented new controls and procedures related to the new ERP system. Except with respect to the continued implementation of the ERP system, there were no changes in our internal controls over financial reporting (as defined in Rules 13a-15(f) and 15d 15(f) under the Exchange Act) that occurred during the fourth quarter of 2020 that have materially affected, or are reasonably likely to materially affect, our internal controls over financial reporting.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Report of Management on Internal Control Over Financial Reporting</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Under the supervision of and with the participation of our Principal Executive Officer and Principal Financial Officer, our management assessed the effectiveness of our internal control over financial report as of December 31, 2020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2020.</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independent registered public accounting firm on our internal control over financial reporting due to an exemption established by the JOBS Act for "emerging growth companies."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for our 2021 annual meeting of stockholders, or our Proxy Statement, to be filed with the SEC within 120 days of December 31, 2020, and is incorporated herein by reference.</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Proxy Statement and is incorporated herein by reference.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0" w:name="page121"/>
    <w:bookmarkEnd w:id="12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Proxy Statement and is incorporated herein by reference.</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Proxy Statement and is incorporated herein by reference.</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Proxy Statement and is incorporated herein by reference.</w:t>
      </w:r>
    </w:p>
    <w:p>
      <w:pPr>
        <w:spacing w:after="0" w:line="15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w:t>
      </w:r>
    </w:p>
    <w:p>
      <w:pPr>
        <w:spacing w:after="0" w:line="225" w:lineRule="exact"/>
        <w:rPr>
          <w:sz w:val="20"/>
          <w:szCs w:val="20"/>
          <w:color w:val="auto"/>
        </w:rPr>
      </w:pPr>
    </w:p>
    <w:p>
      <w:pPr>
        <w:ind w:left="700" w:hanging="326"/>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Index to Financial Statements in Part II Item 8 of this Annual Report.</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financial statements or notes thereto.</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(3) Exhibits</w:t>
      </w:r>
    </w:p>
    <w:p>
      <w:pPr>
        <w:spacing w:after="0" w:line="225"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documents listed in the following Exhibit Index are incorporated by reference or are filed with this report, in each case as indicated therein (numbered in accordance with Item 601 of Regulation S-K).</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94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0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940" w:type="dxa"/>
            <w:vAlign w:val="bottom"/>
            <w:gridSpan w:val="3"/>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10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No.</w:t>
            </w:r>
          </w:p>
        </w:tc>
        <w:tc>
          <w:tcPr>
            <w:tcW w:w="2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94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7640" w:type="dxa"/>
            <w:vAlign w:val="bottom"/>
            <w:gridSpan w:val="4"/>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Amended and Restated Certificate of Incorporation (incorporated by reference to Exhibit 3.1 filed with</w:t>
              </w:r>
            </w:hyperlink>
          </w:p>
        </w:tc>
        <w:tc>
          <w:tcPr>
            <w:tcW w:w="0" w:type="dxa"/>
            <w:vAlign w:val="bottom"/>
          </w:tcPr>
          <w:p>
            <w:pPr>
              <w:spacing w:after="0"/>
              <w:rPr>
                <w:sz w:val="1"/>
                <w:szCs w:val="1"/>
                <w:color w:val="auto"/>
              </w:rPr>
            </w:pPr>
          </w:p>
        </w:tc>
      </w:tr>
      <w:tr>
        <w:trPr>
          <w:trHeight w:val="237"/>
        </w:trPr>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20" w:type="dxa"/>
            <w:vAlign w:val="bottom"/>
            <w:tcBorders>
              <w:top w:val="single" w:sz="8" w:color="0000EE"/>
            </w:tcBorders>
            <w:gridSpan w:val="3"/>
          </w:tcPr>
          <w:p>
            <w:pPr>
              <w:spacing w:after="0"/>
              <w:rPr>
                <w:rFonts w:ascii="Times New Roman" w:cs="Times New Roman" w:eastAsia="Times New Roman" w:hAnsi="Times New Roman"/>
                <w:sz w:val="18"/>
                <w:szCs w:val="18"/>
                <w:u w:val="single" w:color="auto"/>
                <w:color w:val="0000EE"/>
              </w:rPr>
            </w:pPr>
            <w:hyperlink r:id="rId155">
              <w:r>
                <w:rPr>
                  <w:rFonts w:ascii="Times New Roman" w:cs="Times New Roman" w:eastAsia="Times New Roman" w:hAnsi="Times New Roman"/>
                  <w:sz w:val="18"/>
                  <w:szCs w:val="18"/>
                  <w:u w:val="single" w:color="auto"/>
                  <w:color w:val="0000EE"/>
                </w:rPr>
                <w:t>Company’s Current Report on 8-K filed with the Commission on May 13, 2019 (File No. 001-38905)).</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76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Amended and Restated Bylaws (incorporated by reference to Exhibit 3.2 filed with Company’s Current</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40" w:type="dxa"/>
            <w:vAlign w:val="bottom"/>
            <w:gridSpan w:val="4"/>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Report on 8-K filed with the Commission on May 13, 2019 (File No. 001-38905)).</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4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76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Amended and Restated Investors’ Rights Agreement, dated as of November 5, 2018, by and among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40" w:type="dxa"/>
            <w:vAlign w:val="bottom"/>
            <w:gridSpan w:val="4"/>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Company and the investors party thereto (incorporated by reference to Exhibit 4.1 filed with Company’s</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9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Registration Statement on Form S-1 filed with the Commission on April 12, 2019 (File No. 333-</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900" w:type="dxa"/>
            <w:vAlign w:val="bottom"/>
            <w:gridSpan w:val="2"/>
          </w:tcPr>
          <w:p>
            <w:pPr>
              <w:ind w:left="200"/>
              <w:spacing w:after="0" w:line="196" w:lineRule="exact"/>
              <w:rPr>
                <w:rFonts w:ascii="Times New Roman" w:cs="Times New Roman" w:eastAsia="Times New Roman" w:hAnsi="Times New Roman"/>
                <w:sz w:val="18"/>
                <w:szCs w:val="18"/>
                <w:color w:val="0000EE"/>
                <w:w w:val="96"/>
              </w:rPr>
            </w:pPr>
            <w:hyperlink r:id="rId157">
              <w:r>
                <w:rPr>
                  <w:rFonts w:ascii="Times New Roman" w:cs="Times New Roman" w:eastAsia="Times New Roman" w:hAnsi="Times New Roman"/>
                  <w:sz w:val="18"/>
                  <w:szCs w:val="18"/>
                  <w:color w:val="0000EE"/>
                  <w:w w:val="96"/>
                </w:rPr>
                <w:t>230837)</w:t>
              </w:r>
              <w:r>
                <w:rPr>
                  <w:rFonts w:ascii="Times New Roman" w:cs="Times New Roman" w:eastAsia="Times New Roman" w:hAnsi="Times New Roman"/>
                  <w:sz w:val="18"/>
                  <w:szCs w:val="18"/>
                  <w:u w:val="single" w:color="auto"/>
                  <w:color w:val="0000EE"/>
                  <w:w w:val="96"/>
                </w:rPr>
                <w:t>)</w:t>
              </w:r>
              <w:r>
                <w:rPr>
                  <w:rFonts w:ascii="Times New Roman" w:cs="Times New Roman" w:eastAsia="Times New Roman" w:hAnsi="Times New Roman"/>
                  <w:sz w:val="18"/>
                  <w:szCs w:val="18"/>
                  <w:color w:val="0000EE"/>
                  <w:w w:val="96"/>
                </w:rPr>
                <w:t>.</w:t>
              </w:r>
            </w:hyperlink>
          </w:p>
        </w:tc>
        <w:tc>
          <w:tcPr>
            <w:tcW w:w="5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76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Description of Registered Securities (incorporated by reference to Exhibit 4.2 filed with the Company's</w:t>
              </w:r>
            </w:hyperlink>
          </w:p>
        </w:tc>
        <w:tc>
          <w:tcPr>
            <w:tcW w:w="0" w:type="dxa"/>
            <w:vAlign w:val="bottom"/>
          </w:tcPr>
          <w:p>
            <w:pPr>
              <w:spacing w:after="0"/>
              <w:rPr>
                <w:sz w:val="1"/>
                <w:szCs w:val="1"/>
                <w:color w:val="auto"/>
              </w:rPr>
            </w:pPr>
          </w:p>
        </w:tc>
      </w:tr>
      <w:tr>
        <w:trPr>
          <w:trHeight w:val="236"/>
        </w:trPr>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40" w:type="dxa"/>
            <w:vAlign w:val="bottom"/>
            <w:gridSpan w:val="4"/>
          </w:tcPr>
          <w:p>
            <w:pPr>
              <w:spacing w:after="0"/>
              <w:rPr>
                <w:rFonts w:ascii="Times New Roman" w:cs="Times New Roman" w:eastAsia="Times New Roman" w:hAnsi="Times New Roman"/>
                <w:sz w:val="18"/>
                <w:szCs w:val="18"/>
                <w:u w:val="single" w:color="auto"/>
                <w:color w:val="0000EE"/>
              </w:rPr>
            </w:pPr>
            <w:hyperlink r:id="rId158">
              <w:r>
                <w:rPr>
                  <w:rFonts w:ascii="Times New Roman" w:cs="Times New Roman" w:eastAsia="Times New Roman" w:hAnsi="Times New Roman"/>
                  <w:sz w:val="18"/>
                  <w:szCs w:val="18"/>
                  <w:u w:val="single" w:color="auto"/>
                  <w:color w:val="0000EE"/>
                </w:rPr>
                <w:t>Annual Report on Form 10-K filed with the Commission on March 12, 2020 (File No. 001-38905)).</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1" w:name="page122"/>
    <w:bookmarkEnd w:id="12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320" w:right="59" w:hanging="503"/>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 </w:t>
      </w:r>
      <w:hyperlink r:id="rId160">
        <w:r>
          <w:rPr>
            <w:rFonts w:ascii="Times New Roman" w:cs="Times New Roman" w:eastAsia="Times New Roman" w:hAnsi="Times New Roman"/>
            <w:sz w:val="18"/>
            <w:szCs w:val="18"/>
            <w:u w:val="single" w:color="auto"/>
            <w:color w:val="0000EE"/>
          </w:rPr>
          <w:t>License Agreement, dated as of December 29, 2015, by and between the Company and Yale University</w:t>
        </w:r>
      </w:hyperlink>
      <w:r>
        <w:rPr>
          <w:rFonts w:ascii="Times New Roman" w:cs="Times New Roman" w:eastAsia="Times New Roman" w:hAnsi="Times New Roman"/>
          <w:sz w:val="18"/>
          <w:szCs w:val="18"/>
          <w:color w:val="auto"/>
        </w:rPr>
        <w:t xml:space="preserve"> </w:t>
      </w:r>
      <w:hyperlink r:id="rId160">
        <w:r>
          <w:rPr>
            <w:rFonts w:ascii="Times New Roman" w:cs="Times New Roman" w:eastAsia="Times New Roman" w:hAnsi="Times New Roman"/>
            <w:sz w:val="18"/>
            <w:szCs w:val="18"/>
            <w:u w:val="single" w:color="auto"/>
            <w:color w:val="0000EE"/>
          </w:rPr>
          <w:t>(incorporated by reference to Exhibit 10.1 filed with Company’s Registration Statement on Form S-1</w:t>
        </w:r>
      </w:hyperlink>
      <w:r>
        <w:rPr>
          <w:rFonts w:ascii="Times New Roman" w:cs="Times New Roman" w:eastAsia="Times New Roman" w:hAnsi="Times New Roman"/>
          <w:sz w:val="18"/>
          <w:szCs w:val="18"/>
          <w:u w:val="single" w:color="auto"/>
          <w:color w:val="0000EE"/>
        </w:rPr>
        <w:t xml:space="preserve"> </w:t>
      </w:r>
      <w:hyperlink r:id="rId160">
        <w:r>
          <w:rPr>
            <w:rFonts w:ascii="Times New Roman" w:cs="Times New Roman" w:eastAsia="Times New Roman" w:hAnsi="Times New Roman"/>
            <w:sz w:val="18"/>
            <w:szCs w:val="18"/>
            <w:u w:val="single" w:color="auto"/>
            <w:color w:val="0000EE"/>
          </w:rPr>
          <w:t>filed with the Commission on April 12, 2019 (File No. 333-230837)).</w:t>
        </w:r>
      </w:hyperlink>
    </w:p>
    <w:p>
      <w:pPr>
        <w:spacing w:after="0" w:line="176" w:lineRule="exact"/>
        <w:rPr>
          <w:rFonts w:ascii="Times New Roman" w:cs="Times New Roman" w:eastAsia="Times New Roman" w:hAnsi="Times New Roman"/>
          <w:sz w:val="18"/>
          <w:szCs w:val="18"/>
          <w:color w:val="auto"/>
        </w:rPr>
      </w:pPr>
    </w:p>
    <w:p>
      <w:pPr>
        <w:jc w:val="both"/>
        <w:ind w:left="1320" w:right="59" w:hanging="503"/>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10.2† </w:t>
      </w:r>
      <w:hyperlink r:id="rId161">
        <w:r>
          <w:rPr>
            <w:rFonts w:ascii="Times New Roman" w:cs="Times New Roman" w:eastAsia="Times New Roman" w:hAnsi="Times New Roman"/>
            <w:sz w:val="18"/>
            <w:szCs w:val="18"/>
            <w:u w:val="single" w:color="auto"/>
            <w:color w:val="0000EE"/>
          </w:rPr>
          <w:t>Corporate Sponsored Research Agreement, dated as of December 29, 2015, by and between the Company</w:t>
        </w:r>
      </w:hyperlink>
      <w:r>
        <w:rPr>
          <w:rFonts w:ascii="Times New Roman" w:cs="Times New Roman" w:eastAsia="Times New Roman" w:hAnsi="Times New Roman"/>
          <w:sz w:val="18"/>
          <w:szCs w:val="18"/>
          <w:color w:val="auto"/>
        </w:rPr>
        <w:t xml:space="preserve"> </w:t>
      </w:r>
      <w:hyperlink r:id="rId161">
        <w:r>
          <w:rPr>
            <w:rFonts w:ascii="Times New Roman" w:cs="Times New Roman" w:eastAsia="Times New Roman" w:hAnsi="Times New Roman"/>
            <w:sz w:val="18"/>
            <w:szCs w:val="18"/>
            <w:u w:val="single" w:color="auto"/>
            <w:color w:val="0000EE"/>
          </w:rPr>
          <w:t>and Yale University (incorporated by reference to Exhibit 10.2 filed with Company’s Registration</w:t>
        </w:r>
      </w:hyperlink>
      <w:r>
        <w:rPr>
          <w:rFonts w:ascii="Times New Roman" w:cs="Times New Roman" w:eastAsia="Times New Roman" w:hAnsi="Times New Roman"/>
          <w:sz w:val="18"/>
          <w:szCs w:val="18"/>
          <w:u w:val="single" w:color="auto"/>
          <w:color w:val="0000EE"/>
        </w:rPr>
        <w:t xml:space="preserve"> </w:t>
      </w:r>
      <w:hyperlink r:id="rId161">
        <w:r>
          <w:rPr>
            <w:rFonts w:ascii="Times New Roman" w:cs="Times New Roman" w:eastAsia="Times New Roman" w:hAnsi="Times New Roman"/>
            <w:sz w:val="18"/>
            <w:szCs w:val="18"/>
            <w:u w:val="single" w:color="auto"/>
            <w:color w:val="0000EE"/>
          </w:rPr>
          <w:t>Statement on Form S-1 filed with the Commission on April 12, 2019 (File No. 333-230837)).</w:t>
        </w:r>
      </w:hyperlink>
    </w:p>
    <w:p>
      <w:pPr>
        <w:spacing w:after="0" w:line="176" w:lineRule="exact"/>
        <w:rPr>
          <w:rFonts w:ascii="Times New Roman" w:cs="Times New Roman" w:eastAsia="Times New Roman" w:hAnsi="Times New Roman"/>
          <w:sz w:val="18"/>
          <w:szCs w:val="18"/>
          <w:color w:val="auto"/>
        </w:rPr>
      </w:pPr>
    </w:p>
    <w:p>
      <w:pPr>
        <w:jc w:val="both"/>
        <w:ind w:left="1320" w:right="79" w:hanging="503"/>
        <w:spacing w:after="0" w:line="282"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w:anchor="page125">
        <w:r>
          <w:rPr>
            <w:rFonts w:ascii="Times New Roman" w:cs="Times New Roman" w:eastAsia="Times New Roman" w:hAnsi="Times New Roman"/>
            <w:sz w:val="18"/>
            <w:szCs w:val="18"/>
            <w:u w:val="single" w:color="auto"/>
            <w:color w:val="0000EE"/>
          </w:rPr>
          <w:t>Amendment to License Agreement and SRA, dated as of April 25, 2020, by and between the Company</w:t>
        </w:r>
      </w:hyperlink>
      <w:r>
        <w:rPr>
          <w:rFonts w:ascii="Times New Roman" w:cs="Times New Roman" w:eastAsia="Times New Roman" w:hAnsi="Times New Roman"/>
          <w:sz w:val="18"/>
          <w:szCs w:val="18"/>
          <w:u w:val="single" w:color="auto"/>
          <w:color w:val="0000EE"/>
        </w:rPr>
        <w:t xml:space="preserve"> </w:t>
      </w:r>
      <w:hyperlink w:anchor="page125">
        <w:r>
          <w:rPr>
            <w:rFonts w:ascii="Times New Roman" w:cs="Times New Roman" w:eastAsia="Times New Roman" w:hAnsi="Times New Roman"/>
            <w:sz w:val="18"/>
            <w:szCs w:val="18"/>
            <w:u w:val="single" w:color="auto"/>
            <w:color w:val="0000EE"/>
          </w:rPr>
          <w:t>and Yale University.</w:t>
        </w:r>
      </w:hyperlink>
    </w:p>
    <w:p>
      <w:pPr>
        <w:spacing w:after="0" w:line="162" w:lineRule="exact"/>
        <w:rPr>
          <w:sz w:val="20"/>
          <w:szCs w:val="20"/>
          <w:color w:val="auto"/>
        </w:rPr>
      </w:pPr>
    </w:p>
    <w:p>
      <w:pPr>
        <w:jc w:val="both"/>
        <w:ind w:left="1320" w:right="79" w:hanging="503"/>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10.4+ </w:t>
      </w:r>
      <w:hyperlink r:id="rId162">
        <w:r>
          <w:rPr>
            <w:rFonts w:ascii="Times New Roman" w:cs="Times New Roman" w:eastAsia="Times New Roman" w:hAnsi="Times New Roman"/>
            <w:sz w:val="18"/>
            <w:szCs w:val="18"/>
            <w:u w:val="single" w:color="auto"/>
            <w:color w:val="0000EE"/>
          </w:rPr>
          <w:t>NextCure, Inc. 2015 Omnibus Incentive Plan, as amended (incorporated by reference to Exhibit 10.6 filed</w:t>
        </w:r>
      </w:hyperlink>
      <w:r>
        <w:rPr>
          <w:rFonts w:ascii="Times New Roman" w:cs="Times New Roman" w:eastAsia="Times New Roman" w:hAnsi="Times New Roman"/>
          <w:sz w:val="18"/>
          <w:szCs w:val="18"/>
          <w:color w:val="auto"/>
        </w:rPr>
        <w:t xml:space="preserve"> </w:t>
      </w:r>
      <w:hyperlink r:id="rId162">
        <w:r>
          <w:rPr>
            <w:rFonts w:ascii="Times New Roman" w:cs="Times New Roman" w:eastAsia="Times New Roman" w:hAnsi="Times New Roman"/>
            <w:sz w:val="18"/>
            <w:szCs w:val="18"/>
            <w:u w:val="single" w:color="auto"/>
            <w:color w:val="0000EE"/>
          </w:rPr>
          <w:t>with Company’s Registration Statement on Form S-1 filed with the Commission on April 12, 2019 (File</w:t>
        </w:r>
      </w:hyperlink>
      <w:r>
        <w:rPr>
          <w:rFonts w:ascii="Times New Roman" w:cs="Times New Roman" w:eastAsia="Times New Roman" w:hAnsi="Times New Roman"/>
          <w:sz w:val="18"/>
          <w:szCs w:val="18"/>
          <w:u w:val="single" w:color="auto"/>
          <w:color w:val="0000EE"/>
        </w:rPr>
        <w:t xml:space="preserve"> </w:t>
      </w:r>
      <w:hyperlink r:id="rId162">
        <w:r>
          <w:rPr>
            <w:rFonts w:ascii="Times New Roman" w:cs="Times New Roman" w:eastAsia="Times New Roman" w:hAnsi="Times New Roman"/>
            <w:sz w:val="18"/>
            <w:szCs w:val="18"/>
            <w:u w:val="single" w:color="auto"/>
            <w:color w:val="0000EE"/>
          </w:rPr>
          <w:t>No. 333-230837)).</w:t>
        </w:r>
      </w:hyperlink>
    </w:p>
    <w:p>
      <w:pPr>
        <w:spacing w:after="0" w:line="176" w:lineRule="exact"/>
        <w:rPr>
          <w:rFonts w:ascii="Times New Roman" w:cs="Times New Roman" w:eastAsia="Times New Roman" w:hAnsi="Times New Roman"/>
          <w:sz w:val="18"/>
          <w:szCs w:val="18"/>
          <w:color w:val="auto"/>
        </w:rPr>
      </w:pPr>
    </w:p>
    <w:p>
      <w:pPr>
        <w:jc w:val="both"/>
        <w:ind w:left="1320" w:right="79" w:hanging="503"/>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10.5+ </w:t>
      </w:r>
      <w:hyperlink r:id="rId163">
        <w:r>
          <w:rPr>
            <w:rFonts w:ascii="Times New Roman" w:cs="Times New Roman" w:eastAsia="Times New Roman" w:hAnsi="Times New Roman"/>
            <w:sz w:val="18"/>
            <w:szCs w:val="18"/>
            <w:u w:val="single" w:color="auto"/>
            <w:color w:val="0000EE"/>
          </w:rPr>
          <w:t>Form of Stock Option Agreement under the NextCure, Inc. 2015 Omnibus Incentive Plan (incorporated</w:t>
        </w:r>
      </w:hyperlink>
      <w:r>
        <w:rPr>
          <w:rFonts w:ascii="Times New Roman" w:cs="Times New Roman" w:eastAsia="Times New Roman" w:hAnsi="Times New Roman"/>
          <w:sz w:val="18"/>
          <w:szCs w:val="18"/>
          <w:color w:val="auto"/>
        </w:rPr>
        <w:t xml:space="preserve"> </w:t>
      </w:r>
      <w:hyperlink r:id="rId163">
        <w:r>
          <w:rPr>
            <w:rFonts w:ascii="Times New Roman" w:cs="Times New Roman" w:eastAsia="Times New Roman" w:hAnsi="Times New Roman"/>
            <w:sz w:val="18"/>
            <w:szCs w:val="18"/>
            <w:u w:val="single" w:color="auto"/>
            <w:color w:val="0000EE"/>
          </w:rPr>
          <w:t>by reference to Exhibit 10.7 filed with Company’s Registration Statement on Form S-1 filed with the</w:t>
        </w:r>
      </w:hyperlink>
      <w:r>
        <w:rPr>
          <w:rFonts w:ascii="Times New Roman" w:cs="Times New Roman" w:eastAsia="Times New Roman" w:hAnsi="Times New Roman"/>
          <w:sz w:val="18"/>
          <w:szCs w:val="18"/>
          <w:u w:val="single" w:color="auto"/>
          <w:color w:val="0000EE"/>
        </w:rPr>
        <w:t xml:space="preserve"> </w:t>
      </w:r>
      <w:hyperlink r:id="rId163">
        <w:r>
          <w:rPr>
            <w:rFonts w:ascii="Times New Roman" w:cs="Times New Roman" w:eastAsia="Times New Roman" w:hAnsi="Times New Roman"/>
            <w:sz w:val="18"/>
            <w:szCs w:val="18"/>
            <w:u w:val="single" w:color="auto"/>
            <w:color w:val="0000EE"/>
          </w:rPr>
          <w:t>Commission on April 12, 2019 (File No. 333-230837)).</w:t>
        </w:r>
      </w:hyperlink>
    </w:p>
    <w:p>
      <w:pPr>
        <w:spacing w:after="0" w:line="176" w:lineRule="exact"/>
        <w:rPr>
          <w:rFonts w:ascii="Times New Roman" w:cs="Times New Roman" w:eastAsia="Times New Roman" w:hAnsi="Times New Roman"/>
          <w:sz w:val="18"/>
          <w:szCs w:val="18"/>
          <w:color w:val="auto"/>
        </w:rPr>
      </w:pPr>
    </w:p>
    <w:p>
      <w:pPr>
        <w:jc w:val="both"/>
        <w:ind w:left="1320" w:right="79" w:hanging="503"/>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10.6+ </w:t>
      </w:r>
      <w:hyperlink r:id="rId164">
        <w:r>
          <w:rPr>
            <w:rFonts w:ascii="Times New Roman" w:cs="Times New Roman" w:eastAsia="Times New Roman" w:hAnsi="Times New Roman"/>
            <w:sz w:val="18"/>
            <w:szCs w:val="18"/>
            <w:u w:val="single" w:color="auto"/>
            <w:color w:val="0000EE"/>
          </w:rPr>
          <w:t>NextCure, Inc. 2019 Omnibus Incentive Plan (incorporated by reference to Exhibit 10.8 filed with</w:t>
        </w:r>
      </w:hyperlink>
      <w:r>
        <w:rPr>
          <w:rFonts w:ascii="Times New Roman" w:cs="Times New Roman" w:eastAsia="Times New Roman" w:hAnsi="Times New Roman"/>
          <w:sz w:val="18"/>
          <w:szCs w:val="18"/>
          <w:color w:val="auto"/>
        </w:rPr>
        <w:t xml:space="preserve"> </w:t>
      </w:r>
      <w:hyperlink r:id="rId164">
        <w:r>
          <w:rPr>
            <w:rFonts w:ascii="Times New Roman" w:cs="Times New Roman" w:eastAsia="Times New Roman" w:hAnsi="Times New Roman"/>
            <w:sz w:val="18"/>
            <w:szCs w:val="18"/>
            <w:u w:val="single" w:color="auto"/>
            <w:color w:val="0000EE"/>
          </w:rPr>
          <w:t>Registration Statement on Form S-1/A filed with the Commission on April 29, 2019 (File No. 333-</w:t>
        </w:r>
      </w:hyperlink>
      <w:hyperlink r:id="rId164">
        <w:r>
          <w:rPr>
            <w:rFonts w:ascii="Times New Roman" w:cs="Times New Roman" w:eastAsia="Times New Roman" w:hAnsi="Times New Roman"/>
            <w:sz w:val="18"/>
            <w:szCs w:val="18"/>
            <w:u w:val="single" w:color="auto"/>
            <w:color w:val="0000EE"/>
          </w:rPr>
          <w:t>230837)).</w:t>
        </w:r>
      </w:hyperlink>
    </w:p>
    <w:p>
      <w:pPr>
        <w:spacing w:after="0" w:line="176" w:lineRule="exact"/>
        <w:rPr>
          <w:rFonts w:ascii="Times New Roman" w:cs="Times New Roman" w:eastAsia="Times New Roman" w:hAnsi="Times New Roman"/>
          <w:sz w:val="18"/>
          <w:szCs w:val="18"/>
          <w:color w:val="auto"/>
        </w:rPr>
      </w:pPr>
    </w:p>
    <w:p>
      <w:pPr>
        <w:jc w:val="both"/>
        <w:ind w:left="1320" w:right="79" w:hanging="503"/>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10.7+ </w:t>
      </w:r>
      <w:hyperlink r:id="rId165">
        <w:r>
          <w:rPr>
            <w:rFonts w:ascii="Times New Roman" w:cs="Times New Roman" w:eastAsia="Times New Roman" w:hAnsi="Times New Roman"/>
            <w:sz w:val="18"/>
            <w:szCs w:val="18"/>
            <w:u w:val="single" w:color="auto"/>
            <w:color w:val="0000EE"/>
          </w:rPr>
          <w:t>Forms of Stock Option Agreement under the NextCure, Inc. 2019 Omnibus Incentive Plan (incorporated</w:t>
        </w:r>
      </w:hyperlink>
      <w:r>
        <w:rPr>
          <w:rFonts w:ascii="Times New Roman" w:cs="Times New Roman" w:eastAsia="Times New Roman" w:hAnsi="Times New Roman"/>
          <w:sz w:val="18"/>
          <w:szCs w:val="18"/>
          <w:color w:val="auto"/>
        </w:rPr>
        <w:t xml:space="preserve"> </w:t>
      </w:r>
      <w:hyperlink r:id="rId165">
        <w:r>
          <w:rPr>
            <w:rFonts w:ascii="Times New Roman" w:cs="Times New Roman" w:eastAsia="Times New Roman" w:hAnsi="Times New Roman"/>
            <w:sz w:val="18"/>
            <w:szCs w:val="18"/>
            <w:u w:val="single" w:color="auto"/>
            <w:color w:val="0000EE"/>
          </w:rPr>
          <w:t>by reference to Exhibit 10.9 filed with Company’s Registration Statement on Form S-1/A filed with the</w:t>
        </w:r>
      </w:hyperlink>
      <w:r>
        <w:rPr>
          <w:rFonts w:ascii="Times New Roman" w:cs="Times New Roman" w:eastAsia="Times New Roman" w:hAnsi="Times New Roman"/>
          <w:sz w:val="18"/>
          <w:szCs w:val="18"/>
          <w:u w:val="single" w:color="auto"/>
          <w:color w:val="0000EE"/>
        </w:rPr>
        <w:t xml:space="preserve"> </w:t>
      </w:r>
      <w:hyperlink r:id="rId165">
        <w:r>
          <w:rPr>
            <w:rFonts w:ascii="Times New Roman" w:cs="Times New Roman" w:eastAsia="Times New Roman" w:hAnsi="Times New Roman"/>
            <w:sz w:val="18"/>
            <w:szCs w:val="18"/>
            <w:u w:val="single" w:color="auto"/>
            <w:color w:val="0000EE"/>
          </w:rPr>
          <w:t>Commission on April 29, 2019 (File No. 333-230837)).</w:t>
        </w:r>
      </w:hyperlink>
    </w:p>
    <w:p>
      <w:pPr>
        <w:spacing w:after="0" w:line="176" w:lineRule="exact"/>
        <w:rPr>
          <w:rFonts w:ascii="Times New Roman" w:cs="Times New Roman" w:eastAsia="Times New Roman" w:hAnsi="Times New Roman"/>
          <w:sz w:val="18"/>
          <w:szCs w:val="18"/>
          <w:color w:val="auto"/>
        </w:rPr>
      </w:pPr>
    </w:p>
    <w:p>
      <w:pPr>
        <w:jc w:val="both"/>
        <w:ind w:left="1320" w:right="59" w:hanging="503"/>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10.8+ </w:t>
      </w:r>
      <w:hyperlink r:id="rId166">
        <w:r>
          <w:rPr>
            <w:rFonts w:ascii="Times New Roman" w:cs="Times New Roman" w:eastAsia="Times New Roman" w:hAnsi="Times New Roman"/>
            <w:sz w:val="18"/>
            <w:szCs w:val="18"/>
            <w:u w:val="single" w:color="auto"/>
            <w:color w:val="0000EE"/>
          </w:rPr>
          <w:t>Form of Restricted Stock Agreement under the NextCure, Inc. 2019 Omnibus Incentive Plan</w:t>
        </w:r>
      </w:hyperlink>
      <w:r>
        <w:rPr>
          <w:rFonts w:ascii="Times New Roman" w:cs="Times New Roman" w:eastAsia="Times New Roman" w:hAnsi="Times New Roman"/>
          <w:sz w:val="18"/>
          <w:szCs w:val="18"/>
          <w:color w:val="auto"/>
        </w:rPr>
        <w:t xml:space="preserve"> </w:t>
      </w:r>
      <w:hyperlink r:id="rId166">
        <w:r>
          <w:rPr>
            <w:rFonts w:ascii="Times New Roman" w:cs="Times New Roman" w:eastAsia="Times New Roman" w:hAnsi="Times New Roman"/>
            <w:sz w:val="18"/>
            <w:szCs w:val="18"/>
            <w:u w:val="single" w:color="auto"/>
            <w:color w:val="0000EE"/>
          </w:rPr>
          <w:t>(incorporated by reference to Exhibit 10.10 filed with Company’s Registration Statement on Form S-1/A</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filed with the Commission on April 29, 2019 (File No. 333-230837)).</w:t>
        </w:r>
      </w:hyperlink>
    </w:p>
    <w:p>
      <w:pPr>
        <w:spacing w:after="0" w:line="176" w:lineRule="exact"/>
        <w:rPr>
          <w:rFonts w:ascii="Times New Roman" w:cs="Times New Roman" w:eastAsia="Times New Roman" w:hAnsi="Times New Roman"/>
          <w:sz w:val="18"/>
          <w:szCs w:val="18"/>
          <w:color w:val="auto"/>
        </w:rPr>
      </w:pPr>
    </w:p>
    <w:p>
      <w:pPr>
        <w:jc w:val="both"/>
        <w:ind w:left="1320" w:right="79" w:hanging="503"/>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10.9+ </w:t>
      </w:r>
      <w:hyperlink r:id="rId167">
        <w:r>
          <w:rPr>
            <w:rFonts w:ascii="Times New Roman" w:cs="Times New Roman" w:eastAsia="Times New Roman" w:hAnsi="Times New Roman"/>
            <w:sz w:val="18"/>
            <w:szCs w:val="18"/>
            <w:u w:val="single" w:color="auto"/>
            <w:color w:val="0000EE"/>
          </w:rPr>
          <w:t>Form of Restricted Stock Unit Agreement under the NextCure, Inc. 2019 Omnibus Incentive Plan</w:t>
        </w:r>
      </w:hyperlink>
      <w:r>
        <w:rPr>
          <w:rFonts w:ascii="Times New Roman" w:cs="Times New Roman" w:eastAsia="Times New Roman" w:hAnsi="Times New Roman"/>
          <w:sz w:val="18"/>
          <w:szCs w:val="18"/>
          <w:color w:val="auto"/>
        </w:rPr>
        <w:t xml:space="preserve"> </w:t>
      </w:r>
      <w:hyperlink r:id="rId167">
        <w:r>
          <w:rPr>
            <w:rFonts w:ascii="Times New Roman" w:cs="Times New Roman" w:eastAsia="Times New Roman" w:hAnsi="Times New Roman"/>
            <w:sz w:val="18"/>
            <w:szCs w:val="18"/>
            <w:u w:val="single" w:color="auto"/>
            <w:color w:val="0000EE"/>
          </w:rPr>
          <w:t>(incorporated by reference to Exhibit 10.11 filed with Company’s Registration Statement on Form S-1/A</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filed with the Commission on April 29, 2019 (File No. 333-230837)).</w:t>
        </w:r>
      </w:hyperlink>
    </w:p>
    <w:p>
      <w:pPr>
        <w:spacing w:after="0" w:line="176" w:lineRule="exact"/>
        <w:rPr>
          <w:rFonts w:ascii="Times New Roman" w:cs="Times New Roman" w:eastAsia="Times New Roman" w:hAnsi="Times New Roman"/>
          <w:sz w:val="18"/>
          <w:szCs w:val="18"/>
          <w:color w:val="auto"/>
        </w:rPr>
      </w:pPr>
    </w:p>
    <w:p>
      <w:pPr>
        <w:jc w:val="both"/>
        <w:ind w:left="1320" w:right="79" w:hanging="593"/>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10.10+ </w:t>
      </w:r>
      <w:hyperlink r:id="rId168">
        <w:r>
          <w:rPr>
            <w:rFonts w:ascii="Times New Roman" w:cs="Times New Roman" w:eastAsia="Times New Roman" w:hAnsi="Times New Roman"/>
            <w:sz w:val="18"/>
            <w:szCs w:val="18"/>
            <w:u w:val="single" w:color="auto"/>
            <w:color w:val="0000EE"/>
          </w:rPr>
          <w:t>NextCure, Inc. 2019 Employee Stock Purchase Plan (incorporated by reference to Exhibit 10.12 filed</w:t>
        </w:r>
      </w:hyperlink>
      <w:r>
        <w:rPr>
          <w:rFonts w:ascii="Times New Roman" w:cs="Times New Roman" w:eastAsia="Times New Roman" w:hAnsi="Times New Roman"/>
          <w:sz w:val="18"/>
          <w:szCs w:val="18"/>
          <w:color w:val="auto"/>
        </w:rPr>
        <w:t xml:space="preserve"> </w:t>
      </w:r>
      <w:hyperlink r:id="rId168">
        <w:r>
          <w:rPr>
            <w:rFonts w:ascii="Times New Roman" w:cs="Times New Roman" w:eastAsia="Times New Roman" w:hAnsi="Times New Roman"/>
            <w:sz w:val="18"/>
            <w:szCs w:val="18"/>
            <w:u w:val="single" w:color="auto"/>
            <w:color w:val="0000EE"/>
          </w:rPr>
          <w:t>with Company’s Registration Statement on Form S-1/A filed with the Commission on April 29, 2019</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(File No. 333-230837)).</w:t>
        </w:r>
      </w:hyperlink>
    </w:p>
    <w:p>
      <w:pPr>
        <w:spacing w:after="0" w:line="176" w:lineRule="exact"/>
        <w:rPr>
          <w:rFonts w:ascii="Times New Roman" w:cs="Times New Roman" w:eastAsia="Times New Roman" w:hAnsi="Times New Roman"/>
          <w:sz w:val="18"/>
          <w:szCs w:val="18"/>
          <w:color w:val="auto"/>
        </w:rPr>
      </w:pPr>
    </w:p>
    <w:p>
      <w:pPr>
        <w:jc w:val="both"/>
        <w:ind w:left="1320" w:right="59" w:hanging="586"/>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10.11+ </w:t>
      </w:r>
      <w:hyperlink r:id="rId169">
        <w:r>
          <w:rPr>
            <w:rFonts w:ascii="Times New Roman" w:cs="Times New Roman" w:eastAsia="Times New Roman" w:hAnsi="Times New Roman"/>
            <w:sz w:val="18"/>
            <w:szCs w:val="18"/>
            <w:u w:val="single" w:color="auto"/>
            <w:color w:val="0000EE"/>
          </w:rPr>
          <w:t>Non-Employee Director Compensation Program (incorporated by reference to Exhibit 10.1 filed with the</w:t>
        </w:r>
      </w:hyperlink>
      <w:r>
        <w:rPr>
          <w:rFonts w:ascii="Times New Roman" w:cs="Times New Roman" w:eastAsia="Times New Roman" w:hAnsi="Times New Roman"/>
          <w:sz w:val="18"/>
          <w:szCs w:val="18"/>
          <w:color w:val="auto"/>
        </w:rPr>
        <w:t xml:space="preserve"> </w:t>
      </w:r>
      <w:hyperlink r:id="rId169">
        <w:r>
          <w:rPr>
            <w:rFonts w:ascii="Times New Roman" w:cs="Times New Roman" w:eastAsia="Times New Roman" w:hAnsi="Times New Roman"/>
            <w:sz w:val="18"/>
            <w:szCs w:val="18"/>
            <w:u w:val="single" w:color="auto"/>
            <w:color w:val="0000EE"/>
          </w:rPr>
          <w:t>Company’s Current Report on Form 8-K filed with the Commission on September 14, 2020 (File</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No. 001-38905)).</w:t>
        </w:r>
      </w:hyperlink>
    </w:p>
    <w:p>
      <w:pPr>
        <w:spacing w:after="0" w:line="176" w:lineRule="exact"/>
        <w:rPr>
          <w:rFonts w:ascii="Times New Roman" w:cs="Times New Roman" w:eastAsia="Times New Roman" w:hAnsi="Times New Roman"/>
          <w:sz w:val="18"/>
          <w:szCs w:val="18"/>
          <w:color w:val="auto"/>
        </w:rPr>
      </w:pPr>
    </w:p>
    <w:p>
      <w:pPr>
        <w:jc w:val="both"/>
        <w:ind w:left="1320" w:right="79" w:hanging="593"/>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10.12+ </w:t>
      </w:r>
      <w:hyperlink r:id="rId170">
        <w:r>
          <w:rPr>
            <w:rFonts w:ascii="Times New Roman" w:cs="Times New Roman" w:eastAsia="Times New Roman" w:hAnsi="Times New Roman"/>
            <w:sz w:val="18"/>
            <w:szCs w:val="18"/>
            <w:u w:val="single" w:color="auto"/>
            <w:color w:val="0000EE"/>
          </w:rPr>
          <w:t>Form of Indemnification Agreement by and between the Company and each of its directors and executive</w:t>
        </w:r>
      </w:hyperlink>
      <w:r>
        <w:rPr>
          <w:rFonts w:ascii="Times New Roman" w:cs="Times New Roman" w:eastAsia="Times New Roman" w:hAnsi="Times New Roman"/>
          <w:sz w:val="18"/>
          <w:szCs w:val="18"/>
          <w:color w:val="auto"/>
        </w:rPr>
        <w:t xml:space="preserve"> </w:t>
      </w:r>
      <w:hyperlink r:id="rId170">
        <w:r>
          <w:rPr>
            <w:rFonts w:ascii="Times New Roman" w:cs="Times New Roman" w:eastAsia="Times New Roman" w:hAnsi="Times New Roman"/>
            <w:sz w:val="18"/>
            <w:szCs w:val="18"/>
            <w:u w:val="single" w:color="auto"/>
            <w:color w:val="0000EE"/>
          </w:rPr>
          <w:t>officers (incorporated by reference to Exhibit 10.5 filed with Company’s Registration Statement on</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Form S-1 filed with the Commission on April 12, 2019 (File No. 333-230837)).</w:t>
        </w:r>
      </w:hyperlink>
    </w:p>
    <w:p>
      <w:pPr>
        <w:spacing w:after="0" w:line="176" w:lineRule="exact"/>
        <w:rPr>
          <w:rFonts w:ascii="Times New Roman" w:cs="Times New Roman" w:eastAsia="Times New Roman" w:hAnsi="Times New Roman"/>
          <w:sz w:val="18"/>
          <w:szCs w:val="18"/>
          <w:color w:val="auto"/>
        </w:rPr>
      </w:pPr>
    </w:p>
    <w:p>
      <w:pPr>
        <w:jc w:val="both"/>
        <w:ind w:left="1320" w:right="79" w:hanging="593"/>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10.14+ </w:t>
      </w:r>
      <w:hyperlink r:id="rId171">
        <w:r>
          <w:rPr>
            <w:rFonts w:ascii="Times New Roman" w:cs="Times New Roman" w:eastAsia="Times New Roman" w:hAnsi="Times New Roman"/>
            <w:sz w:val="18"/>
            <w:szCs w:val="18"/>
            <w:u w:val="single" w:color="auto"/>
            <w:color w:val="0000EE"/>
          </w:rPr>
          <w:t>Employment Agreement, effective as of July 27, 2020, by and between the Company and Michael</w:t>
        </w:r>
      </w:hyperlink>
      <w:r>
        <w:rPr>
          <w:rFonts w:ascii="Times New Roman" w:cs="Times New Roman" w:eastAsia="Times New Roman" w:hAnsi="Times New Roman"/>
          <w:sz w:val="18"/>
          <w:szCs w:val="18"/>
          <w:color w:val="auto"/>
        </w:rPr>
        <w:t xml:space="preserve"> </w:t>
      </w:r>
      <w:hyperlink r:id="rId171">
        <w:r>
          <w:rPr>
            <w:rFonts w:ascii="Times New Roman" w:cs="Times New Roman" w:eastAsia="Times New Roman" w:hAnsi="Times New Roman"/>
            <w:sz w:val="18"/>
            <w:szCs w:val="18"/>
            <w:u w:val="single" w:color="auto"/>
            <w:color w:val="0000EE"/>
          </w:rPr>
          <w:t>Richman (incorporated by reference to Exhibit 10.1 filed with the Company’s Current Report on Form 8-</w:t>
        </w:r>
      </w:hyperlink>
      <w:hyperlink r:id="rId171">
        <w:r>
          <w:rPr>
            <w:rFonts w:ascii="Times New Roman" w:cs="Times New Roman" w:eastAsia="Times New Roman" w:hAnsi="Times New Roman"/>
            <w:sz w:val="18"/>
            <w:szCs w:val="18"/>
            <w:u w:val="single" w:color="auto"/>
            <w:color w:val="0000EE"/>
          </w:rPr>
          <w:t>K filed with the Commission on July 31, 2020 (File No. 001-38905)).</w:t>
        </w:r>
      </w:hyperlink>
    </w:p>
    <w:p>
      <w:pPr>
        <w:spacing w:after="0" w:line="176" w:lineRule="exact"/>
        <w:rPr>
          <w:rFonts w:ascii="Times New Roman" w:cs="Times New Roman" w:eastAsia="Times New Roman" w:hAnsi="Times New Roman"/>
          <w:sz w:val="18"/>
          <w:szCs w:val="18"/>
          <w:color w:val="auto"/>
        </w:rPr>
      </w:pPr>
    </w:p>
    <w:p>
      <w:pPr>
        <w:jc w:val="both"/>
        <w:ind w:left="1320" w:right="79" w:hanging="593"/>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10.15+ </w:t>
      </w:r>
      <w:hyperlink r:id="rId172">
        <w:r>
          <w:rPr>
            <w:rFonts w:ascii="Times New Roman" w:cs="Times New Roman" w:eastAsia="Times New Roman" w:hAnsi="Times New Roman"/>
            <w:sz w:val="18"/>
            <w:szCs w:val="18"/>
            <w:u w:val="single" w:color="auto"/>
            <w:color w:val="0000EE"/>
          </w:rPr>
          <w:t>Employment Agreement, effective as of July 27, 2020, by and between the Company and Steven P.</w:t>
        </w:r>
      </w:hyperlink>
      <w:r>
        <w:rPr>
          <w:rFonts w:ascii="Times New Roman" w:cs="Times New Roman" w:eastAsia="Times New Roman" w:hAnsi="Times New Roman"/>
          <w:sz w:val="18"/>
          <w:szCs w:val="18"/>
          <w:color w:val="auto"/>
        </w:rPr>
        <w:t xml:space="preserve"> </w:t>
      </w:r>
      <w:hyperlink r:id="rId172">
        <w:r>
          <w:rPr>
            <w:rFonts w:ascii="Times New Roman" w:cs="Times New Roman" w:eastAsia="Times New Roman" w:hAnsi="Times New Roman"/>
            <w:sz w:val="18"/>
            <w:szCs w:val="18"/>
            <w:u w:val="single" w:color="auto"/>
            <w:color w:val="0000EE"/>
          </w:rPr>
          <w:t>Cobourn (incorporated by reference to Exhibit 10.2 filed with the Company’s Current Report on Form 8-</w:t>
        </w:r>
      </w:hyperlink>
      <w:hyperlink r:id="rId172">
        <w:r>
          <w:rPr>
            <w:rFonts w:ascii="Times New Roman" w:cs="Times New Roman" w:eastAsia="Times New Roman" w:hAnsi="Times New Roman"/>
            <w:sz w:val="18"/>
            <w:szCs w:val="18"/>
            <w:u w:val="single" w:color="auto"/>
            <w:color w:val="0000EE"/>
          </w:rPr>
          <w:t>K filed with the Commission on July 31, 2020 (File No. 001-38905)).</w:t>
        </w:r>
      </w:hyperlink>
    </w:p>
    <w:p>
      <w:pPr>
        <w:sectPr>
          <w:pgSz w:w="11900" w:h="16838" w:orient="portrait"/>
          <w:cols w:equalWidth="0" w:num="1">
            <w:col w:w="9019"/>
          </w:cols>
          <w:pgMar w:left="1440" w:top="513" w:right="1440" w:bottom="1440" w:gutter="0" w:footer="0" w:header="0"/>
        </w:sect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2" w:name="page123"/>
    <w:bookmarkEnd w:id="12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320" w:right="59" w:hanging="593"/>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10.16+ </w:t>
      </w:r>
      <w:hyperlink r:id="rId174">
        <w:r>
          <w:rPr>
            <w:rFonts w:ascii="Times New Roman" w:cs="Times New Roman" w:eastAsia="Times New Roman" w:hAnsi="Times New Roman"/>
            <w:sz w:val="18"/>
            <w:szCs w:val="18"/>
            <w:u w:val="single" w:color="auto"/>
            <w:color w:val="0000EE"/>
          </w:rPr>
          <w:t>Employment Agreement, effective as of July 27, 2020, by and between the Company and Solomon</w:t>
        </w:r>
      </w:hyperlink>
      <w:r>
        <w:rPr>
          <w:rFonts w:ascii="Times New Roman" w:cs="Times New Roman" w:eastAsia="Times New Roman" w:hAnsi="Times New Roman"/>
          <w:sz w:val="18"/>
          <w:szCs w:val="18"/>
          <w:color w:val="auto"/>
        </w:rPr>
        <w:t xml:space="preserve"> </w:t>
      </w:r>
      <w:hyperlink r:id="rId174">
        <w:r>
          <w:rPr>
            <w:rFonts w:ascii="Times New Roman" w:cs="Times New Roman" w:eastAsia="Times New Roman" w:hAnsi="Times New Roman"/>
            <w:sz w:val="18"/>
            <w:szCs w:val="18"/>
            <w:u w:val="single" w:color="auto"/>
            <w:color w:val="0000EE"/>
          </w:rPr>
          <w:t>Langermann, Ph.D. (incorporated by reference to Exhibit 10.3 filed with the Company’s Current Report</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on Form 8-K filed with the Commission on July 31, 2020 (File No. 001-38905)).</w:t>
        </w:r>
      </w:hyperlink>
    </w:p>
    <w:p>
      <w:pPr>
        <w:spacing w:after="0" w:line="176" w:lineRule="exact"/>
        <w:rPr>
          <w:rFonts w:ascii="Times New Roman" w:cs="Times New Roman" w:eastAsia="Times New Roman" w:hAnsi="Times New Roman"/>
          <w:sz w:val="18"/>
          <w:szCs w:val="18"/>
          <w:color w:val="auto"/>
        </w:rPr>
      </w:pPr>
    </w:p>
    <w:p>
      <w:pPr>
        <w:jc w:val="both"/>
        <w:ind w:left="1320" w:right="59" w:hanging="593"/>
        <w:spacing w:after="0" w:line="263"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10.17† </w:t>
      </w:r>
      <w:hyperlink r:id="rId175">
        <w:r>
          <w:rPr>
            <w:rFonts w:ascii="Times New Roman" w:cs="Times New Roman" w:eastAsia="Times New Roman" w:hAnsi="Times New Roman"/>
            <w:sz w:val="18"/>
            <w:szCs w:val="18"/>
            <w:u w:val="single" w:color="auto"/>
            <w:color w:val="0000EE"/>
          </w:rPr>
          <w:t>Lease Agreement, dated as of January 30, 2019, by and between the Company and ARE-</w:t>
        </w:r>
      </w:hyperlink>
      <w:hyperlink r:id="rId175">
        <w:r>
          <w:rPr>
            <w:rFonts w:ascii="Times New Roman" w:cs="Times New Roman" w:eastAsia="Times New Roman" w:hAnsi="Times New Roman"/>
            <w:sz w:val="18"/>
            <w:szCs w:val="18"/>
            <w:u w:val="single" w:color="auto"/>
            <w:color w:val="0000EE"/>
          </w:rPr>
          <w:t>8000/9000/10000 Virginia Manor, LLC (incorporated by reference to Exhibit 10.14 filed with Company’s</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Registration Statement on Form S-1 filed with the Commission on April 12, 2019 (File No. 333-</w:t>
        </w:r>
      </w:hyperlink>
      <w:hyperlink r:id="rId175">
        <w:r>
          <w:rPr>
            <w:rFonts w:ascii="Times New Roman" w:cs="Times New Roman" w:eastAsia="Times New Roman" w:hAnsi="Times New Roman"/>
            <w:sz w:val="18"/>
            <w:szCs w:val="18"/>
            <w:u w:val="single" w:color="auto"/>
            <w:color w:val="0000EE"/>
          </w:rPr>
          <w:t>230837)).</w:t>
        </w:r>
      </w:hyperlink>
    </w:p>
    <w:p>
      <w:pPr>
        <w:spacing w:after="0" w:line="400" w:lineRule="exact"/>
        <w:rPr>
          <w:rFonts w:ascii="Times New Roman" w:cs="Times New Roman" w:eastAsia="Times New Roman" w:hAnsi="Times New Roman"/>
          <w:sz w:val="18"/>
          <w:szCs w:val="18"/>
          <w:u w:val="single" w:color="auto"/>
          <w:color w:val="0000EE"/>
        </w:rPr>
      </w:pPr>
    </w:p>
    <w:p>
      <w:pPr>
        <w:jc w:val="both"/>
        <w:ind w:left="1320" w:right="79" w:hanging="593"/>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10.18† </w:t>
      </w:r>
      <w:hyperlink r:id="rId176">
        <w:r>
          <w:rPr>
            <w:rFonts w:ascii="Times New Roman" w:cs="Times New Roman" w:eastAsia="Times New Roman" w:hAnsi="Times New Roman"/>
            <w:sz w:val="18"/>
            <w:szCs w:val="18"/>
            <w:u w:val="single" w:color="auto"/>
            <w:color w:val="0000EE"/>
          </w:rPr>
          <w:t>First Amendment to Lease Agreement, dated August 2, 2019, by and between the Company and ARE-</w:t>
        </w:r>
      </w:hyperlink>
      <w:hyperlink r:id="rId176">
        <w:r>
          <w:rPr>
            <w:rFonts w:ascii="Times New Roman" w:cs="Times New Roman" w:eastAsia="Times New Roman" w:hAnsi="Times New Roman"/>
            <w:sz w:val="18"/>
            <w:szCs w:val="18"/>
            <w:u w:val="single" w:color="auto"/>
            <w:color w:val="0000EE"/>
          </w:rPr>
          <w:t>8000/9000/10000 Virginia Manor, LLC (incorporated by reference to Exhibit 10.1 filed with Company’s</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Quarterly Report on Form 10-Q filed on November 12, 2019 (File No. 001-38905)).</w:t>
        </w:r>
      </w:hyperlink>
    </w:p>
    <w:p>
      <w:pPr>
        <w:spacing w:after="0" w:line="176" w:lineRule="exact"/>
        <w:rPr>
          <w:rFonts w:ascii="Times New Roman" w:cs="Times New Roman" w:eastAsia="Times New Roman" w:hAnsi="Times New Roman"/>
          <w:sz w:val="18"/>
          <w:szCs w:val="18"/>
          <w:color w:val="auto"/>
        </w:rPr>
      </w:pPr>
    </w:p>
    <w:p>
      <w:pPr>
        <w:jc w:val="both"/>
        <w:ind w:left="1320" w:right="59" w:hanging="593"/>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10.19† </w:t>
      </w:r>
      <w:hyperlink r:id="rId177">
        <w:r>
          <w:rPr>
            <w:rFonts w:ascii="Times New Roman" w:cs="Times New Roman" w:eastAsia="Times New Roman" w:hAnsi="Times New Roman"/>
            <w:sz w:val="18"/>
            <w:szCs w:val="18"/>
            <w:u w:val="single" w:color="auto"/>
            <w:color w:val="0000EE"/>
          </w:rPr>
          <w:t>Amended and Restated Sublease Agreement, dated as of March 15, 2019, by and between the Company</w:t>
        </w:r>
      </w:hyperlink>
      <w:r>
        <w:rPr>
          <w:rFonts w:ascii="Times New Roman" w:cs="Times New Roman" w:eastAsia="Times New Roman" w:hAnsi="Times New Roman"/>
          <w:sz w:val="18"/>
          <w:szCs w:val="18"/>
          <w:color w:val="auto"/>
        </w:rPr>
        <w:t xml:space="preserve"> </w:t>
      </w:r>
      <w:hyperlink r:id="rId177">
        <w:r>
          <w:rPr>
            <w:rFonts w:ascii="Times New Roman" w:cs="Times New Roman" w:eastAsia="Times New Roman" w:hAnsi="Times New Roman"/>
            <w:sz w:val="18"/>
            <w:szCs w:val="18"/>
            <w:u w:val="single" w:color="auto"/>
            <w:color w:val="0000EE"/>
          </w:rPr>
          <w:t>and Lupin, Inc. (incorporated by reference to Exhibit 10.4 filed with Company’s Registration Statement</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on Form S-1 filed with the Commission on April 12, 2019 (File No. 333-230837)).</w:t>
        </w:r>
      </w:hyperlink>
    </w:p>
    <w:p>
      <w:pPr>
        <w:spacing w:after="0" w:line="176" w:lineRule="exact"/>
        <w:rPr>
          <w:rFonts w:ascii="Times New Roman" w:cs="Times New Roman" w:eastAsia="Times New Roman" w:hAnsi="Times New Roman"/>
          <w:sz w:val="18"/>
          <w:szCs w:val="18"/>
          <w:color w:val="auto"/>
        </w:rPr>
      </w:pPr>
    </w:p>
    <w:p>
      <w:pPr>
        <w:ind w:left="800"/>
        <w:spacing w:after="0"/>
        <w:tabs>
          <w:tab w:leader="none" w:pos="13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23.1</w:t>
      </w:r>
      <w:r>
        <w:rPr>
          <w:sz w:val="20"/>
          <w:szCs w:val="20"/>
          <w:color w:val="auto"/>
        </w:rPr>
        <w:tab/>
      </w:r>
      <w:hyperlink w:anchor="page132">
        <w:r>
          <w:rPr>
            <w:rFonts w:ascii="Times New Roman" w:cs="Times New Roman" w:eastAsia="Times New Roman" w:hAnsi="Times New Roman"/>
            <w:sz w:val="17"/>
            <w:szCs w:val="17"/>
            <w:u w:val="single" w:color="auto"/>
            <w:color w:val="0000EE"/>
          </w:rPr>
          <w:t>Consent of Ernst &amp; Young LLP, independent registered public accounting firm</w:t>
        </w:r>
        <w:r>
          <w:rPr>
            <w:rFonts w:ascii="Times New Roman" w:cs="Times New Roman" w:eastAsia="Times New Roman" w:hAnsi="Times New Roman"/>
            <w:sz w:val="17"/>
            <w:szCs w:val="17"/>
            <w:color w:val="0000EE"/>
          </w:rPr>
          <w:t>.</w:t>
        </w:r>
      </w:hyperlink>
    </w:p>
    <w:p>
      <w:pPr>
        <w:spacing w:after="0" w:line="225"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24.1* </w:t>
      </w:r>
      <w:hyperlink w:anchor="page133">
        <w:r>
          <w:rPr>
            <w:rFonts w:ascii="Times New Roman" w:cs="Times New Roman" w:eastAsia="Times New Roman" w:hAnsi="Times New Roman"/>
            <w:sz w:val="18"/>
            <w:szCs w:val="18"/>
            <w:u w:val="single" w:color="auto"/>
            <w:color w:val="0000EE"/>
          </w:rPr>
          <w:t>Power of Attorney.</w:t>
        </w:r>
      </w:hyperlink>
    </w:p>
    <w:p>
      <w:pPr>
        <w:spacing w:after="0" w:line="225" w:lineRule="exact"/>
        <w:rPr>
          <w:rFonts w:ascii="Times New Roman" w:cs="Times New Roman" w:eastAsia="Times New Roman" w:hAnsi="Times New Roman"/>
          <w:sz w:val="18"/>
          <w:szCs w:val="18"/>
          <w:color w:val="auto"/>
        </w:rPr>
      </w:pPr>
    </w:p>
    <w:p>
      <w:pPr>
        <w:ind w:left="1320" w:right="59" w:hanging="503"/>
        <w:spacing w:after="0" w:line="282"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31.1</w:t>
      </w:r>
      <w:r>
        <w:rPr>
          <w:sz w:val="20"/>
          <w:szCs w:val="20"/>
          <w:color w:val="auto"/>
        </w:rPr>
        <w:tab/>
      </w:r>
      <w:hyperlink w:anchor="page134">
        <w:r>
          <w:rPr>
            <w:rFonts w:ascii="Times New Roman" w:cs="Times New Roman" w:eastAsia="Times New Roman" w:hAnsi="Times New Roman"/>
            <w:sz w:val="18"/>
            <w:szCs w:val="18"/>
            <w:u w:val="single" w:color="auto"/>
            <w:color w:val="0000EE"/>
          </w:rPr>
          <w:t>Certification of Michael Richman pursuant to Rule 13a-14(a) under the Securities Exchange Act of 1934</w:t>
        </w:r>
      </w:hyperlink>
      <w:r>
        <w:rPr>
          <w:rFonts w:ascii="Times New Roman" w:cs="Times New Roman" w:eastAsia="Times New Roman" w:hAnsi="Times New Roman"/>
          <w:sz w:val="18"/>
          <w:szCs w:val="18"/>
          <w:u w:val="single" w:color="auto"/>
          <w:color w:val="0000EE"/>
        </w:rPr>
        <w:t xml:space="preserve"> </w:t>
      </w:r>
      <w:hyperlink w:anchor="page134">
        <w:r>
          <w:rPr>
            <w:rFonts w:ascii="Times New Roman" w:cs="Times New Roman" w:eastAsia="Times New Roman" w:hAnsi="Times New Roman"/>
            <w:sz w:val="18"/>
            <w:szCs w:val="18"/>
            <w:u w:val="single" w:color="auto"/>
            <w:color w:val="0000EE"/>
          </w:rPr>
          <w:t>as adopted pursuant to Section 302 of the Sarbanes-Oxley Act of 2002.</w:t>
        </w:r>
      </w:hyperlink>
    </w:p>
    <w:p>
      <w:pPr>
        <w:spacing w:after="0" w:line="162" w:lineRule="exact"/>
        <w:rPr>
          <w:sz w:val="20"/>
          <w:szCs w:val="20"/>
          <w:color w:val="auto"/>
        </w:rPr>
      </w:pPr>
    </w:p>
    <w:p>
      <w:pPr>
        <w:ind w:left="1320" w:right="79" w:hanging="503"/>
        <w:spacing w:after="0" w:line="282"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31.2</w:t>
      </w:r>
      <w:r>
        <w:rPr>
          <w:sz w:val="20"/>
          <w:szCs w:val="20"/>
          <w:color w:val="auto"/>
        </w:rPr>
        <w:tab/>
      </w:r>
      <w:hyperlink w:anchor="page135">
        <w:r>
          <w:rPr>
            <w:rFonts w:ascii="Times New Roman" w:cs="Times New Roman" w:eastAsia="Times New Roman" w:hAnsi="Times New Roman"/>
            <w:sz w:val="18"/>
            <w:szCs w:val="18"/>
            <w:u w:val="single" w:color="auto"/>
            <w:color w:val="0000EE"/>
          </w:rPr>
          <w:t>Certification of Steven P. Cobourn pursuant to Rule 13a-14(a) under the Securities Exchange Act of 1934</w:t>
        </w:r>
      </w:hyperlink>
      <w:r>
        <w:rPr>
          <w:rFonts w:ascii="Times New Roman" w:cs="Times New Roman" w:eastAsia="Times New Roman" w:hAnsi="Times New Roman"/>
          <w:sz w:val="18"/>
          <w:szCs w:val="18"/>
          <w:u w:val="single" w:color="auto"/>
          <w:color w:val="0000EE"/>
        </w:rPr>
        <w:t xml:space="preserve"> </w:t>
      </w:r>
      <w:hyperlink w:anchor="page135">
        <w:r>
          <w:rPr>
            <w:rFonts w:ascii="Times New Roman" w:cs="Times New Roman" w:eastAsia="Times New Roman" w:hAnsi="Times New Roman"/>
            <w:sz w:val="18"/>
            <w:szCs w:val="18"/>
            <w:u w:val="single" w:color="auto"/>
            <w:color w:val="0000EE"/>
          </w:rPr>
          <w:t>as adopted pursuant to Section 302 of the Sarbanes-Oxley Act of 2002.</w:t>
        </w:r>
      </w:hyperlink>
    </w:p>
    <w:p>
      <w:pPr>
        <w:spacing w:after="0" w:line="162" w:lineRule="exact"/>
        <w:rPr>
          <w:sz w:val="20"/>
          <w:szCs w:val="20"/>
          <w:color w:val="auto"/>
        </w:rPr>
      </w:pPr>
    </w:p>
    <w:p>
      <w:pPr>
        <w:ind w:left="1320" w:right="79" w:hanging="503"/>
        <w:spacing w:after="0" w:line="282"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32.1</w:t>
      </w:r>
      <w:r>
        <w:rPr>
          <w:sz w:val="20"/>
          <w:szCs w:val="20"/>
          <w:color w:val="auto"/>
        </w:rPr>
        <w:tab/>
      </w:r>
      <w:hyperlink w:anchor="page136">
        <w:r>
          <w:rPr>
            <w:rFonts w:ascii="Times New Roman" w:cs="Times New Roman" w:eastAsia="Times New Roman" w:hAnsi="Times New Roman"/>
            <w:sz w:val="18"/>
            <w:szCs w:val="18"/>
            <w:u w:val="single" w:color="auto"/>
            <w:color w:val="0000EE"/>
          </w:rPr>
          <w:t>Certification of Michael Richman and Steven P. Cobourn pursuant to 18 U.S.C. Section 1350 as adopted</w:t>
        </w:r>
      </w:hyperlink>
      <w:r>
        <w:rPr>
          <w:rFonts w:ascii="Times New Roman" w:cs="Times New Roman" w:eastAsia="Times New Roman" w:hAnsi="Times New Roman"/>
          <w:sz w:val="18"/>
          <w:szCs w:val="18"/>
          <w:u w:val="single" w:color="auto"/>
          <w:color w:val="0000EE"/>
        </w:rPr>
        <w:t xml:space="preserve"> </w:t>
      </w:r>
      <w:hyperlink w:anchor="page136">
        <w:r>
          <w:rPr>
            <w:rFonts w:ascii="Times New Roman" w:cs="Times New Roman" w:eastAsia="Times New Roman" w:hAnsi="Times New Roman"/>
            <w:sz w:val="18"/>
            <w:szCs w:val="18"/>
            <w:u w:val="single" w:color="auto"/>
            <w:color w:val="0000EE"/>
          </w:rPr>
          <w:t>pursuant to Section 906 of the Sarbanes-Oxley Act of 2002.</w:t>
        </w:r>
      </w:hyperlink>
    </w:p>
    <w:p>
      <w:pPr>
        <w:spacing w:after="0" w:line="162" w:lineRule="exact"/>
        <w:rPr>
          <w:sz w:val="20"/>
          <w:szCs w:val="20"/>
          <w:color w:val="auto"/>
        </w:rPr>
      </w:pPr>
    </w:p>
    <w:p>
      <w:pPr>
        <w:ind w:left="220"/>
        <w:spacing w:after="0"/>
        <w:tabs>
          <w:tab w:leader="none" w:pos="1300" w:val="left"/>
        </w:tabs>
        <w:rPr>
          <w:sz w:val="20"/>
          <w:szCs w:val="20"/>
          <w:color w:val="auto"/>
        </w:rPr>
      </w:pPr>
      <w:r>
        <w:rPr>
          <w:rFonts w:ascii="Times New Roman" w:cs="Times New Roman" w:eastAsia="Times New Roman" w:hAnsi="Times New Roman"/>
          <w:sz w:val="18"/>
          <w:szCs w:val="18"/>
          <w:color w:val="auto"/>
        </w:rPr>
        <w:t>EX-101.INS</w:t>
      </w:r>
      <w:r>
        <w:rPr>
          <w:sz w:val="20"/>
          <w:szCs w:val="20"/>
          <w:color w:val="auto"/>
        </w:rPr>
        <w:tab/>
      </w:r>
      <w:r>
        <w:rPr>
          <w:rFonts w:ascii="Times New Roman" w:cs="Times New Roman" w:eastAsia="Times New Roman" w:hAnsi="Times New Roman"/>
          <w:sz w:val="17"/>
          <w:szCs w:val="17"/>
          <w:color w:val="auto"/>
        </w:rPr>
        <w:t>XBRL Instance Document</w:t>
      </w:r>
    </w:p>
    <w:p>
      <w:pPr>
        <w:spacing w:after="0" w:line="225" w:lineRule="exact"/>
        <w:rPr>
          <w:sz w:val="20"/>
          <w:szCs w:val="20"/>
          <w:color w:val="auto"/>
        </w:rPr>
      </w:pPr>
    </w:p>
    <w:p>
      <w:pPr>
        <w:ind w:left="160"/>
        <w:spacing w:after="0"/>
        <w:tabs>
          <w:tab w:leader="none" w:pos="1300" w:val="left"/>
        </w:tabs>
        <w:rPr>
          <w:sz w:val="20"/>
          <w:szCs w:val="20"/>
          <w:color w:val="auto"/>
        </w:rPr>
      </w:pPr>
      <w:r>
        <w:rPr>
          <w:rFonts w:ascii="Times New Roman" w:cs="Times New Roman" w:eastAsia="Times New Roman" w:hAnsi="Times New Roman"/>
          <w:sz w:val="18"/>
          <w:szCs w:val="18"/>
          <w:color w:val="auto"/>
        </w:rPr>
        <w:t>EX-101.SCH</w:t>
      </w:r>
      <w:r>
        <w:rPr>
          <w:sz w:val="20"/>
          <w:szCs w:val="20"/>
          <w:color w:val="auto"/>
        </w:rPr>
        <w:tab/>
      </w:r>
      <w:r>
        <w:rPr>
          <w:rFonts w:ascii="Times New Roman" w:cs="Times New Roman" w:eastAsia="Times New Roman" w:hAnsi="Times New Roman"/>
          <w:sz w:val="17"/>
          <w:szCs w:val="17"/>
          <w:color w:val="auto"/>
        </w:rPr>
        <w:t>XBRL Taxonomy Extension Schema Document</w:t>
      </w:r>
    </w:p>
    <w:p>
      <w:pPr>
        <w:spacing w:after="0" w:line="225" w:lineRule="exact"/>
        <w:rPr>
          <w:sz w:val="20"/>
          <w:szCs w:val="20"/>
          <w:color w:val="auto"/>
        </w:rPr>
      </w:pPr>
    </w:p>
    <w:p>
      <w:pPr>
        <w:ind w:left="140"/>
        <w:spacing w:after="0"/>
        <w:tabs>
          <w:tab w:leader="none" w:pos="1300" w:val="left"/>
        </w:tabs>
        <w:rPr>
          <w:sz w:val="20"/>
          <w:szCs w:val="20"/>
          <w:color w:val="auto"/>
        </w:rPr>
      </w:pPr>
      <w:r>
        <w:rPr>
          <w:rFonts w:ascii="Times New Roman" w:cs="Times New Roman" w:eastAsia="Times New Roman" w:hAnsi="Times New Roman"/>
          <w:sz w:val="18"/>
          <w:szCs w:val="18"/>
          <w:color w:val="auto"/>
        </w:rPr>
        <w:t>EX-101.CAL</w:t>
      </w:r>
      <w:r>
        <w:rPr>
          <w:sz w:val="20"/>
          <w:szCs w:val="20"/>
          <w:color w:val="auto"/>
        </w:rPr>
        <w:tab/>
      </w:r>
      <w:r>
        <w:rPr>
          <w:rFonts w:ascii="Times New Roman" w:cs="Times New Roman" w:eastAsia="Times New Roman" w:hAnsi="Times New Roman"/>
          <w:sz w:val="17"/>
          <w:szCs w:val="17"/>
          <w:color w:val="auto"/>
        </w:rPr>
        <w:t>XBRL Taxonomy Extension Calculation Linkbase Document</w:t>
      </w:r>
    </w:p>
    <w:p>
      <w:pPr>
        <w:spacing w:after="0" w:line="225" w:lineRule="exact"/>
        <w:rPr>
          <w:sz w:val="20"/>
          <w:szCs w:val="20"/>
          <w:color w:val="auto"/>
        </w:rPr>
      </w:pPr>
    </w:p>
    <w:p>
      <w:pPr>
        <w:ind w:left="160"/>
        <w:spacing w:after="0"/>
        <w:tabs>
          <w:tab w:leader="none" w:pos="1300" w:val="left"/>
        </w:tabs>
        <w:rPr>
          <w:sz w:val="20"/>
          <w:szCs w:val="20"/>
          <w:color w:val="auto"/>
        </w:rPr>
      </w:pPr>
      <w:r>
        <w:rPr>
          <w:rFonts w:ascii="Times New Roman" w:cs="Times New Roman" w:eastAsia="Times New Roman" w:hAnsi="Times New Roman"/>
          <w:sz w:val="18"/>
          <w:szCs w:val="18"/>
          <w:color w:val="auto"/>
        </w:rPr>
        <w:t>EX-101.DEF</w:t>
      </w:r>
      <w:r>
        <w:rPr>
          <w:sz w:val="20"/>
          <w:szCs w:val="20"/>
          <w:color w:val="auto"/>
        </w:rPr>
        <w:tab/>
      </w:r>
      <w:r>
        <w:rPr>
          <w:rFonts w:ascii="Times New Roman" w:cs="Times New Roman" w:eastAsia="Times New Roman" w:hAnsi="Times New Roman"/>
          <w:sz w:val="17"/>
          <w:szCs w:val="17"/>
          <w:color w:val="auto"/>
        </w:rPr>
        <w:t>XBRL Taxonomy Extension Definition Linkbase Document</w:t>
      </w:r>
    </w:p>
    <w:p>
      <w:pPr>
        <w:spacing w:after="0" w:line="225" w:lineRule="exact"/>
        <w:rPr>
          <w:sz w:val="20"/>
          <w:szCs w:val="20"/>
          <w:color w:val="auto"/>
        </w:rPr>
      </w:pPr>
    </w:p>
    <w:p>
      <w:pPr>
        <w:ind w:left="140"/>
        <w:spacing w:after="0"/>
        <w:tabs>
          <w:tab w:leader="none" w:pos="1300" w:val="left"/>
        </w:tabs>
        <w:rPr>
          <w:sz w:val="20"/>
          <w:szCs w:val="20"/>
          <w:color w:val="auto"/>
        </w:rPr>
      </w:pPr>
      <w:r>
        <w:rPr>
          <w:rFonts w:ascii="Times New Roman" w:cs="Times New Roman" w:eastAsia="Times New Roman" w:hAnsi="Times New Roman"/>
          <w:sz w:val="18"/>
          <w:szCs w:val="18"/>
          <w:color w:val="auto"/>
        </w:rPr>
        <w:t>EX-101.LAB</w:t>
      </w:r>
      <w:r>
        <w:rPr>
          <w:sz w:val="20"/>
          <w:szCs w:val="20"/>
          <w:color w:val="auto"/>
        </w:rPr>
        <w:tab/>
      </w:r>
      <w:r>
        <w:rPr>
          <w:rFonts w:ascii="Times New Roman" w:cs="Times New Roman" w:eastAsia="Times New Roman" w:hAnsi="Times New Roman"/>
          <w:sz w:val="17"/>
          <w:szCs w:val="17"/>
          <w:color w:val="auto"/>
        </w:rPr>
        <w:t>XBRL Taxonomy Extension Label Linkbase Document</w:t>
      </w:r>
    </w:p>
    <w:p>
      <w:pPr>
        <w:spacing w:after="0" w:line="225" w:lineRule="exact"/>
        <w:rPr>
          <w:sz w:val="20"/>
          <w:szCs w:val="20"/>
          <w:color w:val="auto"/>
        </w:rPr>
      </w:pPr>
    </w:p>
    <w:p>
      <w:pPr>
        <w:ind w:left="180"/>
        <w:spacing w:after="0"/>
        <w:tabs>
          <w:tab w:leader="none" w:pos="1300" w:val="left"/>
        </w:tabs>
        <w:rPr>
          <w:sz w:val="20"/>
          <w:szCs w:val="20"/>
          <w:color w:val="auto"/>
        </w:rPr>
      </w:pPr>
      <w:r>
        <w:rPr>
          <w:rFonts w:ascii="Times New Roman" w:cs="Times New Roman" w:eastAsia="Times New Roman" w:hAnsi="Times New Roman"/>
          <w:sz w:val="18"/>
          <w:szCs w:val="18"/>
          <w:color w:val="auto"/>
        </w:rPr>
        <w:t>EX-101.PRE</w:t>
      </w:r>
      <w:r>
        <w:rPr>
          <w:sz w:val="20"/>
          <w:szCs w:val="20"/>
          <w:color w:val="auto"/>
        </w:rPr>
        <w:tab/>
      </w:r>
      <w:r>
        <w:rPr>
          <w:rFonts w:ascii="Times New Roman" w:cs="Times New Roman" w:eastAsia="Times New Roman" w:hAnsi="Times New Roman"/>
          <w:sz w:val="17"/>
          <w:szCs w:val="17"/>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141414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Indicates a management contract or compensatory plan.</w:t>
      </w:r>
    </w:p>
    <w:p>
      <w:pPr>
        <w:spacing w:after="0" w:line="9" w:lineRule="exact"/>
        <w:rPr>
          <w:sz w:val="20"/>
          <w:szCs w:val="20"/>
          <w:color w:val="auto"/>
        </w:rPr>
      </w:pPr>
    </w:p>
    <w:p>
      <w:pPr>
        <w:ind w:left="280" w:hanging="230"/>
        <w:spacing w:after="0"/>
        <w:tabs>
          <w:tab w:leader="none" w:pos="2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in compliance with Item 601 of Regulation S-K.</w:t>
      </w:r>
    </w:p>
    <w:p>
      <w:pPr>
        <w:spacing w:after="0" w:line="202" w:lineRule="exact"/>
        <w:rPr>
          <w:rFonts w:ascii="Times New Roman" w:cs="Times New Roman" w:eastAsia="Times New Roman" w:hAnsi="Times New Roman"/>
          <w:sz w:val="18"/>
          <w:szCs w:val="18"/>
          <w:color w:val="auto"/>
        </w:rPr>
      </w:pPr>
    </w:p>
    <w:p>
      <w:pPr>
        <w:ind w:left="700" w:right="5979"/>
        <w:spacing w:after="0" w:line="5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Item 16. Form 10-K Summary </w:t>
      </w: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3" w:name="page124"/>
    <w:bookmarkEnd w:id="12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594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NEXTCURE, INC.</w:t>
            </w:r>
          </w:p>
        </w:tc>
      </w:tr>
      <w:tr>
        <w:trPr>
          <w:trHeight w:val="432"/>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Date: March 4, 2021</w:t>
            </w:r>
          </w:p>
        </w:tc>
        <w:tc>
          <w:tcPr>
            <w:tcW w:w="59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By:   /s/ Michael Richman</w:t>
            </w:r>
          </w:p>
        </w:tc>
      </w:tr>
      <w:tr>
        <w:trPr>
          <w:trHeight w:val="211"/>
        </w:trPr>
        <w:tc>
          <w:tcPr>
            <w:tcW w:w="2960" w:type="dxa"/>
            <w:vAlign w:val="bottom"/>
          </w:tcPr>
          <w:p>
            <w:pPr>
              <w:spacing w:after="0"/>
              <w:rPr>
                <w:sz w:val="18"/>
                <w:szCs w:val="18"/>
                <w:color w:val="auto"/>
              </w:rPr>
            </w:pPr>
          </w:p>
        </w:tc>
        <w:tc>
          <w:tcPr>
            <w:tcW w:w="20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Name:</w:t>
            </w:r>
          </w:p>
        </w:tc>
        <w:tc>
          <w:tcPr>
            <w:tcW w:w="3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Richman</w:t>
            </w:r>
          </w:p>
        </w:tc>
      </w:tr>
    </w:tbl>
    <w:p>
      <w:pPr>
        <w:ind w:left="50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6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0" w:type="dxa"/>
            <w:vAlign w:val="bottom"/>
          </w:tcPr>
          <w:p>
            <w:pPr>
              <w:spacing w:after="0"/>
              <w:rPr>
                <w:sz w:val="15"/>
                <w:szCs w:val="15"/>
                <w:color w:val="auto"/>
              </w:rPr>
            </w:pPr>
          </w:p>
        </w:tc>
        <w:tc>
          <w:tcPr>
            <w:tcW w:w="38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4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25"/>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Richman</w:t>
            </w:r>
          </w:p>
        </w:tc>
        <w:tc>
          <w:tcPr>
            <w:tcW w:w="4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2021</w:t>
            </w: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Michael Richman</w:t>
            </w:r>
          </w:p>
        </w:tc>
        <w:tc>
          <w:tcPr>
            <w:tcW w:w="4320" w:type="dxa"/>
            <w:vAlign w:val="bottom"/>
            <w:gridSpan w:val="3"/>
          </w:tcPr>
          <w:p>
            <w:pPr>
              <w:ind w:left="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980" w:type="dxa"/>
            <w:vAlign w:val="bottom"/>
          </w:tcPr>
          <w:p>
            <w:pPr>
              <w:spacing w:after="0"/>
              <w:rPr>
                <w:sz w:val="19"/>
                <w:szCs w:val="19"/>
                <w:color w:val="auto"/>
              </w:rPr>
            </w:pPr>
          </w:p>
        </w:tc>
      </w:tr>
      <w:tr>
        <w:trPr>
          <w:trHeight w:val="414"/>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P. Cobourn</w:t>
            </w:r>
          </w:p>
        </w:tc>
        <w:tc>
          <w:tcPr>
            <w:tcW w:w="4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2021</w:t>
            </w: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Steven P. Cobourn</w:t>
            </w:r>
          </w:p>
        </w:tc>
        <w:tc>
          <w:tcPr>
            <w:tcW w:w="4320" w:type="dxa"/>
            <w:vAlign w:val="bottom"/>
            <w:gridSpan w:val="3"/>
          </w:tcPr>
          <w:p>
            <w:pPr>
              <w:ind w:left="2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980" w:type="dxa"/>
            <w:vAlign w:val="bottom"/>
          </w:tcPr>
          <w:p>
            <w:pPr>
              <w:spacing w:after="0"/>
              <w:rPr>
                <w:sz w:val="19"/>
                <w:szCs w:val="19"/>
                <w:color w:val="auto"/>
              </w:rPr>
            </w:pPr>
          </w:p>
        </w:tc>
      </w:tr>
      <w:tr>
        <w:trPr>
          <w:trHeight w:val="414"/>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Chair of the Board</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2021</w:t>
            </w: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David Kabakoff, Ph.D.</w:t>
            </w:r>
          </w:p>
        </w:tc>
        <w:tc>
          <w:tcPr>
            <w:tcW w:w="2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2021</w:t>
            </w: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John G. Houston, Ph.D.</w:t>
            </w:r>
          </w:p>
        </w:tc>
        <w:tc>
          <w:tcPr>
            <w:tcW w:w="2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2021</w:t>
            </w: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Elaine V. Jones, Ph.D.</w:t>
            </w:r>
          </w:p>
        </w:tc>
        <w:tc>
          <w:tcPr>
            <w:tcW w:w="2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2021</w:t>
            </w: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Chau Q. Khuong</w:t>
            </w:r>
          </w:p>
        </w:tc>
        <w:tc>
          <w:tcPr>
            <w:tcW w:w="2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2021</w:t>
            </w: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Garry Nicholson</w:t>
            </w:r>
          </w:p>
        </w:tc>
        <w:tc>
          <w:tcPr>
            <w:tcW w:w="2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2021</w:t>
            </w: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Stephen Webster</w:t>
            </w:r>
          </w:p>
        </w:tc>
        <w:tc>
          <w:tcPr>
            <w:tcW w:w="2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2021</w:t>
            </w: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Stella Xu, Ph.D.</w:t>
            </w:r>
          </w:p>
        </w:tc>
        <w:tc>
          <w:tcPr>
            <w:tcW w:w="2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bl>
    <w:p>
      <w:pPr>
        <w:spacing w:after="0" w:line="179" w:lineRule="exact"/>
        <w:rPr>
          <w:sz w:val="20"/>
          <w:szCs w:val="20"/>
          <w:color w:val="auto"/>
        </w:rPr>
      </w:pPr>
    </w:p>
    <w:p>
      <w:pPr>
        <w:ind w:left="60" w:right="199" w:hanging="10"/>
        <w:spacing w:after="0" w:line="266" w:lineRule="auto"/>
        <w:tabs>
          <w:tab w:leader="none" w:pos="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P. Cobourn, by his signing his name hereto, does hereby sign this report on behalf of the directors of the Registrant above whose typed names asterisks appear, pursuant to powers of attorney duly executed by such directors and filed with the Securities and Exchange Commission.</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By: /s/ 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26149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spacing w:after="0" w:line="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Steven P. Cobourn</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Attorney-in-Fact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4" w:name="page125"/>
    <w:bookmarkEnd w:id="124"/>
    <w:p>
      <w:pPr>
        <w:ind w:left="8800"/>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Portions of this exhibit indicated by bracketed asterisks have been omitted because they are not material and would likely cause competitive harm to NextCure, Inc. if publicly disclosed.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TO LICENSE AGREEMENT AND SRA</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1"/>
          <w:szCs w:val="21"/>
          <w:color w:val="auto"/>
        </w:rPr>
        <w:t>THIS AMENDMENT TO LICENSE AGREEMENT AND SRA (this “</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is made and entered into as of this 25</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xml:space="preserve"> day of April 2020, to be effective as of January 31, 2020 (the “</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by and between Yale University, a nonprofit corporation organized and existing under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virtue of a charter granted by the general assembly of the Colony and State of Connecticut (“</w:t>
      </w:r>
      <w:r>
        <w:rPr>
          <w:rFonts w:ascii="Times New Roman" w:cs="Times New Roman" w:eastAsia="Times New Roman" w:hAnsi="Times New Roman"/>
          <w:sz w:val="21"/>
          <w:szCs w:val="21"/>
          <w:b w:val="1"/>
          <w:bCs w:val="1"/>
          <w:color w:val="auto"/>
        </w:rPr>
        <w:t>YALE</w:t>
      </w:r>
      <w:r>
        <w:rPr>
          <w:rFonts w:ascii="Times New Roman" w:cs="Times New Roman" w:eastAsia="Times New Roman" w:hAnsi="Times New Roman"/>
          <w:sz w:val="21"/>
          <w:szCs w:val="21"/>
          <w:color w:val="auto"/>
        </w:rPr>
        <w:t>”), and NextCure, Inc., a corporation organized and existing under the laws of the State of Delaware (“</w:t>
      </w:r>
      <w:r>
        <w:rPr>
          <w:rFonts w:ascii="Times New Roman" w:cs="Times New Roman" w:eastAsia="Times New Roman" w:hAnsi="Times New Roman"/>
          <w:sz w:val="21"/>
          <w:szCs w:val="21"/>
          <w:b w:val="1"/>
          <w:bCs w:val="1"/>
          <w:color w:val="auto"/>
        </w:rPr>
        <w:t>LICENSEE</w:t>
      </w:r>
      <w:r>
        <w:rPr>
          <w:rFonts w:ascii="Times New Roman" w:cs="Times New Roman" w:eastAsia="Times New Roman" w:hAnsi="Times New Roman"/>
          <w:sz w:val="21"/>
          <w:szCs w:val="21"/>
          <w:color w:val="auto"/>
        </w:rPr>
        <w:t>”). YALE and LICENSEE are each referred to herein, individually, as a “party” and, collectively, as the “parties.”</w:t>
      </w:r>
    </w:p>
    <w:p>
      <w:pPr>
        <w:spacing w:after="0" w:line="16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WHEREAS, the parties entered into that certain License Agreement effective as of December 29, 2015 (as amended to date, the “</w:t>
      </w:r>
      <w:r>
        <w:rPr>
          <w:rFonts w:ascii="Times New Roman" w:cs="Times New Roman" w:eastAsia="Times New Roman" w:hAnsi="Times New Roman"/>
          <w:sz w:val="21"/>
          <w:szCs w:val="21"/>
          <w:b w:val="1"/>
          <w:bCs w:val="1"/>
          <w:i w:val="1"/>
          <w:iCs w:val="1"/>
          <w:color w:val="auto"/>
        </w:rPr>
        <w:t>Existing License Agreement</w:t>
      </w:r>
      <w:r>
        <w:rPr>
          <w:rFonts w:ascii="Times New Roman" w:cs="Times New Roman" w:eastAsia="Times New Roman" w:hAnsi="Times New Roman"/>
          <w:sz w:val="21"/>
          <w:szCs w:val="21"/>
          <w:color w:val="auto"/>
        </w:rPr>
        <w:t>”) and the parties entered into that certain Corporate Sponsored Research Agreement effective as of December 29, 2015 (as amended to date, the “</w:t>
      </w:r>
      <w:r>
        <w:rPr>
          <w:rFonts w:ascii="Times New Roman" w:cs="Times New Roman" w:eastAsia="Times New Roman" w:hAnsi="Times New Roman"/>
          <w:sz w:val="21"/>
          <w:szCs w:val="21"/>
          <w:b w:val="1"/>
          <w:bCs w:val="1"/>
          <w:i w:val="1"/>
          <w:iCs w:val="1"/>
          <w:color w:val="auto"/>
        </w:rPr>
        <w:t>Existing SRA</w:t>
      </w:r>
      <w:r>
        <w:rPr>
          <w:rFonts w:ascii="Times New Roman" w:cs="Times New Roman" w:eastAsia="Times New Roman" w:hAnsi="Times New Roman"/>
          <w:sz w:val="21"/>
          <w:szCs w:val="21"/>
          <w:color w:val="auto"/>
        </w:rPr>
        <w:t>”); and</w:t>
      </w:r>
    </w:p>
    <w:p>
      <w:pPr>
        <w:spacing w:after="0" w:line="15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WHEREAS, the Parties desire to amend the Existing License Agreement and the Existing SRA as more particularly set forth in this AMENDMENT, or as the context of this AMENDMENT may require.</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mutual promises, representations, warranties and covenants set forth in this AMENDMENT, and for other good and valuable consideration, the receipt and sufficiency of which are hereby acknowledged, the parties hereto hereby agree as follows:</w:t>
      </w:r>
    </w:p>
    <w:p>
      <w:pPr>
        <w:spacing w:after="0" w:line="169" w:lineRule="exact"/>
        <w:rPr>
          <w:sz w:val="20"/>
          <w:szCs w:val="20"/>
          <w:color w:val="auto"/>
        </w:rPr>
      </w:pPr>
    </w:p>
    <w:p>
      <w:pPr>
        <w:ind w:left="3420" w:hanging="341"/>
        <w:spacing w:after="0"/>
        <w:tabs>
          <w:tab w:leader="none" w:pos="3420" w:val="left"/>
        </w:tabs>
        <w:numPr>
          <w:ilvl w:val="1"/>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AMENDMENTS TO DEFINITIONS</w:t>
      </w:r>
    </w:p>
    <w:p>
      <w:pPr>
        <w:spacing w:after="0" w:line="210" w:lineRule="exact"/>
        <w:rPr>
          <w:rFonts w:ascii="Times New Roman" w:cs="Times New Roman" w:eastAsia="Times New Roman" w:hAnsi="Times New Roman"/>
          <w:sz w:val="22"/>
          <w:szCs w:val="22"/>
          <w:b w:val="1"/>
          <w:bCs w:val="1"/>
          <w:color w:val="auto"/>
        </w:rPr>
      </w:pPr>
    </w:p>
    <w:p>
      <w:pPr>
        <w:ind w:left="1340" w:hanging="648"/>
        <w:spacing w:after="0"/>
        <w:tabs>
          <w:tab w:leader="none" w:pos="13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 and Phrases.</w:t>
      </w:r>
    </w:p>
    <w:p>
      <w:pPr>
        <w:spacing w:after="0" w:line="206" w:lineRule="exact"/>
        <w:rPr>
          <w:sz w:val="20"/>
          <w:szCs w:val="20"/>
          <w:color w:val="auto"/>
        </w:rPr>
      </w:pPr>
    </w:p>
    <w:p>
      <w:pPr>
        <w:jc w:val="both"/>
        <w:ind w:firstLine="684"/>
        <w:spacing w:after="0" w:line="258" w:lineRule="auto"/>
        <w:rPr>
          <w:sz w:val="20"/>
          <w:szCs w:val="20"/>
          <w:color w:val="auto"/>
        </w:rPr>
      </w:pPr>
      <w:r>
        <w:rPr>
          <w:rFonts w:ascii="Times New Roman" w:cs="Times New Roman" w:eastAsia="Times New Roman" w:hAnsi="Times New Roman"/>
          <w:sz w:val="22"/>
          <w:szCs w:val="22"/>
          <w:color w:val="auto"/>
        </w:rPr>
        <w:t>1.1 Capitalized terms used, but not defined, in this AMENDMENT shall have the respective meanings ascribed to such terms in the Existing License Agreement, or the Existing SRA, as applicable.</w:t>
      </w:r>
    </w:p>
    <w:p>
      <w:pPr>
        <w:spacing w:after="0" w:line="158" w:lineRule="exact"/>
        <w:rPr>
          <w:sz w:val="20"/>
          <w:szCs w:val="20"/>
          <w:color w:val="auto"/>
        </w:rPr>
      </w:pPr>
    </w:p>
    <w:p>
      <w:pPr>
        <w:jc w:val="both"/>
        <w:ind w:firstLine="684"/>
        <w:spacing w:after="0" w:line="239" w:lineRule="auto"/>
        <w:rPr>
          <w:sz w:val="20"/>
          <w:szCs w:val="20"/>
          <w:color w:val="auto"/>
        </w:rPr>
      </w:pPr>
      <w:r>
        <w:rPr>
          <w:rFonts w:ascii="Times New Roman" w:cs="Times New Roman" w:eastAsia="Times New Roman" w:hAnsi="Times New Roman"/>
          <w:sz w:val="22"/>
          <w:szCs w:val="22"/>
          <w:color w:val="auto"/>
        </w:rPr>
        <w:t>1.2 Any reference to “the AGREEMENT” or “this AGREEMENT” with respect to the Existing License Agreement shall mean the Existing License Agreement, as amended by this AMENDMENT. Any reference to “the Agreement” or “this Agreement” with respect to the SRA shall mean the Existing SRA, as amended by this AMENDMENT.</w:t>
      </w:r>
    </w:p>
    <w:p>
      <w:pPr>
        <w:spacing w:after="0" w:line="176" w:lineRule="exact"/>
        <w:rPr>
          <w:sz w:val="20"/>
          <w:szCs w:val="20"/>
          <w:color w:val="auto"/>
        </w:rPr>
      </w:pPr>
    </w:p>
    <w:p>
      <w:pPr>
        <w:ind w:left="3360" w:hanging="327"/>
        <w:spacing w:after="0"/>
        <w:tabs>
          <w:tab w:leader="none" w:pos="3360" w:val="left"/>
        </w:tabs>
        <w:numPr>
          <w:ilvl w:val="1"/>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AMENDMENTS TO EXISTING SRA</w:t>
      </w:r>
    </w:p>
    <w:p>
      <w:pPr>
        <w:spacing w:after="0" w:line="210" w:lineRule="exact"/>
        <w:rPr>
          <w:rFonts w:ascii="Times New Roman" w:cs="Times New Roman" w:eastAsia="Times New Roman" w:hAnsi="Times New Roman"/>
          <w:sz w:val="22"/>
          <w:szCs w:val="22"/>
          <w:b w:val="1"/>
          <w:bCs w:val="1"/>
          <w:color w:val="auto"/>
        </w:rPr>
      </w:pPr>
    </w:p>
    <w:p>
      <w:pPr>
        <w:ind w:left="660" w:right="80" w:firstLine="32"/>
        <w:spacing w:after="0" w:line="258" w:lineRule="auto"/>
        <w:tabs>
          <w:tab w:leader="none" w:pos="134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Section 2 of the Existing SRA</w:t>
      </w:r>
      <w:r>
        <w:rPr>
          <w:rFonts w:ascii="Times New Roman" w:cs="Times New Roman" w:eastAsia="Times New Roman" w:hAnsi="Times New Roman"/>
          <w:sz w:val="22"/>
          <w:szCs w:val="22"/>
          <w:color w:val="auto"/>
        </w:rPr>
        <w:t>. Section 2 of the Existing SRA shall be amended by adding Section 2(c), as follows:</w:t>
      </w:r>
    </w:p>
    <w:p>
      <w:pPr>
        <w:spacing w:after="0" w:line="158"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“(c) UNIVERSITY and PRINCIPAL INVESTIGATOR shall use all reasonable efforts to ensure that any future collaborations or commitments with a third party (“THIRD PARTY OBLIGATIONS”) do not conflict with the rights of SPONSOR under this Agreement. UNIVERSITY and PRINCIPAL INVESTIGATOR shall promptly notify SPONSOR if it reasonably believes that a THIRD PARTY OBLIGATION conflicts with, or is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626745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25" w:name="page126"/>
    <w:bookmarkEnd w:id="125"/>
    <w:p>
      <w:pPr>
        <w:ind w:left="200"/>
        <w:spacing w:after="0" w:line="258" w:lineRule="auto"/>
        <w:rPr>
          <w:sz w:val="20"/>
          <w:szCs w:val="20"/>
          <w:color w:val="auto"/>
        </w:rPr>
      </w:pPr>
      <w:r>
        <w:rPr>
          <w:rFonts w:ascii="Times New Roman" w:cs="Times New Roman" w:eastAsia="Times New Roman" w:hAnsi="Times New Roman"/>
          <w:sz w:val="22"/>
          <w:szCs w:val="22"/>
          <w:color w:val="auto"/>
        </w:rPr>
        <w:t>likely to conflict with, or would otherwise adversely affect the rights of SPONSOR under this Agreement.”</w:t>
      </w:r>
    </w:p>
    <w:p>
      <w:pPr>
        <w:spacing w:after="0" w:line="159" w:lineRule="exact"/>
        <w:rPr>
          <w:sz w:val="20"/>
          <w:szCs w:val="20"/>
          <w:color w:val="auto"/>
        </w:rPr>
      </w:pPr>
    </w:p>
    <w:p>
      <w:pPr>
        <w:ind w:left="200" w:hanging="4"/>
        <w:spacing w:after="0" w:line="258" w:lineRule="auto"/>
        <w:tabs>
          <w:tab w:leader="none" w:pos="91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Section 8(e) of the Existing SRA</w:t>
      </w:r>
      <w:r>
        <w:rPr>
          <w:rFonts w:ascii="Times New Roman" w:cs="Times New Roman" w:eastAsia="Times New Roman" w:hAnsi="Times New Roman"/>
          <w:sz w:val="22"/>
          <w:szCs w:val="22"/>
          <w:color w:val="auto"/>
        </w:rPr>
        <w:t>. The following paragraph shall be inserted at the end of Section 8(e) of the Existing SRA:</w:t>
      </w:r>
    </w:p>
    <w:p>
      <w:pPr>
        <w:spacing w:after="0" w:line="158" w:lineRule="exact"/>
        <w:rPr>
          <w:sz w:val="20"/>
          <w:szCs w:val="20"/>
          <w:color w:val="auto"/>
        </w:rPr>
      </w:pPr>
    </w:p>
    <w:p>
      <w:pPr>
        <w:jc w:val="both"/>
        <w:ind w:left="200"/>
        <w:spacing w:after="0" w:line="238" w:lineRule="auto"/>
        <w:rPr>
          <w:sz w:val="20"/>
          <w:szCs w:val="20"/>
          <w:color w:val="auto"/>
        </w:rPr>
      </w:pPr>
      <w:r>
        <w:rPr>
          <w:rFonts w:ascii="Times New Roman" w:cs="Times New Roman" w:eastAsia="Times New Roman" w:hAnsi="Times New Roman"/>
          <w:sz w:val="22"/>
          <w:szCs w:val="22"/>
          <w:color w:val="auto"/>
        </w:rPr>
        <w:t>“Promptly after SPONSOR’s written request, the UNIVERSITY shall disclose to SPONSOR in such form and media as may be reasonably requested by SPONSOR any documentation, materials, or other information concerning the INVENTION, including those items in the possession and control of the UNIVERSITY that would be considered LICENSED INFORMATION under the LICENSE AGREEMENT.”</w:t>
      </w:r>
    </w:p>
    <w:p>
      <w:pPr>
        <w:spacing w:after="0" w:line="177" w:lineRule="exact"/>
        <w:rPr>
          <w:sz w:val="20"/>
          <w:szCs w:val="20"/>
          <w:color w:val="auto"/>
        </w:rPr>
      </w:pPr>
    </w:p>
    <w:p>
      <w:pPr>
        <w:ind w:left="200" w:right="20" w:hanging="4"/>
        <w:spacing w:after="0" w:line="258" w:lineRule="auto"/>
        <w:tabs>
          <w:tab w:leader="none" w:pos="87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Section 8(k) of the Existing SRA</w:t>
      </w:r>
      <w:r>
        <w:rPr>
          <w:rFonts w:ascii="Times New Roman" w:cs="Times New Roman" w:eastAsia="Times New Roman" w:hAnsi="Times New Roman"/>
          <w:sz w:val="22"/>
          <w:szCs w:val="22"/>
          <w:color w:val="auto"/>
        </w:rPr>
        <w:t>. The first sentence of Section 8(k) of the Existing SRA shall be amended and restated in its entirety as follows:</w:t>
      </w:r>
    </w:p>
    <w:p>
      <w:pPr>
        <w:spacing w:after="0" w:line="158" w:lineRule="exact"/>
        <w:rPr>
          <w:sz w:val="20"/>
          <w:szCs w:val="20"/>
          <w:color w:val="auto"/>
        </w:rPr>
      </w:pPr>
    </w:p>
    <w:p>
      <w:pPr>
        <w:jc w:val="both"/>
        <w:ind w:left="200"/>
        <w:spacing w:after="0" w:line="236" w:lineRule="auto"/>
        <w:rPr>
          <w:sz w:val="20"/>
          <w:szCs w:val="20"/>
          <w:color w:val="auto"/>
        </w:rPr>
      </w:pPr>
      <w:r>
        <w:rPr>
          <w:rFonts w:ascii="Times New Roman" w:cs="Times New Roman" w:eastAsia="Times New Roman" w:hAnsi="Times New Roman"/>
          <w:sz w:val="22"/>
          <w:szCs w:val="22"/>
          <w:color w:val="auto"/>
        </w:rPr>
        <w:t xml:space="preserve">“Subject to UNIVERSITY’s legal and contractual obligations to third parties existing as of the EFFECTIVE DATE or entered into during the term of this AGREEMENT and not in violation of the LICENSE AGREEMENT, during the term of this AGREEMENT, SPONSOR shall have the right to request that UNIVERSITY commence a transfer to or sharing with SPONSOR or its designee of LICENSED INFORMATION and RESEARCH RESULTS reasonably necessary for the establishment by SPONSOR of a system for the screening and identification of targets as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460" w:right="160" w:firstLine="656"/>
        <w:spacing w:after="0" w:line="239" w:lineRule="auto"/>
        <w:tabs>
          <w:tab w:leader="none" w:pos="83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Scope of Research and Budget in the Exiting SRA.</w:t>
      </w:r>
      <w:r>
        <w:rPr>
          <w:rFonts w:ascii="Times New Roman" w:cs="Times New Roman" w:eastAsia="Times New Roman" w:hAnsi="Times New Roman"/>
          <w:sz w:val="22"/>
          <w:szCs w:val="22"/>
          <w:color w:val="auto"/>
        </w:rPr>
        <w:t xml:space="preserve"> The parties agree to extend the term of the SRA for one (1) additional year (i.e., through December 31, 2021), based on a mutually acceptable work plan and a budget consistent with current funding. Appendix E contains a draft work plan that the parties shall finalize prior to the end of the current term.</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II. AMENDMENTS TO LICENSE AGREEMENT</w:t>
      </w:r>
    </w:p>
    <w:p>
      <w:pPr>
        <w:spacing w:after="0" w:line="206" w:lineRule="exact"/>
        <w:rPr>
          <w:sz w:val="20"/>
          <w:szCs w:val="20"/>
          <w:color w:val="auto"/>
        </w:rPr>
      </w:pPr>
    </w:p>
    <w:p>
      <w:pPr>
        <w:ind w:left="200" w:hanging="4"/>
        <w:spacing w:after="0" w:line="258" w:lineRule="auto"/>
        <w:tabs>
          <w:tab w:leader="none" w:pos="109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Section 2.28 of the Existing License Agreement</w:t>
      </w:r>
      <w:r>
        <w:rPr>
          <w:rFonts w:ascii="Times New Roman" w:cs="Times New Roman" w:eastAsia="Times New Roman" w:hAnsi="Times New Roman"/>
          <w:sz w:val="22"/>
          <w:szCs w:val="22"/>
          <w:color w:val="auto"/>
        </w:rPr>
        <w:t>. Section 2.28 of the Existing License Agreement shall be amended and restated in its entirety as follows:</w:t>
      </w:r>
    </w:p>
    <w:p>
      <w:pPr>
        <w:spacing w:after="0" w:line="154" w:lineRule="exact"/>
        <w:rPr>
          <w:sz w:val="20"/>
          <w:szCs w:val="20"/>
          <w:color w:val="auto"/>
        </w:rPr>
      </w:pPr>
    </w:p>
    <w:p>
      <w:pPr>
        <w:jc w:val="both"/>
        <w:ind w:left="200"/>
        <w:spacing w:after="0" w:line="246" w:lineRule="auto"/>
        <w:rPr>
          <w:sz w:val="20"/>
          <w:szCs w:val="20"/>
          <w:color w:val="auto"/>
        </w:rPr>
      </w:pPr>
      <w:r>
        <w:rPr>
          <w:rFonts w:ascii="Times New Roman" w:cs="Times New Roman" w:eastAsia="Times New Roman" w:hAnsi="Times New Roman"/>
          <w:sz w:val="22"/>
          <w:szCs w:val="22"/>
          <w:color w:val="auto"/>
        </w:rPr>
        <w:t>“2.28 “</w:t>
      </w:r>
      <w:r>
        <w:rPr>
          <w:rFonts w:ascii="Times New Roman" w:cs="Times New Roman" w:eastAsia="Times New Roman" w:hAnsi="Times New Roman"/>
          <w:sz w:val="22"/>
          <w:szCs w:val="22"/>
          <w:b w:val="1"/>
          <w:bCs w:val="1"/>
          <w:color w:val="auto"/>
        </w:rPr>
        <w:t>LICENSED INFORMATION</w:t>
      </w:r>
      <w:r>
        <w:rPr>
          <w:rFonts w:ascii="Times New Roman" w:cs="Times New Roman" w:eastAsia="Times New Roman" w:hAnsi="Times New Roman"/>
          <w:sz w:val="22"/>
          <w:szCs w:val="22"/>
          <w:color w:val="auto"/>
        </w:rPr>
        <w:t>” shall mean all information, data, know-how and the like, in any form, whether or not patentable, that are useful for the discovery, development, manufacture, use, or sale of one or more LICENSED PRODUCTS, or for the practice of the LICENSED METHODS and are:</w:t>
      </w:r>
    </w:p>
    <w:p>
      <w:pPr>
        <w:spacing w:after="0" w:line="171" w:lineRule="exact"/>
        <w:rPr>
          <w:sz w:val="20"/>
          <w:szCs w:val="20"/>
          <w:color w:val="auto"/>
        </w:rPr>
      </w:pPr>
    </w:p>
    <w:p>
      <w:pPr>
        <w:ind w:left="860" w:hanging="664"/>
        <w:spacing w:after="0"/>
        <w:tabs>
          <w:tab w:leader="none" w:pos="8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owned or co-owned by YALE as of the EFFECTIVE DATE; and</w:t>
      </w:r>
    </w:p>
    <w:p>
      <w:pPr>
        <w:spacing w:after="0" w:line="206" w:lineRule="exact"/>
        <w:rPr>
          <w:rFonts w:ascii="Times New Roman" w:cs="Times New Roman" w:eastAsia="Times New Roman" w:hAnsi="Times New Roman"/>
          <w:sz w:val="22"/>
          <w:szCs w:val="22"/>
          <w:color w:val="auto"/>
        </w:rPr>
      </w:pPr>
    </w:p>
    <w:p>
      <w:pPr>
        <w:jc w:val="both"/>
        <w:ind w:left="840" w:hanging="644"/>
        <w:spacing w:after="0" w:line="244" w:lineRule="auto"/>
        <w:tabs>
          <w:tab w:leader="none" w:pos="120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Research Results (as defined in the SRA) discovered or developed in or on behalf of (including, without limitation, by outsourced third parties and consultants) the CHEN LAB as a result of the Research (as defined in the SRA) under the SRA;</w:t>
      </w:r>
    </w:p>
    <w:p>
      <w:pPr>
        <w:spacing w:after="0" w:line="173"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22"/>
          <w:szCs w:val="22"/>
          <w:color w:val="auto"/>
        </w:rPr>
        <w:t>in each case, to the extent disclosable and licensable (including on a non-exclusive basis as contemplated by this AGREEMENT) by YALE to LICENSEE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615315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1" w:right="999" w:bottom="1440" w:gutter="0" w:footer="0" w:header="0"/>
        </w:sectPr>
      </w:pPr>
    </w:p>
    <w:bookmarkStart w:id="126" w:name="page127"/>
    <w:bookmarkEnd w:id="126"/>
    <w:p>
      <w:pPr>
        <w:jc w:val="both"/>
        <w:ind w:left="200"/>
        <w:spacing w:after="0"/>
        <w:rPr>
          <w:sz w:val="20"/>
          <w:szCs w:val="20"/>
          <w:color w:val="auto"/>
        </w:rPr>
      </w:pPr>
      <w:r>
        <w:rPr>
          <w:rFonts w:ascii="Times New Roman" w:cs="Times New Roman" w:eastAsia="Times New Roman" w:hAnsi="Times New Roman"/>
          <w:sz w:val="22"/>
          <w:szCs w:val="22"/>
          <w:color w:val="auto"/>
        </w:rPr>
        <w:t>causing (i) YALE to be in contractual breach of an agreement between YALE and a third party either existing as of the EFFECTIVE DATE or entered into on or after the EFFECTIVE DATE without violating or being inconsistent with any of the requirements of this AGREEMENT or (ii) liability of YALE to a third party.</w:t>
      </w:r>
    </w:p>
    <w:p>
      <w:pPr>
        <w:spacing w:after="0" w:line="177" w:lineRule="exact"/>
        <w:rPr>
          <w:sz w:val="20"/>
          <w:szCs w:val="20"/>
          <w:color w:val="auto"/>
        </w:rPr>
      </w:pPr>
    </w:p>
    <w:p>
      <w:pPr>
        <w:jc w:val="both"/>
        <w:ind w:left="200"/>
        <w:spacing w:after="0" w:line="258" w:lineRule="auto"/>
        <w:rPr>
          <w:sz w:val="20"/>
          <w:szCs w:val="20"/>
          <w:color w:val="auto"/>
        </w:rPr>
      </w:pPr>
      <w:r>
        <w:rPr>
          <w:rFonts w:ascii="Times New Roman" w:cs="Times New Roman" w:eastAsia="Times New Roman" w:hAnsi="Times New Roman"/>
          <w:sz w:val="22"/>
          <w:szCs w:val="22"/>
          <w:color w:val="auto"/>
        </w:rPr>
        <w:t>For the avoidance of doubt, LICENSED INFORMATION does not include any patents or patent applications included within the LICENSED PATENTS.”</w:t>
      </w:r>
    </w:p>
    <w:p>
      <w:pPr>
        <w:spacing w:after="0" w:line="158" w:lineRule="exact"/>
        <w:rPr>
          <w:sz w:val="20"/>
          <w:szCs w:val="20"/>
          <w:color w:val="auto"/>
        </w:rPr>
      </w:pPr>
    </w:p>
    <w:p>
      <w:pPr>
        <w:ind w:left="200" w:hanging="4"/>
        <w:spacing w:after="0" w:line="258" w:lineRule="auto"/>
        <w:tabs>
          <w:tab w:leader="none" w:pos="101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Section 3 of the Existing License Agreement</w:t>
      </w:r>
      <w:r>
        <w:rPr>
          <w:rFonts w:ascii="Times New Roman" w:cs="Times New Roman" w:eastAsia="Times New Roman" w:hAnsi="Times New Roman"/>
          <w:sz w:val="22"/>
          <w:szCs w:val="22"/>
          <w:color w:val="auto"/>
        </w:rPr>
        <w:t>. Section 3 of the Existing License Agreement shall be amended by inserting a new Section 3.8 in its entirety as follows:</w:t>
      </w:r>
    </w:p>
    <w:p>
      <w:pPr>
        <w:spacing w:after="0" w:line="158" w:lineRule="exact"/>
        <w:rPr>
          <w:sz w:val="20"/>
          <w:szCs w:val="20"/>
          <w:color w:val="auto"/>
        </w:rPr>
      </w:pPr>
    </w:p>
    <w:p>
      <w:pPr>
        <w:jc w:val="both"/>
        <w:ind w:left="200"/>
        <w:spacing w:after="0" w:line="235" w:lineRule="auto"/>
        <w:rPr>
          <w:sz w:val="20"/>
          <w:szCs w:val="20"/>
          <w:color w:val="auto"/>
        </w:rPr>
      </w:pPr>
      <w:r>
        <w:rPr>
          <w:rFonts w:ascii="Times New Roman" w:cs="Times New Roman" w:eastAsia="Times New Roman" w:hAnsi="Times New Roman"/>
          <w:sz w:val="22"/>
          <w:szCs w:val="22"/>
          <w:color w:val="auto"/>
        </w:rPr>
        <w:t>“3.8 If YALE files a patent application anywhere in the Territory for any modification of or improvement or enhancement to, inventions claimed under the LICENSED PATENTS, YALE shall provide written notice to LICENSEE within [***] after becoming aware of any such modification, improvement or enhancement, and shall provide to LICENSEE copies of the patent application, all invention disclosures related thereto, and other documents that disclose such modification, improvement or enhancement (in addition to the patent application). Such disclosure shall contain sufficient detail to enable (i) both parties to determine whether such disclosures contains patentable subject matter, and (ii) LICENSEE to evaluate whether to exercise the option set forth in Section 3.5.”</w:t>
      </w:r>
    </w:p>
    <w:p>
      <w:pPr>
        <w:spacing w:after="0" w:line="178" w:lineRule="exact"/>
        <w:rPr>
          <w:sz w:val="20"/>
          <w:szCs w:val="20"/>
          <w:color w:val="auto"/>
        </w:rPr>
      </w:pPr>
    </w:p>
    <w:p>
      <w:pPr>
        <w:ind w:left="200" w:hanging="4"/>
        <w:spacing w:after="0" w:line="258" w:lineRule="auto"/>
        <w:tabs>
          <w:tab w:leader="none" w:pos="114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Section 3.4(a)(i) of the Existing License Agreement</w:t>
      </w:r>
      <w:r>
        <w:rPr>
          <w:rFonts w:ascii="Times New Roman" w:cs="Times New Roman" w:eastAsia="Times New Roman" w:hAnsi="Times New Roman"/>
          <w:sz w:val="22"/>
          <w:szCs w:val="22"/>
          <w:color w:val="auto"/>
        </w:rPr>
        <w:t>. Section 3.4(a)(i) of the Existing License Agreement shall be amended and restated in its entirety as follows:</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“Except on behalf of LICENSEE,</w:t>
      </w:r>
    </w:p>
    <w:p>
      <w:pPr>
        <w:spacing w:after="0" w:line="206" w:lineRule="exact"/>
        <w:rPr>
          <w:sz w:val="20"/>
          <w:szCs w:val="20"/>
          <w:color w:val="auto"/>
        </w:rPr>
      </w:pPr>
    </w:p>
    <w:p>
      <w:pPr>
        <w:ind w:left="200" w:firstLine="644"/>
        <w:spacing w:after="0" w:line="258" w:lineRule="auto"/>
        <w:tabs>
          <w:tab w:leader="none" w:pos="110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YALE shall not enter into any agreement or arrangement by or on behalf of the CHEN LAB, or permit the CHEN LAB to, directly or indirectly engage in, and</w:t>
      </w:r>
    </w:p>
    <w:p>
      <w:pPr>
        <w:spacing w:after="0" w:line="158" w:lineRule="exact"/>
        <w:rPr>
          <w:rFonts w:ascii="Times New Roman" w:cs="Times New Roman" w:eastAsia="Times New Roman" w:hAnsi="Times New Roman"/>
          <w:sz w:val="22"/>
          <w:szCs w:val="22"/>
          <w:color w:val="auto"/>
        </w:rPr>
      </w:pPr>
    </w:p>
    <w:p>
      <w:pPr>
        <w:ind w:left="200" w:firstLine="644"/>
        <w:spacing w:after="0" w:line="258" w:lineRule="auto"/>
        <w:tabs>
          <w:tab w:leader="none" w:pos="1202"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CHEN LAB shall not, directly or indirectly, engage in, or enter into any agreement or arrangement for</w:t>
      </w:r>
    </w:p>
    <w:p>
      <w:pPr>
        <w:spacing w:after="0" w:line="158" w:lineRule="exact"/>
        <w:rPr>
          <w:sz w:val="20"/>
          <w:szCs w:val="20"/>
          <w:color w:val="auto"/>
        </w:rPr>
      </w:pPr>
    </w:p>
    <w:p>
      <w:pPr>
        <w:jc w:val="both"/>
        <w:ind w:left="200"/>
        <w:spacing w:after="0" w:line="238" w:lineRule="auto"/>
        <w:rPr>
          <w:sz w:val="20"/>
          <w:szCs w:val="20"/>
          <w:color w:val="auto"/>
        </w:rPr>
      </w:pPr>
      <w:r>
        <w:rPr>
          <w:rFonts w:ascii="Times New Roman" w:cs="Times New Roman" w:eastAsia="Times New Roman" w:hAnsi="Times New Roman"/>
          <w:sz w:val="22"/>
          <w:szCs w:val="22"/>
          <w:color w:val="auto"/>
        </w:rPr>
        <w:t xml:space="preserve">any research, development, manufacturing or other activities in which the LICENSED PATENTS or LICENSED PRODUCTS are used by a third party for a pharmaceutical or biological composition the primary mechanism of action of which is, by design, to bind to any of the molecular targets identified on </w:t>
      </w:r>
      <w:r>
        <w:rPr>
          <w:rFonts w:ascii="Times New Roman" w:cs="Times New Roman" w:eastAsia="Times New Roman" w:hAnsi="Times New Roman"/>
          <w:sz w:val="22"/>
          <w:szCs w:val="22"/>
          <w:u w:val="single" w:color="auto"/>
          <w:color w:val="auto"/>
        </w:rPr>
        <w:t>Appendix D</w:t>
      </w:r>
      <w:r>
        <w:rPr>
          <w:rFonts w:ascii="Times New Roman" w:cs="Times New Roman" w:eastAsia="Times New Roman" w:hAnsi="Times New Roman"/>
          <w:sz w:val="22"/>
          <w:szCs w:val="22"/>
          <w:color w:val="auto"/>
        </w:rPr>
        <w:t xml:space="preserve"> attached hereto (A) for COMMERCIAL PURPOSES or (B) with a COMMERCIAL ENTITY.</w:t>
      </w:r>
    </w:p>
    <w:p>
      <w:pPr>
        <w:spacing w:after="0" w:line="177" w:lineRule="exact"/>
        <w:rPr>
          <w:sz w:val="20"/>
          <w:szCs w:val="20"/>
          <w:color w:val="auto"/>
        </w:rPr>
      </w:pPr>
    </w:p>
    <w:p>
      <w:pPr>
        <w:jc w:val="both"/>
        <w:ind w:left="200"/>
        <w:spacing w:after="0" w:line="258" w:lineRule="auto"/>
        <w:rPr>
          <w:sz w:val="20"/>
          <w:szCs w:val="20"/>
          <w:color w:val="auto"/>
        </w:rPr>
      </w:pPr>
      <w:r>
        <w:rPr>
          <w:rFonts w:ascii="Times New Roman" w:cs="Times New Roman" w:eastAsia="Times New Roman" w:hAnsi="Times New Roman"/>
          <w:sz w:val="22"/>
          <w:szCs w:val="22"/>
          <w:color w:val="auto"/>
        </w:rPr>
        <w:t>For clarity, YALE shall be permitted to engage in any such activities (subject to the exclusivity of the LICENSE granted by YALE hereunder); provided, that they do not involve CHEN or the CHEN LAB.”</w:t>
      </w:r>
    </w:p>
    <w:p>
      <w:pPr>
        <w:spacing w:after="0" w:line="158" w:lineRule="exact"/>
        <w:rPr>
          <w:sz w:val="20"/>
          <w:szCs w:val="20"/>
          <w:color w:val="auto"/>
        </w:rPr>
      </w:pPr>
    </w:p>
    <w:p>
      <w:pPr>
        <w:jc w:val="both"/>
        <w:ind w:left="200" w:hanging="4"/>
        <w:spacing w:after="0" w:line="244" w:lineRule="auto"/>
        <w:tabs>
          <w:tab w:leader="none" w:pos="106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 of Appendix D to the Existing License Agreement</w:t>
      </w:r>
      <w:r>
        <w:rPr>
          <w:rFonts w:ascii="Times New Roman" w:cs="Times New Roman" w:eastAsia="Times New Roman" w:hAnsi="Times New Roman"/>
          <w:sz w:val="22"/>
          <w:szCs w:val="22"/>
          <w:color w:val="auto"/>
        </w:rPr>
        <w:t>. A new Appendix D, in the form attached to this AMENDMENT as Appendix D, shall be added to the Existing License Agreement, provided that, effective on [***], [***] shall be removed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624840</wp:posOffset>
            </wp:positionV>
            <wp:extent cx="629221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1" w:right="999" w:bottom="1440" w:gutter="0" w:footer="0" w:header="0"/>
        </w:sectPr>
      </w:pPr>
    </w:p>
    <w:bookmarkStart w:id="127" w:name="page128"/>
    <w:bookmarkEnd w:id="127"/>
    <w:p>
      <w:pPr>
        <w:ind w:left="200"/>
        <w:spacing w:after="0"/>
        <w:rPr>
          <w:sz w:val="20"/>
          <w:szCs w:val="20"/>
          <w:color w:val="auto"/>
        </w:rPr>
      </w:pPr>
      <w:r>
        <w:rPr>
          <w:rFonts w:ascii="Times New Roman" w:cs="Times New Roman" w:eastAsia="Times New Roman" w:hAnsi="Times New Roman"/>
          <w:sz w:val="22"/>
          <w:szCs w:val="22"/>
          <w:color w:val="auto"/>
        </w:rPr>
        <w:t>from Appendix D. YALE shall have no further obligations to LICENSEE in regards to [***].</w:t>
      </w:r>
    </w:p>
    <w:p>
      <w:pPr>
        <w:spacing w:after="0" w:line="203" w:lineRule="exact"/>
        <w:rPr>
          <w:sz w:val="20"/>
          <w:szCs w:val="20"/>
          <w:color w:val="auto"/>
        </w:rPr>
      </w:pPr>
    </w:p>
    <w:p>
      <w:pPr>
        <w:ind w:left="4140" w:hanging="350"/>
        <w:spacing w:after="0"/>
        <w:tabs>
          <w:tab w:leader="none" w:pos="4140" w:val="left"/>
        </w:tabs>
        <w:numPr>
          <w:ilvl w:val="1"/>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102" w:lineRule="exact"/>
        <w:rPr>
          <w:rFonts w:ascii="Times New Roman" w:cs="Times New Roman" w:eastAsia="Times New Roman" w:hAnsi="Times New Roman"/>
          <w:sz w:val="22"/>
          <w:szCs w:val="22"/>
          <w:b w:val="1"/>
          <w:bCs w:val="1"/>
          <w:color w:val="auto"/>
        </w:rPr>
      </w:pPr>
    </w:p>
    <w:p>
      <w:pPr>
        <w:jc w:val="both"/>
        <w:ind w:left="200" w:hanging="4"/>
        <w:spacing w:after="0" w:line="239" w:lineRule="auto"/>
        <w:tabs>
          <w:tab w:leader="none" w:pos="80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w:t>
      </w:r>
      <w:r>
        <w:rPr>
          <w:rFonts w:ascii="Times New Roman" w:cs="Times New Roman" w:eastAsia="Times New Roman" w:hAnsi="Times New Roman"/>
          <w:sz w:val="22"/>
          <w:szCs w:val="22"/>
          <w:color w:val="auto"/>
        </w:rPr>
        <w:t>. Except as expressly provided herein: (a) no terms or provisions of the Existing License Agreement or the Existing SRA are modified or changed by this AMENDMENT and (b) the terms and provisions of the Existing License Agreement and the Existing SRA shall continue in full force and effect.</w:t>
      </w:r>
    </w:p>
    <w:p>
      <w:pPr>
        <w:spacing w:after="0" w:line="180" w:lineRule="exact"/>
        <w:rPr>
          <w:rFonts w:ascii="Times New Roman" w:cs="Times New Roman" w:eastAsia="Times New Roman" w:hAnsi="Times New Roman"/>
          <w:sz w:val="22"/>
          <w:szCs w:val="22"/>
          <w:color w:val="auto"/>
        </w:rPr>
      </w:pPr>
    </w:p>
    <w:p>
      <w:pPr>
        <w:jc w:val="both"/>
        <w:ind w:left="200" w:hanging="4"/>
        <w:spacing w:after="0" w:line="239" w:lineRule="auto"/>
        <w:tabs>
          <w:tab w:leader="none" w:pos="79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of Invention Disclosures</w:t>
      </w:r>
      <w:r>
        <w:rPr>
          <w:rFonts w:ascii="Times New Roman" w:cs="Times New Roman" w:eastAsia="Times New Roman" w:hAnsi="Times New Roman"/>
          <w:sz w:val="22"/>
          <w:szCs w:val="22"/>
          <w:color w:val="auto"/>
        </w:rPr>
        <w:t>. Pursuant to Section 8(e) of the Existing SRA, and Section 3.8 of the License Agreement, YALE shall promptly disclose to LICENSEE any such invention disclosures that should have been disclosed to LICENSEE, including but not limited to invention disclosures related to [***] and [***].</w:t>
      </w:r>
    </w:p>
    <w:p>
      <w:pPr>
        <w:spacing w:after="0" w:line="180" w:lineRule="exact"/>
        <w:rPr>
          <w:rFonts w:ascii="Times New Roman" w:cs="Times New Roman" w:eastAsia="Times New Roman" w:hAnsi="Times New Roman"/>
          <w:sz w:val="22"/>
          <w:szCs w:val="22"/>
          <w:color w:val="auto"/>
        </w:rPr>
      </w:pPr>
    </w:p>
    <w:p>
      <w:pPr>
        <w:ind w:left="200" w:hanging="4"/>
        <w:spacing w:after="0" w:line="258" w:lineRule="auto"/>
        <w:tabs>
          <w:tab w:leader="none" w:pos="109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This AMENDMENT shall be effective from and after the AMENDMENT EFFECTIVE DATE.</w:t>
      </w:r>
    </w:p>
    <w:p>
      <w:pPr>
        <w:spacing w:after="0" w:line="158" w:lineRule="exact"/>
        <w:rPr>
          <w:rFonts w:ascii="Times New Roman" w:cs="Times New Roman" w:eastAsia="Times New Roman" w:hAnsi="Times New Roman"/>
          <w:sz w:val="22"/>
          <w:szCs w:val="22"/>
          <w:color w:val="auto"/>
        </w:rPr>
      </w:pPr>
    </w:p>
    <w:p>
      <w:pPr>
        <w:jc w:val="both"/>
        <w:ind w:left="200" w:hanging="4"/>
        <w:spacing w:after="0" w:line="239" w:lineRule="auto"/>
        <w:tabs>
          <w:tab w:leader="none" w:pos="101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 Facsimile Signatures</w:t>
      </w:r>
      <w:r>
        <w:rPr>
          <w:rFonts w:ascii="Times New Roman" w:cs="Times New Roman" w:eastAsia="Times New Roman" w:hAnsi="Times New Roman"/>
          <w:sz w:val="22"/>
          <w:szCs w:val="22"/>
          <w:color w:val="auto"/>
        </w:rPr>
        <w:t>. This AMENDMENT may be executed in any number of counterparts, each of which shall be deemed to be an original, and all of which together shall constitute one and the same document. This AMENDMENT may be executed by facsimile or electronic transmission signatures (including .pdf copies).</w:t>
      </w:r>
    </w:p>
    <w:p>
      <w:pPr>
        <w:spacing w:after="0" w:line="200" w:lineRule="exact"/>
        <w:rPr>
          <w:sz w:val="20"/>
          <w:szCs w:val="20"/>
          <w:color w:val="auto"/>
        </w:rPr>
      </w:pPr>
    </w:p>
    <w:p>
      <w:pPr>
        <w:spacing w:after="0" w:line="24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664845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1" w:right="999" w:bottom="1440" w:gutter="0" w:footer="0" w:header="0"/>
        </w:sectPr>
      </w:pPr>
    </w:p>
    <w:bookmarkStart w:id="128" w:name="page129"/>
    <w:bookmarkEnd w:id="128"/>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AMENDMENT as of the date set forth in the first paragraph.</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YALE UNIVERSITY</w:t>
            </w:r>
          </w:p>
        </w:tc>
        <w:tc>
          <w:tcPr>
            <w:tcW w:w="4960" w:type="dxa"/>
            <w:vAlign w:val="bottom"/>
            <w:gridSpan w:val="2"/>
          </w:tcPr>
          <w:p>
            <w:pPr>
              <w:ind w:left="200"/>
              <w:spacing w:after="0"/>
              <w:rPr>
                <w:sz w:val="20"/>
                <w:szCs w:val="20"/>
                <w:color w:val="auto"/>
              </w:rPr>
            </w:pPr>
            <w:r>
              <w:rPr>
                <w:rFonts w:ascii="Times New Roman" w:cs="Times New Roman" w:eastAsia="Times New Roman" w:hAnsi="Times New Roman"/>
                <w:sz w:val="22"/>
                <w:szCs w:val="22"/>
                <w:b w:val="1"/>
                <w:bCs w:val="1"/>
                <w:color w:val="auto"/>
              </w:rPr>
              <w:t>NEXTCURE, INC.</w:t>
            </w:r>
          </w:p>
        </w:tc>
        <w:tc>
          <w:tcPr>
            <w:tcW w:w="0" w:type="dxa"/>
            <w:vAlign w:val="bottom"/>
          </w:tcPr>
          <w:p>
            <w:pPr>
              <w:spacing w:after="0"/>
              <w:rPr>
                <w:sz w:val="1"/>
                <w:szCs w:val="1"/>
                <w:color w:val="auto"/>
              </w:rPr>
            </w:pPr>
          </w:p>
        </w:tc>
      </w:tr>
      <w:tr>
        <w:trPr>
          <w:trHeight w:val="690"/>
        </w:trPr>
        <w:tc>
          <w:tcPr>
            <w:tcW w:w="4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 E. Jonathan Soderstrom</w:t>
            </w:r>
          </w:p>
        </w:tc>
        <w:tc>
          <w:tcPr>
            <w:tcW w:w="496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By:   /s/ Timothy Mayer</w:t>
            </w: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4380" w:type="dxa"/>
            <w:vAlign w:val="bottom"/>
            <w:tcBorders>
              <w:bottom w:val="single" w:sz="8" w:color="auto"/>
            </w:tcBorders>
          </w:tcPr>
          <w:p>
            <w:pPr>
              <w:spacing w:after="0"/>
              <w:rPr>
                <w:sz w:val="2"/>
                <w:szCs w:val="2"/>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w w:val="95"/>
              </w:rPr>
              <w:t>Name:</w:t>
            </w:r>
          </w:p>
        </w:tc>
        <w:tc>
          <w:tcPr>
            <w:tcW w:w="4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0" w:type="dxa"/>
            <w:vAlign w:val="bottom"/>
            <w:vMerge w:val="continue"/>
          </w:tcPr>
          <w:p>
            <w:pPr>
              <w:spacing w:after="0"/>
              <w:rPr>
                <w:sz w:val="18"/>
                <w:szCs w:val="18"/>
                <w:color w:val="auto"/>
              </w:rPr>
            </w:pPr>
          </w:p>
        </w:tc>
        <w:tc>
          <w:tcPr>
            <w:tcW w:w="43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E. Jonathan Soderstrom, Ph.D.</w:t>
            </w:r>
          </w:p>
        </w:tc>
        <w:tc>
          <w:tcPr>
            <w:tcW w:w="780" w:type="dxa"/>
            <w:vAlign w:val="bottom"/>
            <w:vMerge w:val="continue"/>
          </w:tcPr>
          <w:p>
            <w:pPr>
              <w:spacing w:after="0"/>
              <w:rPr>
                <w:sz w:val="18"/>
                <w:szCs w:val="18"/>
                <w:color w:val="auto"/>
              </w:rPr>
            </w:pPr>
          </w:p>
        </w:tc>
        <w:tc>
          <w:tcPr>
            <w:tcW w:w="41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Timothy Mayer, Ph.D.</w:t>
            </w:r>
          </w:p>
        </w:tc>
        <w:tc>
          <w:tcPr>
            <w:tcW w:w="0" w:type="dxa"/>
            <w:vAlign w:val="bottom"/>
          </w:tcPr>
          <w:p>
            <w:pPr>
              <w:spacing w:after="0"/>
              <w:rPr>
                <w:sz w:val="1"/>
                <w:szCs w:val="1"/>
                <w:color w:val="auto"/>
              </w:rPr>
            </w:pPr>
          </w:p>
        </w:tc>
      </w:tr>
      <w:tr>
        <w:trPr>
          <w:trHeight w:val="243"/>
        </w:trPr>
        <w:tc>
          <w:tcPr>
            <w:tcW w:w="49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Title: Managing Director Office of Cooperative</w:t>
            </w:r>
          </w:p>
        </w:tc>
        <w:tc>
          <w:tcPr>
            <w:tcW w:w="496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Title: Chief Operating Officer</w:t>
            </w:r>
          </w:p>
        </w:tc>
        <w:tc>
          <w:tcPr>
            <w:tcW w:w="0" w:type="dxa"/>
            <w:vAlign w:val="bottom"/>
          </w:tcPr>
          <w:p>
            <w:pPr>
              <w:spacing w:after="0"/>
              <w:rPr>
                <w:sz w:val="1"/>
                <w:szCs w:val="1"/>
                <w:color w:val="auto"/>
              </w:rPr>
            </w:pPr>
          </w:p>
        </w:tc>
      </w:tr>
      <w:tr>
        <w:trPr>
          <w:trHeight w:val="282"/>
        </w:trPr>
        <w:tc>
          <w:tcPr>
            <w:tcW w:w="496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Research</w:t>
            </w:r>
          </w:p>
        </w:tc>
        <w:tc>
          <w:tcPr>
            <w:tcW w:w="7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 Page to Amendment to License Agreement and SRA]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664845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29" w:name="page130"/>
    <w:bookmarkEnd w:id="129"/>
    <w:p>
      <w:pPr>
        <w:jc w:val="center"/>
        <w:ind w:right="-440"/>
        <w:spacing w:after="0"/>
        <w:rPr>
          <w:sz w:val="20"/>
          <w:szCs w:val="20"/>
          <w:color w:val="auto"/>
        </w:rPr>
      </w:pPr>
      <w:r>
        <w:rPr>
          <w:rFonts w:ascii="Times New Roman" w:cs="Times New Roman" w:eastAsia="Times New Roman" w:hAnsi="Times New Roman"/>
          <w:sz w:val="22"/>
          <w:szCs w:val="22"/>
          <w:b w:val="1"/>
          <w:bCs w:val="1"/>
          <w:u w:val="single" w:color="auto"/>
          <w:color w:val="auto"/>
        </w:rPr>
        <w:t>Appendix D</w:t>
      </w:r>
    </w:p>
    <w:p>
      <w:pPr>
        <w:spacing w:after="0" w:line="2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1"/>
          <w:szCs w:val="21"/>
          <w:b w:val="1"/>
          <w:bCs w:val="1"/>
          <w:color w:val="auto"/>
        </w:rPr>
        <w:t>RESTRICTED TARGETS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799465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08" w:right="1440" w:bottom="1440" w:gutter="0" w:footer="0" w:header="0"/>
        </w:sectPr>
      </w:pPr>
    </w:p>
    <w:bookmarkStart w:id="130" w:name="page131"/>
    <w:bookmarkEnd w:id="130"/>
    <w:p>
      <w:pPr>
        <w:jc w:val="center"/>
        <w:ind w:right="-360"/>
        <w:spacing w:after="0"/>
        <w:rPr>
          <w:sz w:val="20"/>
          <w:szCs w:val="20"/>
          <w:color w:val="auto"/>
        </w:rPr>
      </w:pPr>
      <w:r>
        <w:rPr>
          <w:rFonts w:ascii="Times New Roman" w:cs="Times New Roman" w:eastAsia="Times New Roman" w:hAnsi="Times New Roman"/>
          <w:sz w:val="22"/>
          <w:szCs w:val="22"/>
          <w:b w:val="1"/>
          <w:bCs w:val="1"/>
          <w:u w:val="single" w:color="auto"/>
          <w:color w:val="auto"/>
        </w:rPr>
        <w:t>Appendix E</w:t>
      </w:r>
    </w:p>
    <w:p>
      <w:pPr>
        <w:spacing w:after="0" w:line="20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1"/>
          <w:szCs w:val="21"/>
          <w:b w:val="1"/>
          <w:bCs w:val="1"/>
          <w:color w:val="auto"/>
        </w:rPr>
        <w:t>DRAFT RESEARCH PLAN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353695</wp:posOffset>
            </wp:positionV>
            <wp:extent cx="629221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399"/>
          </w:cols>
          <w:pgMar w:left="1060" w:top="108" w:right="1440"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28"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 the following Registration Statements:</w:t>
      </w:r>
    </w:p>
    <w:p>
      <w:pPr>
        <w:spacing w:after="0" w:line="310" w:lineRule="exact"/>
        <w:rPr>
          <w:sz w:val="20"/>
          <w:szCs w:val="20"/>
          <w:color w:val="auto"/>
        </w:rPr>
      </w:pPr>
    </w:p>
    <w:p>
      <w:pPr>
        <w:ind w:left="660" w:right="40" w:hanging="328"/>
        <w:spacing w:after="0" w:line="311" w:lineRule="auto"/>
        <w:tabs>
          <w:tab w:leader="none" w:pos="6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333-231438) pertaining to the NextCure, Inc. 2019 Employee Stock Purchase Plan; and</w:t>
      </w:r>
    </w:p>
    <w:p>
      <w:pPr>
        <w:spacing w:after="0" w:line="213" w:lineRule="exact"/>
        <w:rPr>
          <w:rFonts w:ascii="Times New Roman" w:cs="Times New Roman" w:eastAsia="Times New Roman" w:hAnsi="Times New Roman"/>
          <w:sz w:val="20"/>
          <w:szCs w:val="20"/>
          <w:color w:val="auto"/>
        </w:rPr>
      </w:pPr>
    </w:p>
    <w:p>
      <w:pPr>
        <w:ind w:left="660" w:right="200" w:hanging="328"/>
        <w:spacing w:after="0" w:line="311" w:lineRule="auto"/>
        <w:tabs>
          <w:tab w:leader="none" w:pos="6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333-231436) pertaining to the NextCure, Inc. 2015 Omnibus Incentive Plan and the NextCure, Inc. 2019 Omnibus Incentive Plan;</w:t>
      </w:r>
    </w:p>
    <w:p>
      <w:pPr>
        <w:spacing w:after="0" w:line="173" w:lineRule="exact"/>
        <w:rPr>
          <w:sz w:val="20"/>
          <w:szCs w:val="20"/>
          <w:color w:val="auto"/>
        </w:rPr>
      </w:pPr>
    </w:p>
    <w:p>
      <w:pPr>
        <w:ind w:right="120"/>
        <w:spacing w:after="0" w:line="311" w:lineRule="auto"/>
        <w:rPr>
          <w:sz w:val="20"/>
          <w:szCs w:val="20"/>
          <w:color w:val="auto"/>
        </w:rPr>
      </w:pPr>
      <w:r>
        <w:rPr>
          <w:rFonts w:ascii="Times New Roman" w:cs="Times New Roman" w:eastAsia="Times New Roman" w:hAnsi="Times New Roman"/>
          <w:sz w:val="20"/>
          <w:szCs w:val="20"/>
          <w:color w:val="auto"/>
        </w:rPr>
        <w:t>of our report dated March 4, 2021, with respect to the financial statements of NextCure, Inc. included in this Annual Report (Form 10-K) of NextCure, Inc. for the year ended December 31, 2020.</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Baltimore, Maryland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480060</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Each of the undersigned directors of NextCure, Inc., a Delaware corporation (the “</w:t>
      </w:r>
      <w:r>
        <w:rPr>
          <w:rFonts w:ascii="Times New Roman" w:cs="Times New Roman" w:eastAsia="Times New Roman" w:hAnsi="Times New Roman"/>
          <w:sz w:val="20"/>
          <w:szCs w:val="20"/>
          <w:b w:val="1"/>
          <w:bCs w:val="1"/>
          <w:color w:val="auto"/>
        </w:rPr>
        <w:t>Corporation</w:t>
      </w:r>
      <w:r>
        <w:rPr>
          <w:rFonts w:ascii="Times New Roman" w:cs="Times New Roman" w:eastAsia="Times New Roman" w:hAnsi="Times New Roman"/>
          <w:sz w:val="20"/>
          <w:szCs w:val="20"/>
          <w:color w:val="auto"/>
        </w:rPr>
        <w:t>”), hereby constitutes and appoints Michael Richman and Steven P. Cobourn, and each of them singly, his or her true and lawful attorneys -in-fact and agents with full power to them and each of them to sign for the undersigned, and in her or her name and in the capacity or capacities indicated below, the Corporation’s Annual Report on Form 10-K for the fiscal year ended December 31, 2020, and any amendments thereto, granting unto said attorneys-in-fact and agents, and each of them, full power and authority to do and perform each and every act and thing requisite and necessary to be done in connection therewith, ratifying and confirming all that said attorneys-in-fact and agents or any of them or their or his substitute or substitutes may lawfully do or cause to be done by virtue thereof.</w:t>
      </w:r>
    </w:p>
    <w:p>
      <w:pPr>
        <w:spacing w:after="0" w:line="1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This Power of Attorney may be executed in multiple counterparts, each of which shall be deemed an original with respect to the person executing 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each of the undersigned has executed this Power of Attorney as of the date set forth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29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220" w:type="dxa"/>
            <w:vAlign w:val="bottom"/>
          </w:tcPr>
          <w:p>
            <w:pPr>
              <w:spacing w:after="0"/>
              <w:rPr>
                <w:sz w:val="22"/>
                <w:szCs w:val="22"/>
                <w:color w:val="auto"/>
              </w:rPr>
            </w:pPr>
          </w:p>
        </w:tc>
        <w:tc>
          <w:tcPr>
            <w:tcW w:w="434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260" w:type="dxa"/>
            <w:vAlign w:val="bottom"/>
          </w:tcPr>
          <w:p>
            <w:pPr>
              <w:spacing w:after="0"/>
              <w:rPr>
                <w:sz w:val="22"/>
                <w:szCs w:val="22"/>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Date</w:t>
            </w:r>
          </w:p>
        </w:tc>
      </w:tr>
      <w:tr>
        <w:trPr>
          <w:trHeight w:val="453"/>
        </w:trPr>
        <w:tc>
          <w:tcPr>
            <w:tcW w:w="2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Michael Richman</w:t>
            </w:r>
          </w:p>
        </w:tc>
        <w:tc>
          <w:tcPr>
            <w:tcW w:w="482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President, Chief Executive Officer and Director</w:t>
            </w: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March 2, 2021</w:t>
            </w:r>
          </w:p>
        </w:tc>
      </w:tr>
      <w:tr>
        <w:trPr>
          <w:trHeight w:val="252"/>
        </w:trPr>
        <w:tc>
          <w:tcPr>
            <w:tcW w:w="2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Michael Richman</w:t>
            </w:r>
          </w:p>
        </w:tc>
        <w:tc>
          <w:tcPr>
            <w:tcW w:w="4820" w:type="dxa"/>
            <w:vAlign w:val="bottom"/>
            <w:gridSpan w:val="3"/>
          </w:tcPr>
          <w:p>
            <w:pPr>
              <w:ind w:left="22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tc>
        <w:tc>
          <w:tcPr>
            <w:tcW w:w="2180" w:type="dxa"/>
            <w:vAlign w:val="bottom"/>
          </w:tcPr>
          <w:p>
            <w:pPr>
              <w:spacing w:after="0"/>
              <w:rPr>
                <w:sz w:val="21"/>
                <w:szCs w:val="21"/>
                <w:color w:val="auto"/>
              </w:rPr>
            </w:pPr>
          </w:p>
        </w:tc>
      </w:tr>
      <w:tr>
        <w:trPr>
          <w:trHeight w:val="660"/>
        </w:trPr>
        <w:tc>
          <w:tcPr>
            <w:tcW w:w="2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David Kabakoff</w:t>
            </w:r>
          </w:p>
        </w:tc>
        <w:tc>
          <w:tcPr>
            <w:tcW w:w="482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Chair of the Board</w:t>
            </w: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March 2, 2021</w:t>
            </w:r>
          </w:p>
        </w:tc>
      </w:tr>
      <w:tr>
        <w:trPr>
          <w:trHeight w:val="252"/>
        </w:trPr>
        <w:tc>
          <w:tcPr>
            <w:tcW w:w="2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David Kabakoff, Ph.D.</w:t>
            </w:r>
          </w:p>
        </w:tc>
        <w:tc>
          <w:tcPr>
            <w:tcW w:w="2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430"/>
        </w:trPr>
        <w:tc>
          <w:tcPr>
            <w:tcW w:w="2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John G. Houston</w:t>
            </w:r>
          </w:p>
        </w:tc>
        <w:tc>
          <w:tcPr>
            <w:tcW w:w="482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Director</w:t>
            </w: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March 2, 2021</w:t>
            </w:r>
          </w:p>
        </w:tc>
      </w:tr>
      <w:tr>
        <w:trPr>
          <w:trHeight w:val="252"/>
        </w:trPr>
        <w:tc>
          <w:tcPr>
            <w:tcW w:w="2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John G. Houston, Ph.D.</w:t>
            </w:r>
          </w:p>
        </w:tc>
        <w:tc>
          <w:tcPr>
            <w:tcW w:w="2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430"/>
        </w:trPr>
        <w:tc>
          <w:tcPr>
            <w:tcW w:w="2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Elaine V. Jones</w:t>
            </w:r>
          </w:p>
        </w:tc>
        <w:tc>
          <w:tcPr>
            <w:tcW w:w="482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Director</w:t>
            </w: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March 2, 2021</w:t>
            </w:r>
          </w:p>
        </w:tc>
      </w:tr>
      <w:tr>
        <w:trPr>
          <w:trHeight w:val="252"/>
        </w:trPr>
        <w:tc>
          <w:tcPr>
            <w:tcW w:w="2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Elaine V. Jones, Ph.D.</w:t>
            </w:r>
          </w:p>
        </w:tc>
        <w:tc>
          <w:tcPr>
            <w:tcW w:w="2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430"/>
        </w:trPr>
        <w:tc>
          <w:tcPr>
            <w:tcW w:w="2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Chau Q. Khuong</w:t>
            </w:r>
          </w:p>
        </w:tc>
        <w:tc>
          <w:tcPr>
            <w:tcW w:w="482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Director</w:t>
            </w: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March 2, 2021</w:t>
            </w:r>
          </w:p>
        </w:tc>
      </w:tr>
      <w:tr>
        <w:trPr>
          <w:trHeight w:val="252"/>
        </w:trPr>
        <w:tc>
          <w:tcPr>
            <w:tcW w:w="2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Chau Q. Khuong</w:t>
            </w:r>
          </w:p>
        </w:tc>
        <w:tc>
          <w:tcPr>
            <w:tcW w:w="2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430"/>
        </w:trPr>
        <w:tc>
          <w:tcPr>
            <w:tcW w:w="20" w:type="dxa"/>
            <w:vAlign w:val="bottom"/>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482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Director</w:t>
            </w: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__,2021</w:t>
            </w:r>
          </w:p>
        </w:tc>
      </w:tr>
      <w:tr>
        <w:trPr>
          <w:trHeight w:val="252"/>
        </w:trPr>
        <w:tc>
          <w:tcPr>
            <w:tcW w:w="20" w:type="dxa"/>
            <w:vAlign w:val="bottom"/>
          </w:tcPr>
          <w:p>
            <w:pPr>
              <w:spacing w:after="0"/>
              <w:rPr>
                <w:sz w:val="21"/>
                <w:szCs w:val="21"/>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Briggs Morrison, M.D.</w:t>
            </w:r>
          </w:p>
        </w:tc>
        <w:tc>
          <w:tcPr>
            <w:tcW w:w="2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430"/>
        </w:trPr>
        <w:tc>
          <w:tcPr>
            <w:tcW w:w="2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Garry Nicholson</w:t>
            </w:r>
          </w:p>
        </w:tc>
        <w:tc>
          <w:tcPr>
            <w:tcW w:w="482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Director</w:t>
            </w: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March 2, 2021</w:t>
            </w:r>
          </w:p>
        </w:tc>
      </w:tr>
      <w:tr>
        <w:trPr>
          <w:trHeight w:val="252"/>
        </w:trPr>
        <w:tc>
          <w:tcPr>
            <w:tcW w:w="2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Garry Nicholson</w:t>
            </w:r>
          </w:p>
        </w:tc>
        <w:tc>
          <w:tcPr>
            <w:tcW w:w="2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430"/>
        </w:trPr>
        <w:tc>
          <w:tcPr>
            <w:tcW w:w="2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Stephen Webster</w:t>
            </w:r>
          </w:p>
        </w:tc>
        <w:tc>
          <w:tcPr>
            <w:tcW w:w="482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Director</w:t>
            </w: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March 2, 2021</w:t>
            </w:r>
          </w:p>
        </w:tc>
      </w:tr>
      <w:tr>
        <w:trPr>
          <w:trHeight w:val="252"/>
        </w:trPr>
        <w:tc>
          <w:tcPr>
            <w:tcW w:w="2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Stephen Webster</w:t>
            </w:r>
          </w:p>
        </w:tc>
        <w:tc>
          <w:tcPr>
            <w:tcW w:w="2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430"/>
        </w:trPr>
        <w:tc>
          <w:tcPr>
            <w:tcW w:w="2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Stella Xu</w:t>
            </w:r>
          </w:p>
        </w:tc>
        <w:tc>
          <w:tcPr>
            <w:tcW w:w="482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Director</w:t>
            </w:r>
          </w:p>
        </w:tc>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March 3, 2021</w:t>
            </w:r>
          </w:p>
        </w:tc>
      </w:tr>
      <w:tr>
        <w:trPr>
          <w:trHeight w:val="445"/>
        </w:trPr>
        <w:tc>
          <w:tcPr>
            <w:tcW w:w="2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Stella Xu, Ph.D.</w:t>
            </w:r>
          </w:p>
        </w:tc>
        <w:tc>
          <w:tcPr>
            <w:tcW w:w="2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554"/>
        </w:trPr>
        <w:tc>
          <w:tcPr>
            <w:tcW w:w="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Richman, certify that:</w:t>
      </w:r>
    </w:p>
    <w:p>
      <w:pPr>
        <w:spacing w:after="0" w:line="225" w:lineRule="exact"/>
        <w:rPr>
          <w:sz w:val="20"/>
          <w:szCs w:val="20"/>
          <w:color w:val="auto"/>
        </w:rPr>
      </w:pPr>
    </w:p>
    <w:p>
      <w:pPr>
        <w:ind w:left="640" w:hanging="308"/>
        <w:spacing w:after="0"/>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NextCure,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4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980" w:right="140"/>
        <w:spacing w:after="0" w:line="289" w:lineRule="auto"/>
        <w:tabs>
          <w:tab w:leader="none" w:pos="1315"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7"/>
          <w:szCs w:val="17"/>
          <w:color w:val="auto"/>
        </w:rPr>
      </w:pPr>
    </w:p>
    <w:p>
      <w:pPr>
        <w:ind w:left="980" w:right="280"/>
        <w:spacing w:after="0" w:line="266" w:lineRule="auto"/>
        <w:tabs>
          <w:tab w:leader="none" w:pos="132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00"/>
        <w:spacing w:after="0" w:line="289" w:lineRule="auto"/>
        <w:tabs>
          <w:tab w:leader="none" w:pos="1315"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660" w:right="580" w:hanging="328"/>
        <w:spacing w:after="0" w:line="266" w:lineRule="auto"/>
        <w:tabs>
          <w:tab w:leader="none" w:pos="64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80"/>
        <w:spacing w:after="0" w:line="266" w:lineRule="auto"/>
        <w:tabs>
          <w:tab w:leader="none" w:pos="130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260"/>
        <w:spacing w:after="0" w:line="282" w:lineRule="auto"/>
        <w:tabs>
          <w:tab w:leader="none" w:pos="131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375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Michael Richman</w:t>
      </w:r>
    </w:p>
    <w:p>
      <w:pPr>
        <w:spacing w:after="0" w:line="2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P. Cobourn, certify that:</w:t>
      </w:r>
    </w:p>
    <w:p>
      <w:pPr>
        <w:spacing w:after="0" w:line="225" w:lineRule="exact"/>
        <w:rPr>
          <w:sz w:val="20"/>
          <w:szCs w:val="20"/>
          <w:color w:val="auto"/>
        </w:rPr>
      </w:pPr>
    </w:p>
    <w:p>
      <w:pPr>
        <w:ind w:left="640" w:hanging="308"/>
        <w:spacing w:after="0"/>
        <w:tabs>
          <w:tab w:leader="none" w:pos="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NextCure,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4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980" w:right="140"/>
        <w:spacing w:after="0" w:line="289" w:lineRule="auto"/>
        <w:tabs>
          <w:tab w:leader="none" w:pos="1315"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7"/>
          <w:szCs w:val="17"/>
          <w:color w:val="auto"/>
        </w:rPr>
      </w:pPr>
    </w:p>
    <w:p>
      <w:pPr>
        <w:ind w:left="980" w:right="280"/>
        <w:spacing w:after="0" w:line="266" w:lineRule="auto"/>
        <w:tabs>
          <w:tab w:leader="none" w:pos="132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00"/>
        <w:spacing w:after="0" w:line="289" w:lineRule="auto"/>
        <w:tabs>
          <w:tab w:leader="none" w:pos="1315"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660" w:right="580" w:hanging="328"/>
        <w:spacing w:after="0" w:line="266" w:lineRule="auto"/>
        <w:tabs>
          <w:tab w:leader="none" w:pos="64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80"/>
        <w:spacing w:after="0" w:line="266" w:lineRule="auto"/>
        <w:tabs>
          <w:tab w:leader="none" w:pos="130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260"/>
        <w:spacing w:after="0" w:line="282" w:lineRule="auto"/>
        <w:tabs>
          <w:tab w:leader="none" w:pos="131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375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Steven P. Cobourn</w:t>
      </w:r>
    </w:p>
    <w:p>
      <w:pPr>
        <w:spacing w:after="0" w:line="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NextCure, Inc. (the “Company”) for the year ended December 31, 2020, as filed with the Securities and Exchange Commission on the date hereof (the “Report”), the undersigned each hereby certifies pursuant to 18 U.S.C. Section 1350, as adopted pursuant to Section 906 of the Sarbanes-Oxley Act of 2002, that to the best of his knowledge, on the date hereof:</w:t>
      </w:r>
    </w:p>
    <w:p>
      <w:pPr>
        <w:spacing w:after="0" w:line="180" w:lineRule="exact"/>
        <w:rPr>
          <w:sz w:val="20"/>
          <w:szCs w:val="20"/>
          <w:color w:val="auto"/>
        </w:rPr>
      </w:pPr>
    </w:p>
    <w:p>
      <w:pPr>
        <w:ind w:left="1000" w:hanging="344"/>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100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4, 2021</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tabs>
          <w:tab w:leader="none" w:pos="55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Michael Richman</w:t>
      </w:r>
    </w:p>
    <w:p>
      <w:pPr>
        <w:spacing w:after="0" w:line="23" w:lineRule="exact"/>
        <w:rPr>
          <w:sz w:val="20"/>
          <w:szCs w:val="20"/>
          <w:color w:val="auto"/>
        </w:rPr>
      </w:pPr>
    </w:p>
    <w:p>
      <w:pPr>
        <w:ind w:left="4960"/>
        <w:spacing w:after="0"/>
        <w:tabs>
          <w:tab w:leader="none" w:pos="55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4, 2021</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tabs>
          <w:tab w:leader="none" w:pos="55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Steven P. Cobourn</w:t>
      </w:r>
    </w:p>
    <w:p>
      <w:pPr>
        <w:spacing w:after="0" w:line="23" w:lineRule="exact"/>
        <w:rPr>
          <w:sz w:val="20"/>
          <w:szCs w:val="20"/>
          <w:color w:val="auto"/>
        </w:rPr>
      </w:pPr>
    </w:p>
    <w:p>
      <w:pPr>
        <w:ind w:left="4960"/>
        <w:spacing w:after="0"/>
        <w:tabs>
          <w:tab w:leader="none" w:pos="55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1)"/>
      <w:numFmt w:val="lowerRoman"/>
      <w:start w:val="2"/>
    </w:lvl>
  </w:abstractNum>
  <w:abstractNum w:abstractNumId="19">
    <w:nsid w:val="79A1DEAA"/>
    <w:multiLevelType w:val="hybridMultilevel"/>
    <w:lvl w:ilvl="0">
      <w:lvlJc w:val="left"/>
      <w:lvlText w:val="(%1)"/>
      <w:numFmt w:val="lowerRoman"/>
      <w:start w:val="4"/>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1)"/>
      <w:numFmt w:val="lowerRoman"/>
      <w:start w:val="2"/>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
      <w:numFmt w:val="bullet"/>
      <w:start w:val="1"/>
    </w:lvl>
  </w:abstractNum>
  <w:abstractNum w:abstractNumId="58">
    <w:nsid w:val="799D0247"/>
    <w:multiLevelType w:val="hybridMultilevel"/>
    <w:lvl w:ilvl="0">
      <w:lvlJc w:val="left"/>
      <w:lvlText w:val="(%1)"/>
      <w:numFmt w:val="lowerRoman"/>
      <w:start w:val="4"/>
    </w:lvl>
  </w:abstractNum>
  <w:abstractNum w:abstractNumId="59">
    <w:nsid w:val="6B94764"/>
    <w:multiLevelType w:val="hybridMultilevel"/>
    <w:lvl w:ilvl="0">
      <w:lvlJc w:val="left"/>
      <w:lvlText w:val="(%1)"/>
      <w:numFmt w:val="lowerRoman"/>
      <w:start w:val="2"/>
    </w:lvl>
  </w:abstractNum>
  <w:abstractNum w:abstractNumId="60">
    <w:nsid w:val="42C296BD"/>
    <w:multiLevelType w:val="hybridMultilevel"/>
    <w:lvl w:ilvl="0">
      <w:lvlJc w:val="left"/>
      <w:lvlText w:val="(%1)"/>
      <w:numFmt w:val="decimal"/>
      <w:start w:val="1"/>
    </w:lvl>
  </w:abstractNum>
  <w:abstractNum w:abstractNumId="61">
    <w:nsid w:val="168E121F"/>
    <w:multiLevelType w:val="hybridMultilevel"/>
    <w:lvl w:ilvl="0">
      <w:lvlJc w:val="left"/>
      <w:lvlText w:val="(%1)"/>
      <w:numFmt w:val="decimal"/>
      <w:start w:val="1"/>
    </w:lvl>
  </w:abstractNum>
  <w:abstractNum w:abstractNumId="62">
    <w:nsid w:val="1EBA5D23"/>
    <w:multiLevelType w:val="hybridMultilevel"/>
    <w:lvl w:ilvl="0">
      <w:lvlJc w:val="left"/>
      <w:lvlText w:val="†"/>
      <w:numFmt w:val="bullet"/>
      <w:start w:val="1"/>
    </w:lvl>
  </w:abstractNum>
  <w:abstractNum w:abstractNumId="63">
    <w:nsid w:val="661E3F1E"/>
    <w:multiLevelType w:val="hybridMultilevel"/>
    <w:lvl w:ilvl="0">
      <w:lvlJc w:val="left"/>
      <w:lvlText w:val="*"/>
      <w:numFmt w:val="bullet"/>
      <w:start w:val="1"/>
    </w:lvl>
  </w:abstractNum>
  <w:abstractNum w:abstractNumId="64">
    <w:nsid w:val="5DC79EA8"/>
    <w:multiLevelType w:val="hybridMultilevel"/>
    <w:lvl w:ilvl="0">
      <w:lvlJc w:val="left"/>
      <w:lvlText w:val="%1"/>
      <w:numFmt w:val="decimal"/>
      <w:start w:val="1"/>
    </w:lvl>
    <w:lvl w:ilvl="1">
      <w:lvlJc w:val="left"/>
      <w:lvlText w:val="%2."/>
      <w:numFmt w:val="upperLetter"/>
      <w:start w:val="9"/>
    </w:lvl>
  </w:abstractNum>
  <w:abstractNum w:abstractNumId="65">
    <w:nsid w:val="540A471C"/>
    <w:multiLevelType w:val="hybridMultilevel"/>
    <w:lvl w:ilvl="0">
      <w:lvlJc w:val="left"/>
      <w:lvlText w:val="%1."/>
      <w:numFmt w:val="decimal"/>
      <w:start w:val="1"/>
    </w:lvl>
    <w:lvl w:ilvl="1">
      <w:lvlJc w:val="left"/>
      <w:lvlText w:val="%2"/>
      <w:numFmt w:val="upperLetter"/>
      <w:start w:val="1"/>
    </w:lvl>
  </w:abstractNum>
  <w:abstractNum w:abstractNumId="66">
    <w:nsid w:val="7BD3EE7B"/>
    <w:multiLevelType w:val="hybridMultilevel"/>
    <w:lvl w:ilvl="0">
      <w:lvlJc w:val="left"/>
      <w:lvlText w:val="%1"/>
      <w:numFmt w:val="decimal"/>
      <w:start w:val="1"/>
    </w:lvl>
    <w:lvl w:ilvl="1">
      <w:lvlJc w:val="left"/>
      <w:lvlText w:val="%2."/>
      <w:numFmt w:val="upperLetter"/>
      <w:start w:val="35"/>
    </w:lvl>
  </w:abstractNum>
  <w:abstractNum w:abstractNumId="67">
    <w:nsid w:val="51D9C564"/>
    <w:multiLevelType w:val="hybridMultilevel"/>
    <w:lvl w:ilvl="0">
      <w:lvlJc w:val="left"/>
      <w:lvlText w:val="%1."/>
      <w:numFmt w:val="decimal"/>
      <w:start w:val="1"/>
    </w:lvl>
    <w:lvl w:ilvl="1">
      <w:lvlJc w:val="left"/>
      <w:lvlText w:val="%2"/>
      <w:numFmt w:val="upperLetter"/>
      <w:start w:val="1"/>
    </w:lvl>
  </w:abstractNum>
  <w:abstractNum w:abstractNumId="68">
    <w:nsid w:val="613EFDC5"/>
    <w:multiLevelType w:val="hybridMultilevel"/>
    <w:lvl w:ilvl="0">
      <w:lvlJc w:val="left"/>
      <w:lvlText w:val="%1."/>
      <w:numFmt w:val="decimal"/>
      <w:start w:val="2"/>
    </w:lvl>
  </w:abstractNum>
  <w:abstractNum w:abstractNumId="69">
    <w:nsid w:val="BF72B14"/>
    <w:multiLevelType w:val="hybridMultilevel"/>
    <w:lvl w:ilvl="0">
      <w:lvlJc w:val="left"/>
      <w:lvlText w:val="%1."/>
      <w:numFmt w:val="decimal"/>
      <w:start w:val="3"/>
    </w:lvl>
  </w:abstractNum>
  <w:abstractNum w:abstractNumId="70">
    <w:nsid w:val="11447B73"/>
    <w:multiLevelType w:val="hybridMultilevel"/>
    <w:lvl w:ilvl="0">
      <w:lvlJc w:val="left"/>
      <w:lvlText w:val="%1."/>
      <w:numFmt w:val="decimal"/>
      <w:start w:val="4"/>
    </w:lvl>
  </w:abstractNum>
  <w:abstractNum w:abstractNumId="71">
    <w:nsid w:val="42963E5A"/>
    <w:multiLevelType w:val="hybridMultilevel"/>
    <w:lvl w:ilvl="0">
      <w:lvlJc w:val="left"/>
      <w:lvlText w:val="%1."/>
      <w:numFmt w:val="decimal"/>
      <w:start w:val="1"/>
    </w:lvl>
  </w:abstractNum>
  <w:abstractNum w:abstractNumId="72">
    <w:nsid w:val="A0382C5"/>
    <w:multiLevelType w:val="hybridMultilevel"/>
    <w:lvl w:ilvl="0">
      <w:lvlJc w:val="left"/>
      <w:lvlText w:val="(%1)"/>
      <w:numFmt w:val="lowerLetter"/>
      <w:start w:val="1"/>
    </w:lvl>
  </w:abstractNum>
  <w:abstractNum w:abstractNumId="73">
    <w:nsid w:val="8F2B15E"/>
    <w:multiLevelType w:val="hybridMultilevel"/>
    <w:lvl w:ilvl="0">
      <w:lvlJc w:val="left"/>
      <w:lvlText w:val="%1."/>
      <w:numFmt w:val="decimal"/>
      <w:start w:val="2"/>
    </w:lvl>
  </w:abstractNum>
  <w:abstractNum w:abstractNumId="74">
    <w:nsid w:val="1A32234B"/>
    <w:multiLevelType w:val="hybridMultilevel"/>
    <w:lvl w:ilvl="0">
      <w:lvlJc w:val="left"/>
      <w:lvlText w:val="%1."/>
      <w:numFmt w:val="decimal"/>
      <w:start w:val="3"/>
    </w:lvl>
  </w:abstractNum>
  <w:abstractNum w:abstractNumId="75">
    <w:nsid w:val="3B0FD379"/>
    <w:multiLevelType w:val="hybridMultilevel"/>
    <w:lvl w:ilvl="0">
      <w:lvlJc w:val="left"/>
      <w:lvlText w:val="(%1)"/>
      <w:numFmt w:val="lowerRoman"/>
      <w:start w:val="1"/>
    </w:lvl>
  </w:abstractNum>
  <w:abstractNum w:abstractNumId="76">
    <w:nsid w:val="68EB2F63"/>
    <w:multiLevelType w:val="hybridMultilevel"/>
    <w:lvl w:ilvl="0">
      <w:lvlJc w:val="left"/>
      <w:lvlText w:val="%1."/>
      <w:numFmt w:val="decimal"/>
      <w:start w:val="4"/>
    </w:lvl>
  </w:abstractNum>
  <w:abstractNum w:abstractNumId="77">
    <w:nsid w:val="4962813B"/>
    <w:multiLevelType w:val="hybridMultilevel"/>
    <w:lvl w:ilvl="0">
      <w:lvlJc w:val="left"/>
      <w:lvlText w:val="%1"/>
      <w:numFmt w:val="decimal"/>
      <w:start w:val="1"/>
    </w:lvl>
    <w:lvl w:ilvl="1">
      <w:lvlJc w:val="left"/>
      <w:lvlText w:val="%2."/>
      <w:numFmt w:val="upperLetter"/>
      <w:start w:val="61"/>
    </w:lvl>
  </w:abstractNum>
  <w:abstractNum w:abstractNumId="78">
    <w:nsid w:val="60B6DF70"/>
    <w:multiLevelType w:val="hybridMultilevel"/>
    <w:lvl w:ilvl="0">
      <w:lvlJc w:val="left"/>
      <w:lvlText w:val="%1."/>
      <w:numFmt w:val="decimal"/>
      <w:start w:val="1"/>
    </w:lvl>
    <w:lvl w:ilvl="1">
      <w:lvlJc w:val="left"/>
      <w:lvlText w:val="%2"/>
      <w:numFmt w:val="upperLetter"/>
      <w:start w:val="1"/>
    </w:lvl>
  </w:abstractNum>
  <w:abstractNum w:abstractNumId="79">
    <w:nsid w:val="6A5EE64"/>
    <w:multiLevelType w:val="hybridMultilevel"/>
    <w:lvl w:ilvl="0">
      <w:lvlJc w:val="left"/>
      <w:lvlText w:val="(%1)"/>
      <w:numFmt w:val="decimal"/>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lvl w:ilvl="1">
      <w:lvlJc w:val="left"/>
      <w:lvlText w:val="(%2)"/>
      <w:numFmt w:val="lowerLetter"/>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9" Type="http://schemas.openxmlformats.org/officeDocument/2006/relationships/image" Target="media/image148.png"/><Relationship Id="rId173"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55" Type="http://schemas.openxmlformats.org/officeDocument/2006/relationships/hyperlink" Target="http://www.sec.gov/Archives/edgar/data/1661059/000104746919003060/a2238817zex-3_1.htm" TargetMode="External"/><Relationship Id="rId156" Type="http://schemas.openxmlformats.org/officeDocument/2006/relationships/hyperlink" Target="http://www.sec.gov/Archives/edgar/data/1661059/000104746919003060/a2238817zex-3_2.htm" TargetMode="External"/><Relationship Id="rId157" Type="http://schemas.openxmlformats.org/officeDocument/2006/relationships/hyperlink" Target="http://www.sec.gov/Archives/edgar/data/1661059/000104746919002203/a2238441zex-4_1.htm" TargetMode="External"/><Relationship Id="rId158" Type="http://schemas.openxmlformats.org/officeDocument/2006/relationships/hyperlink" Target="https://www.sec.gov/Archives/edgar/data/1661059/000155837020002566/nxtc-20191231ex42d841f91.htm" TargetMode="External"/><Relationship Id="rId160" Type="http://schemas.openxmlformats.org/officeDocument/2006/relationships/hyperlink" Target="http://www.sec.gov/Archives/edgar/data/1661059/000104746919002203/a2238441zex-10_1.htm" TargetMode="External"/><Relationship Id="rId161" Type="http://schemas.openxmlformats.org/officeDocument/2006/relationships/hyperlink" Target="http://www.sec.gov/Archives/edgar/data/1661059/000104746919002203/a2238441zex-10_2.htm" TargetMode="External"/><Relationship Id="rId162" Type="http://schemas.openxmlformats.org/officeDocument/2006/relationships/hyperlink" Target="http://www.sec.gov/Archives/edgar/data/1661059/000104746919002203/a2238441zex-10_6.htm" TargetMode="External"/><Relationship Id="rId163" Type="http://schemas.openxmlformats.org/officeDocument/2006/relationships/hyperlink" Target="http://www.sec.gov/Archives/edgar/data/1661059/000104746919002203/a2238441zex-10_7.htm" TargetMode="External"/><Relationship Id="rId164" Type="http://schemas.openxmlformats.org/officeDocument/2006/relationships/hyperlink" Target="http://www.sec.gov/Archives/edgar/data/1661059/000104746919002652/a2238596zex-10_8.htm" TargetMode="External"/><Relationship Id="rId165" Type="http://schemas.openxmlformats.org/officeDocument/2006/relationships/hyperlink" Target="http://www.sec.gov/Archives/edgar/data/1661059/000104746919002652/a2238596zex-10_9.htm" TargetMode="External"/><Relationship Id="rId166" Type="http://schemas.openxmlformats.org/officeDocument/2006/relationships/hyperlink" Target="http://www.sec.gov/Archives/edgar/data/1661059/000104746919002652/a2238596zex-10_10.htm" TargetMode="External"/><Relationship Id="rId167" Type="http://schemas.openxmlformats.org/officeDocument/2006/relationships/hyperlink" Target="http://www.sec.gov/Archives/edgar/data/1661059/000104746919002652/a2238596zex-10_11.htm" TargetMode="External"/><Relationship Id="rId168" Type="http://schemas.openxmlformats.org/officeDocument/2006/relationships/hyperlink" Target="http://www.sec.gov/Archives/edgar/data/1661059/000104746919002652/a2238596zex-10_12.htm" TargetMode="External"/><Relationship Id="rId169" Type="http://schemas.openxmlformats.org/officeDocument/2006/relationships/hyperlink" Target="http://www.sec.gov/Archives/edgar/data/1661059/000104746919002652/a2238596zex-10_13.htm" TargetMode="External"/><Relationship Id="rId170" Type="http://schemas.openxmlformats.org/officeDocument/2006/relationships/hyperlink" Target="http://www.sec.gov/Archives/edgar/data/1661059/000104746919002203/a2238441zex-10_5.htm" TargetMode="External"/><Relationship Id="rId171" Type="http://schemas.openxmlformats.org/officeDocument/2006/relationships/hyperlink" Target="http://www.sec.gov/Archives/edgar/data/1661059/000104746919002203/a2238441zex-10_15.htm" TargetMode="External"/><Relationship Id="rId172" Type="http://schemas.openxmlformats.org/officeDocument/2006/relationships/hyperlink" Target="http://www.sec.gov/Archives/edgar/data/1661059/000104746919002203/a2238441zex-10_16.htm" TargetMode="External"/><Relationship Id="rId174" Type="http://schemas.openxmlformats.org/officeDocument/2006/relationships/hyperlink" Target="http://www.sec.gov/Archives/edgar/data/1661059/000104746919002203/a2238441zex-10_17.htm" TargetMode="External"/><Relationship Id="rId175" Type="http://schemas.openxmlformats.org/officeDocument/2006/relationships/hyperlink" Target="http://www.sec.gov/Archives/edgar/data/1661059/000104746919002203/a2238441zex-10_14.htm" TargetMode="External"/><Relationship Id="rId176" Type="http://schemas.openxmlformats.org/officeDocument/2006/relationships/hyperlink" Target="http://www.sec.gov/Archives/edgar/data/1661059/000155837019010701/nxtc-20190930ex101b27cfe.htm" TargetMode="External"/><Relationship Id="rId177" Type="http://schemas.openxmlformats.org/officeDocument/2006/relationships/hyperlink" Target="http://www.sec.gov/Archives/edgar/data/1661059/000104746919002203/a2238441zex-10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2021-03-04T15:40:28Z</dcterms:created>
  <dcterms:modified xsi:type="dcterms:W3CDTF">2021-03-04T15:40:28Z</dcterms:modified>
</cp:coreProperties>
</file>