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134620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1" w:lineRule="exact"/>
        <w:rPr>
          <w:sz w:val="24"/>
          <w:szCs w:val="24"/>
          <w:color w:val="auto"/>
        </w:rPr>
      </w:pPr>
    </w:p>
    <w:p>
      <w:pPr>
        <w:ind w:left="640" w:hanging="403"/>
        <w:spacing w:after="0"/>
        <w:tabs>
          <w:tab w:leader="none" w:pos="6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1" w:lineRule="exact"/>
        <w:rPr>
          <w:sz w:val="24"/>
          <w:szCs w:val="24"/>
          <w:color w:val="auto"/>
        </w:rPr>
      </w:pPr>
    </w:p>
    <w:p>
      <w:pPr>
        <w:ind w:left="640" w:hanging="403"/>
        <w:spacing w:after="0"/>
        <w:tabs>
          <w:tab w:leader="none" w:pos="6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220"/>
          </w:cols>
          <w:pgMar w:left="840" w:top="665" w:right="839" w:bottom="1440" w:gutter="0" w:footer="0" w:header="0"/>
        </w:sectPr>
      </w:pPr>
    </w:p>
    <w:p>
      <w:pPr>
        <w:spacing w:after="0" w:line="248"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9" w:lineRule="exact"/>
        <w:rPr>
          <w:sz w:val="24"/>
          <w:szCs w:val="24"/>
          <w:color w:val="auto"/>
        </w:rPr>
      </w:pPr>
    </w:p>
    <w:p>
      <w:pPr>
        <w:sectPr>
          <w:pgSz w:w="11900" w:h="16838" w:orient="portrait"/>
          <w:cols w:equalWidth="0" w:num="3">
            <w:col w:w="5260" w:space="720"/>
            <w:col w:w="120" w:space="680"/>
            <w:col w:w="3440"/>
          </w:cols>
          <w:pgMar w:left="840" w:top="665" w:right="83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NextCure,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3" w:lineRule="exact"/>
        <w:rPr>
          <w:sz w:val="24"/>
          <w:szCs w:val="24"/>
          <w:color w:val="auto"/>
        </w:rPr>
      </w:pPr>
    </w:p>
    <w:tbl>
      <w:tblPr>
        <w:tblLayout w:type="fixed"/>
        <w:tblInd w:w="840" w:type="dxa"/>
        <w:tblCellMar>
          <w:top w:w="0" w:type="dxa"/>
          <w:left w:w="0" w:type="dxa"/>
          <w:bottom w:w="0" w:type="dxa"/>
          <w:right w:w="0" w:type="dxa"/>
        </w:tblCellMar>
      </w:tblPr>
      <w:tr>
        <w:trPr>
          <w:trHeight w:val="186"/>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08"/>
              <w:spacing w:after="0"/>
              <w:rPr>
                <w:sz w:val="20"/>
                <w:szCs w:val="20"/>
                <w:color w:val="auto"/>
              </w:rPr>
            </w:pPr>
            <w:r>
              <w:rPr>
                <w:rFonts w:ascii="Arial" w:cs="Arial" w:eastAsia="Arial" w:hAnsi="Arial"/>
                <w:sz w:val="14"/>
                <w:szCs w:val="14"/>
                <w:b w:val="1"/>
                <w:bCs w:val="1"/>
                <w:color w:val="auto"/>
              </w:rPr>
              <w:t>47-5231247</w:t>
            </w:r>
          </w:p>
        </w:tc>
        <w:tc>
          <w:tcPr>
            <w:tcW w:w="0" w:type="dxa"/>
            <w:vAlign w:val="bottom"/>
          </w:tcPr>
          <w:p>
            <w:pPr>
              <w:spacing w:after="0"/>
              <w:rPr>
                <w:sz w:val="1"/>
                <w:szCs w:val="1"/>
                <w:color w:val="auto"/>
              </w:rPr>
            </w:pPr>
          </w:p>
        </w:tc>
      </w:tr>
      <w:tr>
        <w:trPr>
          <w:trHeight w:val="189"/>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84"/>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5"/>
              </w:rPr>
              <w:t>9000 Virginia Manor Road, Suite 200</w:t>
            </w:r>
          </w:p>
        </w:tc>
        <w:tc>
          <w:tcPr>
            <w:tcW w:w="326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20705</w:t>
            </w:r>
          </w:p>
        </w:tc>
        <w:tc>
          <w:tcPr>
            <w:tcW w:w="0" w:type="dxa"/>
            <w:vAlign w:val="bottom"/>
          </w:tcPr>
          <w:p>
            <w:pPr>
              <w:spacing w:after="0"/>
              <w:rPr>
                <w:sz w:val="1"/>
                <w:szCs w:val="1"/>
                <w:color w:val="auto"/>
              </w:rPr>
            </w:pPr>
          </w:p>
        </w:tc>
      </w:tr>
      <w:tr>
        <w:trPr>
          <w:trHeight w:val="182"/>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6"/>
              </w:rPr>
              <w:t>Beltsville, Maryland</w:t>
            </w: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(240) 399-4900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43" w:lineRule="exact"/>
        <w:rPr>
          <w:sz w:val="24"/>
          <w:szCs w:val="24"/>
          <w:color w:val="auto"/>
        </w:rPr>
      </w:pPr>
    </w:p>
    <w:p>
      <w:pPr>
        <w:ind w:left="274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7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NXTC</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71" w:lineRule="exact"/>
        <w:rPr>
          <w:sz w:val="24"/>
          <w:szCs w:val="24"/>
          <w:color w:val="auto"/>
        </w:rPr>
      </w:pPr>
    </w:p>
    <w:p>
      <w:pPr>
        <w:jc w:val="both"/>
        <w:ind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64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type w:val="continuous"/>
        </w:sectPr>
      </w:pPr>
    </w:p>
    <w:p>
      <w:pPr>
        <w:spacing w:after="0" w:line="25"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5"/>
          <w:szCs w:val="15"/>
          <w:color w:val="auto"/>
        </w:rPr>
        <w:t>☐</w:t>
      </w:r>
    </w:p>
    <w:p>
      <w:pPr>
        <w:spacing w:after="0" w:line="111"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68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57"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135" w:lineRule="exact"/>
        <w:rPr>
          <w:sz w:val="24"/>
          <w:szCs w:val="24"/>
          <w:color w:val="auto"/>
        </w:rPr>
      </w:pPr>
    </w:p>
    <w:p>
      <w:pPr>
        <w:sectPr>
          <w:pgSz w:w="11900" w:h="16838" w:orient="portrait"/>
          <w:cols w:equalWidth="0" w:num="2">
            <w:col w:w="7520" w:space="720"/>
            <w:col w:w="1980"/>
          </w:cols>
          <w:pgMar w:left="840" w:top="665" w:right="839" w:bottom="1440" w:gutter="0" w:footer="0" w:header="0"/>
          <w:type w:val="continuous"/>
        </w:sectPr>
      </w:pPr>
    </w:p>
    <w:p>
      <w:pPr>
        <w:ind w:right="20" w:firstLine="648"/>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64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As of November 1, 2022, the registrant had 27,774,536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918210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78105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60" w:type="dxa"/>
            <w:vAlign w:val="bottom"/>
            <w:gridSpan w:val="13"/>
            <w:vMerge w:val="restart"/>
          </w:tcPr>
          <w:p>
            <w:pPr>
              <w:spacing w:after="0"/>
              <w:rPr>
                <w:sz w:val="20"/>
                <w:szCs w:val="20"/>
                <w:color w:val="auto"/>
              </w:rPr>
            </w:pPr>
            <w:r>
              <w:rPr>
                <w:rFonts w:ascii="Arial" w:cs="Arial" w:eastAsia="Arial" w:hAnsi="Arial"/>
                <w:sz w:val="18"/>
                <w:szCs w:val="18"/>
                <w:b w:val="1"/>
                <w:bCs w:val="1"/>
                <w:color w:val="0000EE"/>
              </w:rPr>
              <w:t>PART I. FINANCIAL INFORMATION</w:t>
            </w:r>
          </w:p>
        </w:tc>
        <w:tc>
          <w:tcPr>
            <w:tcW w:w="5360" w:type="dxa"/>
            <w:vAlign w:val="bottom"/>
            <w:gridSpan w:val="9"/>
            <w:vMerge w:val="restart"/>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7"/>
        </w:trPr>
        <w:tc>
          <w:tcPr>
            <w:tcW w:w="3060" w:type="dxa"/>
            <w:vAlign w:val="bottom"/>
            <w:tcBorders>
              <w:bottom w:val="single" w:sz="8" w:color="0000EE"/>
            </w:tcBorders>
            <w:gridSpan w:val="13"/>
            <w:vMerge w:val="continue"/>
          </w:tcPr>
          <w:p>
            <w:pPr>
              <w:spacing w:after="0"/>
              <w:rPr>
                <w:sz w:val="14"/>
                <w:szCs w:val="14"/>
                <w:color w:val="auto"/>
              </w:rPr>
            </w:pPr>
          </w:p>
        </w:tc>
        <w:tc>
          <w:tcPr>
            <w:tcW w:w="5360" w:type="dxa"/>
            <w:vAlign w:val="bottom"/>
            <w:gridSpan w:val="9"/>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680" w:type="dxa"/>
            <w:vAlign w:val="bottom"/>
            <w:gridSpan w:val="19"/>
          </w:tcPr>
          <w:p>
            <w:pPr>
              <w:spacing w:after="0"/>
              <w:rPr>
                <w:sz w:val="20"/>
                <w:szCs w:val="20"/>
                <w:color w:val="auto"/>
              </w:rPr>
            </w:pPr>
            <w:r>
              <w:rPr>
                <w:rFonts w:ascii="Arial" w:cs="Arial" w:eastAsia="Arial" w:hAnsi="Arial"/>
                <w:sz w:val="18"/>
                <w:szCs w:val="18"/>
                <w:color w:val="0000EE"/>
              </w:rPr>
              <w:t>Financial Statements</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8"/>
              </w:rPr>
              <w:t>Condensed Balance Sheets as of September 30, 2022 (unaudited) and December 31, 2021</w:t>
            </w:r>
          </w:p>
        </w:tc>
        <w:tc>
          <w:tcPr>
            <w:tcW w:w="1220" w:type="dxa"/>
            <w:vAlign w:val="bottom"/>
            <w:gridSpan w:val="4"/>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9"/>
              </w:rPr>
              <w:t>Unaudited Condensed Statements of Operations and Comprehensive Loss for the Three and Nine Months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7"/>
              </w:rPr>
              <w:t>Ended September 30, 2022 and 2021</w:t>
            </w:r>
          </w:p>
        </w:tc>
        <w:tc>
          <w:tcPr>
            <w:tcW w:w="5020" w:type="dxa"/>
            <w:vAlign w:val="bottom"/>
            <w:gridSpan w:val="8"/>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gridSpan w:val="19"/>
          </w:tcPr>
          <w:p>
            <w:pPr>
              <w:spacing w:after="0"/>
              <w:rPr>
                <w:sz w:val="20"/>
                <w:szCs w:val="20"/>
                <w:color w:val="auto"/>
              </w:rPr>
            </w:pPr>
            <w:r>
              <w:rPr>
                <w:rFonts w:ascii="Arial" w:cs="Arial" w:eastAsia="Arial" w:hAnsi="Arial"/>
                <w:sz w:val="18"/>
                <w:szCs w:val="18"/>
                <w:color w:val="0000EE"/>
                <w:w w:val="95"/>
              </w:rPr>
              <w:t>Unaudited Condensed Statements of Stockholders’ Equity for the Nine Months Ended September 30,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2022 and 2021</w:t>
            </w:r>
          </w:p>
        </w:tc>
        <w:tc>
          <w:tcPr>
            <w:tcW w:w="400" w:type="dxa"/>
            <w:vAlign w:val="bottom"/>
            <w:gridSpan w:val="3"/>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gridSpan w:val="19"/>
          </w:tcPr>
          <w:p>
            <w:pPr>
              <w:spacing w:after="0"/>
              <w:rPr>
                <w:sz w:val="20"/>
                <w:szCs w:val="20"/>
                <w:color w:val="auto"/>
              </w:rPr>
            </w:pPr>
            <w:r>
              <w:rPr>
                <w:rFonts w:ascii="Arial" w:cs="Arial" w:eastAsia="Arial" w:hAnsi="Arial"/>
                <w:sz w:val="18"/>
                <w:szCs w:val="18"/>
                <w:color w:val="0000EE"/>
                <w:w w:val="93"/>
              </w:rPr>
              <w:t>Unaudited Condensed Statements of Cash Flows for the Nine Months Ended September 30, 2022 and</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4"/>
              </w:rPr>
              <w:t>2021</w:t>
            </w: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Notes to Unaudited Condensed Financial Statements</w:t>
            </w:r>
          </w:p>
        </w:tc>
        <w:tc>
          <w:tcPr>
            <w:tcW w:w="3880" w:type="dxa"/>
            <w:vAlign w:val="bottom"/>
            <w:gridSpan w:val="7"/>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74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680" w:type="dxa"/>
            <w:vAlign w:val="bottom"/>
            <w:gridSpan w:val="19"/>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680" w:type="dxa"/>
            <w:vAlign w:val="bottom"/>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680" w:type="dxa"/>
            <w:vAlign w:val="bottom"/>
            <w:gridSpan w:val="19"/>
          </w:tcPr>
          <w:p>
            <w:pPr>
              <w:spacing w:after="0"/>
              <w:rPr>
                <w:sz w:val="20"/>
                <w:szCs w:val="20"/>
                <w:color w:val="auto"/>
              </w:rPr>
            </w:pPr>
            <w:r>
              <w:rPr>
                <w:rFonts w:ascii="Arial" w:cs="Arial" w:eastAsia="Arial" w:hAnsi="Arial"/>
                <w:sz w:val="18"/>
                <w:szCs w:val="18"/>
                <w:color w:val="0000EE"/>
              </w:rPr>
              <w:t>Controls and Procedures</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rPr>
              <w:t>Part II. OTHER INFORMATION</w:t>
            </w:r>
          </w:p>
        </w:tc>
        <w:tc>
          <w:tcPr>
            <w:tcW w:w="5780" w:type="dxa"/>
            <w:vAlign w:val="bottom"/>
            <w:gridSpan w:val="10"/>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680" w:type="dxa"/>
            <w:vAlign w:val="bottom"/>
            <w:gridSpan w:val="19"/>
          </w:tcPr>
          <w:p>
            <w:pPr>
              <w:spacing w:after="0"/>
              <w:rPr>
                <w:sz w:val="20"/>
                <w:szCs w:val="20"/>
                <w:color w:val="auto"/>
              </w:rPr>
            </w:pPr>
            <w:r>
              <w:rPr>
                <w:rFonts w:ascii="Arial" w:cs="Arial" w:eastAsia="Arial" w:hAnsi="Arial"/>
                <w:sz w:val="18"/>
                <w:szCs w:val="18"/>
                <w:color w:val="0000EE"/>
              </w:rPr>
              <w:t>Legal Proceedings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1A.</w:t>
            </w:r>
          </w:p>
        </w:tc>
        <w:tc>
          <w:tcPr>
            <w:tcW w:w="100" w:type="dxa"/>
            <w:vAlign w:val="bottom"/>
          </w:tcPr>
          <w:p>
            <w:pPr>
              <w:spacing w:after="0"/>
              <w:rPr>
                <w:sz w:val="18"/>
                <w:szCs w:val="18"/>
                <w:color w:val="auto"/>
              </w:rPr>
            </w:pPr>
          </w:p>
        </w:tc>
        <w:tc>
          <w:tcPr>
            <w:tcW w:w="7680" w:type="dxa"/>
            <w:vAlign w:val="bottom"/>
            <w:gridSpan w:val="19"/>
          </w:tcPr>
          <w:p>
            <w:pPr>
              <w:spacing w:after="0"/>
              <w:rPr>
                <w:sz w:val="20"/>
                <w:szCs w:val="20"/>
                <w:color w:val="auto"/>
              </w:rPr>
            </w:pPr>
            <w:r>
              <w:rPr>
                <w:rFonts w:ascii="Arial" w:cs="Arial" w:eastAsia="Arial" w:hAnsi="Arial"/>
                <w:sz w:val="18"/>
                <w:szCs w:val="18"/>
                <w:color w:val="0000EE"/>
              </w:rPr>
              <w:t>Risk Factors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100" w:type="dxa"/>
            <w:vAlign w:val="bottom"/>
          </w:tcPr>
          <w:p>
            <w:pPr>
              <w:spacing w:after="0"/>
              <w:rPr>
                <w:sz w:val="18"/>
                <w:szCs w:val="18"/>
                <w:color w:val="auto"/>
              </w:rPr>
            </w:pPr>
          </w:p>
        </w:tc>
        <w:tc>
          <w:tcPr>
            <w:tcW w:w="768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680" w:type="dxa"/>
            <w:vAlign w:val="bottom"/>
            <w:gridSpan w:val="19"/>
          </w:tcPr>
          <w:p>
            <w:pPr>
              <w:spacing w:after="0"/>
              <w:rPr>
                <w:sz w:val="20"/>
                <w:szCs w:val="20"/>
                <w:color w:val="auto"/>
              </w:rPr>
            </w:pPr>
            <w:r>
              <w:rPr>
                <w:rFonts w:ascii="Arial" w:cs="Arial" w:eastAsia="Arial" w:hAnsi="Arial"/>
                <w:sz w:val="18"/>
                <w:szCs w:val="18"/>
                <w:color w:val="0000EE"/>
              </w:rPr>
              <w:t>Defaults Upon Senior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680" w:type="dxa"/>
            <w:vAlign w:val="bottom"/>
            <w:gridSpan w:val="19"/>
          </w:tcPr>
          <w:p>
            <w:pPr>
              <w:spacing w:after="0"/>
              <w:rPr>
                <w:sz w:val="20"/>
                <w:szCs w:val="20"/>
                <w:color w:val="auto"/>
              </w:rPr>
            </w:pPr>
            <w:r>
              <w:rPr>
                <w:rFonts w:ascii="Arial" w:cs="Arial" w:eastAsia="Arial" w:hAnsi="Arial"/>
                <w:sz w:val="18"/>
                <w:szCs w:val="18"/>
                <w:color w:val="0000EE"/>
              </w:rPr>
              <w:t>Mine Safety Disclosures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680" w:type="dxa"/>
            <w:vAlign w:val="bottom"/>
            <w:gridSpan w:val="19"/>
          </w:tcPr>
          <w:p>
            <w:pPr>
              <w:spacing w:after="0"/>
              <w:rPr>
                <w:sz w:val="20"/>
                <w:szCs w:val="20"/>
                <w:color w:val="auto"/>
              </w:rPr>
            </w:pPr>
            <w:r>
              <w:rPr>
                <w:rFonts w:ascii="Arial" w:cs="Arial" w:eastAsia="Arial" w:hAnsi="Arial"/>
                <w:sz w:val="18"/>
                <w:szCs w:val="18"/>
                <w:color w:val="0000EE"/>
              </w:rPr>
              <w:t>Other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3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680" w:type="dxa"/>
            <w:vAlign w:val="bottom"/>
            <w:gridSpan w:val="19"/>
          </w:tcPr>
          <w:p>
            <w:pPr>
              <w:spacing w:after="0"/>
              <w:rPr>
                <w:sz w:val="20"/>
                <w:szCs w:val="20"/>
                <w:color w:val="auto"/>
              </w:rPr>
            </w:pPr>
            <w:r>
              <w:rPr>
                <w:rFonts w:ascii="Arial" w:cs="Arial" w:eastAsia="Arial" w:hAnsi="Arial"/>
                <w:sz w:val="18"/>
                <w:szCs w:val="18"/>
                <w:color w:val="0000EE"/>
              </w:rPr>
              <w:t>Exhibits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8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SIGNATURES</w:t>
            </w:r>
          </w:p>
        </w:tc>
        <w:tc>
          <w:tcPr>
            <w:tcW w:w="7320" w:type="dxa"/>
            <w:vAlign w:val="bottom"/>
            <w:gridSpan w:val="17"/>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 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31,050</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12,337</w:t>
            </w: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138,164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207,254</w:t>
            </w: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8,187</w:t>
            </w:r>
          </w:p>
        </w:tc>
        <w:tc>
          <w:tcPr>
            <w:tcW w:w="160" w:type="dxa"/>
            <w:vAlign w:val="bottom"/>
            <w:tcBorders>
              <w:bottom w:val="single" w:sz="8" w:color="CCEEFF"/>
            </w:tcBorders>
          </w:tcPr>
          <w:p>
            <w:pPr>
              <w:spacing w:after="0"/>
              <w:rPr>
                <w:sz w:val="17"/>
                <w:szCs w:val="17"/>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175,315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227,817</w:t>
            </w: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13,992</w:t>
            </w: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60" w:type="dxa"/>
            <w:vAlign w:val="bottom"/>
            <w:shd w:val="clear" w:color="auto" w:fill="CCEEFF"/>
          </w:tcPr>
          <w:p>
            <w:pPr>
              <w:spacing w:after="0"/>
              <w:rPr>
                <w:sz w:val="17"/>
                <w:szCs w:val="17"/>
                <w:color w:val="auto"/>
              </w:rPr>
            </w:pPr>
          </w:p>
        </w:tc>
      </w:tr>
      <w:tr>
        <w:trPr>
          <w:trHeight w:val="236"/>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189,909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242,386</w:t>
            </w:r>
          </w:p>
        </w:tc>
        <w:tc>
          <w:tcPr>
            <w:tcW w:w="160" w:type="dxa"/>
            <w:vAlign w:val="bottom"/>
            <w:tcBorders>
              <w:bottom w:val="single" w:sz="8" w:color="CCEEFF"/>
            </w:tcBorders>
          </w:tcPr>
          <w:p>
            <w:pPr>
              <w:spacing w:after="0"/>
              <w:rPr>
                <w:sz w:val="20"/>
                <w:szCs w:val="20"/>
                <w:color w:val="auto"/>
              </w:rPr>
            </w:pPr>
          </w:p>
        </w:tc>
      </w:tr>
      <w:tr>
        <w:trPr>
          <w:trHeight w:val="183"/>
        </w:trPr>
        <w:tc>
          <w:tcPr>
            <w:tcW w:w="634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6340" w:type="dxa"/>
            <w:vAlign w:val="bottom"/>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4,449</w:t>
            </w: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 current portion</w:t>
            </w: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60" w:type="dxa"/>
            <w:vAlign w:val="bottom"/>
            <w:shd w:val="clear" w:color="auto" w:fill="CCEEFF"/>
          </w:tcPr>
          <w:p>
            <w:pPr>
              <w:spacing w:after="0"/>
              <w:rPr>
                <w:sz w:val="17"/>
                <w:szCs w:val="17"/>
                <w:color w:val="auto"/>
              </w:rPr>
            </w:pPr>
          </w:p>
        </w:tc>
      </w:tr>
      <w:tr>
        <w:trPr>
          <w:trHeight w:val="196"/>
        </w:trPr>
        <w:tc>
          <w:tcPr>
            <w:tcW w:w="63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6,608</w:t>
            </w: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 net of current portion</w:t>
            </w: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60" w:type="dxa"/>
            <w:vAlign w:val="bottom"/>
            <w:shd w:val="clear" w:color="auto" w:fill="CCEEFF"/>
          </w:tcPr>
          <w:p>
            <w:pPr>
              <w:spacing w:after="0"/>
              <w:rPr>
                <w:sz w:val="17"/>
                <w:szCs w:val="17"/>
                <w:color w:val="auto"/>
              </w:rPr>
            </w:pPr>
          </w:p>
        </w:tc>
      </w:tr>
      <w:tr>
        <w:trPr>
          <w:trHeight w:val="196"/>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8,368</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160" w:type="dxa"/>
            <w:vAlign w:val="bottom"/>
            <w:tcBorders>
              <w:bottom w:val="single" w:sz="8" w:color="CCEEFF"/>
            </w:tcBorders>
          </w:tcPr>
          <w:p>
            <w:pPr>
              <w:spacing w:after="0"/>
              <w:rPr>
                <w:sz w:val="17"/>
                <w:szCs w:val="17"/>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3"/>
        </w:trPr>
        <w:tc>
          <w:tcPr>
            <w:tcW w:w="6340" w:type="dxa"/>
            <w:vAlign w:val="bottom"/>
          </w:tcPr>
          <w:p>
            <w:pPr>
              <w:ind w:left="100"/>
              <w:spacing w:after="0"/>
              <w:rPr>
                <w:sz w:val="20"/>
                <w:szCs w:val="20"/>
                <w:color w:val="auto"/>
              </w:rPr>
            </w:pPr>
            <w:r>
              <w:rPr>
                <w:rFonts w:ascii="Arial" w:cs="Arial" w:eastAsia="Arial" w:hAnsi="Arial"/>
                <w:sz w:val="16"/>
                <w:szCs w:val="16"/>
                <w:color w:val="auto"/>
              </w:rPr>
              <w:t>Preferred stock, par value of $0.001 per share; 10,000,000 shares authorized at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September 30, 2022 and December 31, 2021; No shares issued and outstanding at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6340" w:type="dxa"/>
            <w:vAlign w:val="bottom"/>
          </w:tcPr>
          <w:p>
            <w:pPr>
              <w:ind w:left="100"/>
              <w:spacing w:after="0"/>
              <w:rPr>
                <w:sz w:val="20"/>
                <w:szCs w:val="20"/>
                <w:color w:val="auto"/>
              </w:rPr>
            </w:pPr>
            <w:r>
              <w:rPr>
                <w:rFonts w:ascii="Arial" w:cs="Arial" w:eastAsia="Arial" w:hAnsi="Arial"/>
                <w:sz w:val="16"/>
                <w:szCs w:val="16"/>
                <w:color w:val="auto"/>
              </w:rPr>
              <w:t>September 30, 2022 and December 31, 2021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196"/>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par value of $0.001 per share; 100,000,000 shares authorized at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September 30, 2022 and December 31, 2021; 27,748,844 and 27,680,997 shares issued and</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 at September 30, 2022 and December 31, 2021, respectively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8"/>
                <w:szCs w:val="18"/>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428,368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421,047</w:t>
            </w: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(244,459)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(187,026)</w:t>
            </w:r>
          </w:p>
        </w:tc>
        <w:tc>
          <w:tcPr>
            <w:tcW w:w="160" w:type="dxa"/>
            <w:vAlign w:val="bottom"/>
            <w:tcBorders>
              <w:bottom w:val="single" w:sz="8" w:color="CCEEFF"/>
            </w:tcBorders>
          </w:tcPr>
          <w:p>
            <w:pPr>
              <w:spacing w:after="0"/>
              <w:rPr>
                <w:sz w:val="17"/>
                <w:szCs w:val="17"/>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181,541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233,386</w:t>
            </w:r>
          </w:p>
        </w:tc>
        <w:tc>
          <w:tcPr>
            <w:tcW w:w="160" w:type="dxa"/>
            <w:vAlign w:val="bottom"/>
            <w:shd w:val="clear" w:color="auto" w:fill="CCEEFF"/>
          </w:tcPr>
          <w:p>
            <w:pPr>
              <w:spacing w:after="0"/>
              <w:rPr>
                <w:sz w:val="17"/>
                <w:szCs w:val="17"/>
                <w:color w:val="auto"/>
              </w:rPr>
            </w:pPr>
          </w:p>
        </w:tc>
      </w:tr>
      <w:tr>
        <w:trPr>
          <w:trHeight w:val="196"/>
        </w:trPr>
        <w:tc>
          <w:tcPr>
            <w:tcW w:w="634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189,909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242,386</w:t>
            </w:r>
          </w:p>
        </w:tc>
        <w:tc>
          <w:tcPr>
            <w:tcW w:w="16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 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1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13,528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13,597</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41,377</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58,138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(0.68)</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1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Weighted-average shares outstanding - basic and diluted</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27,748,844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27,615,038</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27,734,271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27,607,685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Arial" w:cs="Arial" w:eastAsia="Arial" w:hAnsi="Arial"/>
                <w:sz w:val="18"/>
                <w:szCs w:val="18"/>
                <w:color w:val="auto"/>
              </w:rPr>
              <w:t>Unrealized gain (loss) on marketable securities</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30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8"/>
          </w:tcPr>
          <w:p>
            <w:pPr>
              <w:jc w:val="center"/>
              <w:ind w:right="900"/>
              <w:spacing w:after="0"/>
              <w:rPr>
                <w:sz w:val="20"/>
                <w:szCs w:val="20"/>
                <w:color w:val="auto"/>
              </w:rPr>
            </w:pPr>
            <w:r>
              <w:rPr>
                <w:rFonts w:ascii="Arial" w:cs="Arial" w:eastAsia="Arial" w:hAnsi="Arial"/>
                <w:sz w:val="13"/>
                <w:szCs w:val="13"/>
                <w:b w:val="1"/>
                <w:bCs w:val="1"/>
                <w:color w:val="auto"/>
                <w:w w:val="87"/>
              </w:rPr>
              <w:t>Nine Months Ended September 30, 2022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left="217"/>
              <w:spacing w:after="0"/>
              <w:rPr>
                <w:sz w:val="20"/>
                <w:szCs w:val="20"/>
                <w:color w:val="auto"/>
              </w:rPr>
            </w:pPr>
            <w:r>
              <w:rPr>
                <w:rFonts w:ascii="Arial" w:cs="Arial" w:eastAsia="Arial" w:hAnsi="Arial"/>
                <w:sz w:val="13"/>
                <w:szCs w:val="13"/>
                <w:b w:val="1"/>
                <w:bCs w:val="1"/>
                <w:color w:val="auto"/>
                <w:w w:val="88"/>
              </w:rPr>
              <w:t>Stockholders’ Equity</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3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10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95"/>
              </w:rPr>
              <w:t>Accumulated Other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7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57"/>
              <w:spacing w:after="0" w:line="129"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8"/>
        </w:trPr>
        <w:tc>
          <w:tcPr>
            <w:tcW w:w="3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2021</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27,680,997</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421,047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(187,026)</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233,386</w:t>
            </w:r>
          </w:p>
        </w:tc>
        <w:tc>
          <w:tcPr>
            <w:tcW w:w="0" w:type="dxa"/>
            <w:vAlign w:val="bottom"/>
          </w:tcPr>
          <w:p>
            <w:pPr>
              <w:spacing w:after="0"/>
              <w:rPr>
                <w:sz w:val="1"/>
                <w:szCs w:val="1"/>
                <w:color w:val="auto"/>
              </w:rPr>
            </w:pP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2,628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2,628</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44,165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(1,536)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(1,536)</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(20,602)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(20,602)</w:t>
            </w:r>
          </w:p>
        </w:tc>
        <w:tc>
          <w:tcPr>
            <w:tcW w:w="0" w:type="dxa"/>
            <w:vAlign w:val="bottom"/>
          </w:tcPr>
          <w:p>
            <w:pPr>
              <w:spacing w:after="0"/>
              <w:rPr>
                <w:sz w:val="1"/>
                <w:szCs w:val="1"/>
                <w:color w:val="auto"/>
              </w:rPr>
            </w:pPr>
          </w:p>
        </w:tc>
      </w:tr>
      <w:tr>
        <w:trPr>
          <w:trHeight w:val="168"/>
        </w:trPr>
        <w:tc>
          <w:tcPr>
            <w:tcW w:w="30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March 31, 2022</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27,725,162</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423,735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(2,199)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(207,628)</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213,936</w:t>
            </w:r>
          </w:p>
        </w:tc>
        <w:tc>
          <w:tcPr>
            <w:tcW w:w="0" w:type="dxa"/>
            <w:vAlign w:val="bottom"/>
          </w:tcPr>
          <w:p>
            <w:pPr>
              <w:spacing w:after="0"/>
              <w:rPr>
                <w:sz w:val="1"/>
                <w:szCs w:val="1"/>
                <w:color w:val="auto"/>
              </w:rPr>
            </w:pPr>
          </w:p>
        </w:tc>
      </w:tr>
      <w:tr>
        <w:trPr>
          <w:trHeight w:val="116"/>
        </w:trPr>
        <w:tc>
          <w:tcPr>
            <w:tcW w:w="3060" w:type="dxa"/>
            <w:vAlign w:val="bottom"/>
            <w:shd w:val="clear" w:color="auto" w:fill="CCEEFF"/>
          </w:tcPr>
          <w:p>
            <w:pPr>
              <w:ind w:left="100"/>
              <w:spacing w:after="0" w:line="116" w:lineRule="exact"/>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2,242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2,242</w:t>
            </w:r>
          </w:p>
        </w:tc>
        <w:tc>
          <w:tcPr>
            <w:tcW w:w="0" w:type="dxa"/>
            <w:vAlign w:val="bottom"/>
          </w:tcPr>
          <w:p>
            <w:pPr>
              <w:spacing w:after="0"/>
              <w:rPr>
                <w:sz w:val="1"/>
                <w:szCs w:val="1"/>
                <w:color w:val="auto"/>
              </w:rPr>
            </w:pP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6,255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Issuance of shares under ESPP</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17,427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(17,920)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(17,920)</w:t>
            </w:r>
          </w:p>
        </w:tc>
        <w:tc>
          <w:tcPr>
            <w:tcW w:w="0" w:type="dxa"/>
            <w:vAlign w:val="bottom"/>
          </w:tcPr>
          <w:p>
            <w:pPr>
              <w:spacing w:after="0"/>
              <w:rPr>
                <w:sz w:val="1"/>
                <w:szCs w:val="1"/>
                <w:color w:val="auto"/>
              </w:rPr>
            </w:pPr>
          </w:p>
        </w:tc>
      </w:tr>
      <w:tr>
        <w:trPr>
          <w:trHeight w:val="168"/>
        </w:trPr>
        <w:tc>
          <w:tcPr>
            <w:tcW w:w="30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June 30, 2022</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27,748,844</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426,056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(2,340)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(225,548)</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198,196</w:t>
            </w:r>
          </w:p>
        </w:tc>
        <w:tc>
          <w:tcPr>
            <w:tcW w:w="0" w:type="dxa"/>
            <w:vAlign w:val="bottom"/>
          </w:tcPr>
          <w:p>
            <w:pPr>
              <w:spacing w:after="0"/>
              <w:rPr>
                <w:sz w:val="1"/>
                <w:szCs w:val="1"/>
                <w:color w:val="auto"/>
              </w:rPr>
            </w:pPr>
          </w:p>
        </w:tc>
      </w:tr>
      <w:tr>
        <w:trPr>
          <w:trHeight w:val="115"/>
        </w:trPr>
        <w:tc>
          <w:tcPr>
            <w:tcW w:w="3060" w:type="dxa"/>
            <w:vAlign w:val="bottom"/>
            <w:shd w:val="clear" w:color="auto" w:fill="CCEEFF"/>
          </w:tcPr>
          <w:p>
            <w:pPr>
              <w:ind w:left="100"/>
              <w:spacing w:after="0" w:line="116" w:lineRule="exact"/>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2,312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2,312</w:t>
            </w:r>
          </w:p>
        </w:tc>
        <w:tc>
          <w:tcPr>
            <w:tcW w:w="0" w:type="dxa"/>
            <w:vAlign w:val="bottom"/>
          </w:tcPr>
          <w:p>
            <w:pPr>
              <w:spacing w:after="0"/>
              <w:rPr>
                <w:sz w:val="1"/>
                <w:szCs w:val="1"/>
                <w:color w:val="auto"/>
              </w:rPr>
            </w:pP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(18,911)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(18,911)</w:t>
            </w:r>
          </w:p>
        </w:tc>
        <w:tc>
          <w:tcPr>
            <w:tcW w:w="0" w:type="dxa"/>
            <w:vAlign w:val="bottom"/>
          </w:tcPr>
          <w:p>
            <w:pPr>
              <w:spacing w:after="0"/>
              <w:rPr>
                <w:sz w:val="1"/>
                <w:szCs w:val="1"/>
                <w:color w:val="auto"/>
              </w:rPr>
            </w:pPr>
          </w:p>
        </w:tc>
      </w:tr>
      <w:tr>
        <w:trPr>
          <w:trHeight w:val="128"/>
        </w:trPr>
        <w:tc>
          <w:tcPr>
            <w:tcW w:w="3060" w:type="dxa"/>
            <w:vAlign w:val="bottom"/>
          </w:tcPr>
          <w:p>
            <w:pPr>
              <w:spacing w:after="0" w:line="129" w:lineRule="exact"/>
              <w:rPr>
                <w:sz w:val="20"/>
                <w:szCs w:val="20"/>
                <w:color w:val="auto"/>
              </w:rPr>
            </w:pPr>
            <w:r>
              <w:rPr>
                <w:rFonts w:ascii="Arial" w:cs="Arial" w:eastAsia="Arial" w:hAnsi="Arial"/>
                <w:sz w:val="13"/>
                <w:szCs w:val="13"/>
                <w:color w:val="auto"/>
              </w:rPr>
              <w:t>Balance as of September 30, 2022</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27,748,844</w:t>
            </w:r>
          </w:p>
        </w:tc>
        <w:tc>
          <w:tcPr>
            <w:tcW w:w="100" w:type="dxa"/>
            <w:vAlign w:val="bottom"/>
          </w:tcPr>
          <w:p>
            <w:pPr>
              <w:spacing w:after="0"/>
              <w:rPr>
                <w:sz w:val="11"/>
                <w:szCs w:val="11"/>
                <w:color w:val="auto"/>
              </w:rPr>
            </w:pPr>
          </w:p>
        </w:tc>
        <w:tc>
          <w:tcPr>
            <w:tcW w:w="62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428,368</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(2,396)</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(244,459)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181,541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0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right="900"/>
              <w:spacing w:after="0"/>
              <w:rPr>
                <w:sz w:val="20"/>
                <w:szCs w:val="20"/>
                <w:color w:val="auto"/>
              </w:rPr>
            </w:pPr>
            <w:r>
              <w:rPr>
                <w:rFonts w:ascii="Arial" w:cs="Arial" w:eastAsia="Arial" w:hAnsi="Arial"/>
                <w:sz w:val="13"/>
                <w:szCs w:val="13"/>
                <w:b w:val="1"/>
                <w:bCs w:val="1"/>
                <w:color w:val="auto"/>
                <w:w w:val="87"/>
              </w:rPr>
              <w:t>Nine Months Ended September 30, 2021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left="217"/>
              <w:spacing w:after="0"/>
              <w:rPr>
                <w:sz w:val="20"/>
                <w:szCs w:val="20"/>
                <w:color w:val="auto"/>
              </w:rPr>
            </w:pPr>
            <w:r>
              <w:rPr>
                <w:rFonts w:ascii="Arial" w:cs="Arial" w:eastAsia="Arial" w:hAnsi="Arial"/>
                <w:sz w:val="13"/>
                <w:szCs w:val="13"/>
                <w:b w:val="1"/>
                <w:bCs w:val="1"/>
                <w:color w:val="auto"/>
                <w:w w:val="88"/>
              </w:rPr>
              <w:t>Stockholders’ Equity</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3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10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95"/>
              </w:rPr>
              <w:t>Accumulated Other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7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57"/>
              <w:spacing w:after="0" w:line="129" w:lineRule="exact"/>
              <w:rPr>
                <w:sz w:val="20"/>
                <w:szCs w:val="20"/>
                <w:color w:val="auto"/>
              </w:rPr>
            </w:pPr>
            <w:r>
              <w:rPr>
                <w:rFonts w:ascii="Arial" w:cs="Arial" w:eastAsia="Arial" w:hAnsi="Arial"/>
                <w:sz w:val="13"/>
                <w:szCs w:val="13"/>
                <w:b w:val="1"/>
                <w:bCs w:val="1"/>
                <w:color w:val="auto"/>
                <w:w w:val="86"/>
              </w:rPr>
              <w:t>(Loss) Income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9"/>
        </w:trPr>
        <w:tc>
          <w:tcPr>
            <w:tcW w:w="3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2020</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27,568,802</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410,551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(117,637)</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293,721</w:t>
            </w:r>
          </w:p>
        </w:tc>
        <w:tc>
          <w:tcPr>
            <w:tcW w:w="0" w:type="dxa"/>
            <w:vAlign w:val="bottom"/>
          </w:tcPr>
          <w:p>
            <w:pPr>
              <w:spacing w:after="0"/>
              <w:rPr>
                <w:sz w:val="1"/>
                <w:szCs w:val="1"/>
                <w:color w:val="auto"/>
              </w:rPr>
            </w:pP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2,508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2,508</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(16,533)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(16,533)</w:t>
            </w:r>
          </w:p>
        </w:tc>
        <w:tc>
          <w:tcPr>
            <w:tcW w:w="0" w:type="dxa"/>
            <w:vAlign w:val="bottom"/>
          </w:tcPr>
          <w:p>
            <w:pPr>
              <w:spacing w:after="0"/>
              <w:rPr>
                <w:sz w:val="1"/>
                <w:szCs w:val="1"/>
                <w:color w:val="auto"/>
              </w:rPr>
            </w:pPr>
          </w:p>
        </w:tc>
      </w:tr>
      <w:tr>
        <w:trPr>
          <w:trHeight w:val="169"/>
        </w:trPr>
        <w:tc>
          <w:tcPr>
            <w:tcW w:w="30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March 31, 2021</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27,604,417</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413,122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(134,170)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279,159</w:t>
            </w:r>
          </w:p>
        </w:tc>
        <w:tc>
          <w:tcPr>
            <w:tcW w:w="0" w:type="dxa"/>
            <w:vAlign w:val="bottom"/>
          </w:tcPr>
          <w:p>
            <w:pPr>
              <w:spacing w:after="0"/>
              <w:rPr>
                <w:sz w:val="1"/>
                <w:szCs w:val="1"/>
                <w:color w:val="auto"/>
              </w:rPr>
            </w:pPr>
          </w:p>
        </w:tc>
      </w:tr>
      <w:tr>
        <w:trPr>
          <w:trHeight w:val="115"/>
        </w:trPr>
        <w:tc>
          <w:tcPr>
            <w:tcW w:w="3060" w:type="dxa"/>
            <w:vAlign w:val="bottom"/>
            <w:shd w:val="clear" w:color="auto" w:fill="CCEEFF"/>
          </w:tcPr>
          <w:p>
            <w:pPr>
              <w:ind w:left="100"/>
              <w:spacing w:after="0" w:line="116" w:lineRule="exact"/>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2,787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2,787</w:t>
            </w:r>
          </w:p>
        </w:tc>
        <w:tc>
          <w:tcPr>
            <w:tcW w:w="0" w:type="dxa"/>
            <w:vAlign w:val="bottom"/>
          </w:tcPr>
          <w:p>
            <w:pPr>
              <w:spacing w:after="0"/>
              <w:rPr>
                <w:sz w:val="1"/>
                <w:szCs w:val="1"/>
                <w:color w:val="auto"/>
              </w:rPr>
            </w:pP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7,138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35"/>
        </w:trPr>
        <w:tc>
          <w:tcPr>
            <w:tcW w:w="306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(17,987)</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(17,987)</w:t>
            </w:r>
          </w:p>
        </w:tc>
        <w:tc>
          <w:tcPr>
            <w:tcW w:w="0" w:type="dxa"/>
            <w:vAlign w:val="bottom"/>
          </w:tcPr>
          <w:p>
            <w:pPr>
              <w:spacing w:after="0"/>
              <w:rPr>
                <w:sz w:val="1"/>
                <w:szCs w:val="1"/>
                <w:color w:val="auto"/>
              </w:rPr>
            </w:pPr>
          </w:p>
        </w:tc>
      </w:tr>
      <w:tr>
        <w:trPr>
          <w:trHeight w:val="128"/>
        </w:trPr>
        <w:tc>
          <w:tcPr>
            <w:tcW w:w="30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2021</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27,611,555</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415,922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(152,157)</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263,598</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100"/>
              <w:spacing w:after="0"/>
              <w:rPr>
                <w:sz w:val="20"/>
                <w:szCs w:val="20"/>
                <w:color w:val="auto"/>
              </w:rPr>
            </w:pPr>
            <w:r>
              <w:rPr>
                <w:rFonts w:ascii="Arial" w:cs="Arial" w:eastAsia="Arial" w:hAnsi="Arial"/>
                <w:sz w:val="13"/>
                <w:szCs w:val="13"/>
                <w:color w:val="auto"/>
              </w:rPr>
              <w:t>Stock-based compensation</w:t>
            </w: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vMerge w:val="continue"/>
          </w:tcPr>
          <w:p>
            <w:pPr>
              <w:spacing w:after="0"/>
              <w:rPr>
                <w:sz w:val="10"/>
                <w:szCs w:val="10"/>
                <w:color w:val="auto"/>
              </w:rPr>
            </w:pPr>
          </w:p>
        </w:tc>
        <w:tc>
          <w:tcPr>
            <w:tcW w:w="74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jc w:val="right"/>
              <w:spacing w:after="0" w:line="116"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Arial" w:cs="Arial" w:eastAsia="Arial" w:hAnsi="Arial"/>
                <w:sz w:val="13"/>
                <w:szCs w:val="13"/>
                <w:color w:val="auto"/>
              </w:rPr>
              <w:t>2,483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line="116" w:lineRule="exact"/>
              <w:rPr>
                <w:sz w:val="20"/>
                <w:szCs w:val="20"/>
                <w:color w:val="auto"/>
              </w:rPr>
            </w:pPr>
            <w:r>
              <w:rPr>
                <w:rFonts w:ascii="Arial" w:cs="Arial" w:eastAsia="Arial" w:hAnsi="Arial"/>
                <w:sz w:val="13"/>
                <w:szCs w:val="13"/>
                <w:color w:val="auto"/>
              </w:rPr>
              <w:t>2,483</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8,208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3060" w:type="dxa"/>
            <w:vAlign w:val="bottom"/>
          </w:tcPr>
          <w:p>
            <w:pPr>
              <w:ind w:left="100"/>
              <w:spacing w:after="0" w:line="135" w:lineRule="exact"/>
              <w:rPr>
                <w:sz w:val="20"/>
                <w:szCs w:val="20"/>
                <w:color w:val="auto"/>
              </w:rPr>
            </w:pPr>
            <w:r>
              <w:rPr>
                <w:rFonts w:ascii="Arial" w:cs="Arial" w:eastAsia="Arial" w:hAnsi="Arial"/>
                <w:sz w:val="13"/>
                <w:szCs w:val="13"/>
                <w:color w:val="auto"/>
                <w:w w:val="94"/>
              </w:rPr>
              <w:t>Unrealized loss on marketable securities, net of tax $0</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(17,930)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(17,930)</w:t>
            </w:r>
          </w:p>
        </w:tc>
        <w:tc>
          <w:tcPr>
            <w:tcW w:w="0" w:type="dxa"/>
            <w:vAlign w:val="bottom"/>
          </w:tcPr>
          <w:p>
            <w:pPr>
              <w:spacing w:after="0"/>
              <w:rPr>
                <w:sz w:val="1"/>
                <w:szCs w:val="1"/>
                <w:color w:val="auto"/>
              </w:rPr>
            </w:pPr>
          </w:p>
        </w:tc>
      </w:tr>
      <w:tr>
        <w:trPr>
          <w:trHeight w:val="129"/>
        </w:trPr>
        <w:tc>
          <w:tcPr>
            <w:tcW w:w="3060" w:type="dxa"/>
            <w:vAlign w:val="bottom"/>
          </w:tcPr>
          <w:p>
            <w:pPr>
              <w:spacing w:after="0" w:line="129" w:lineRule="exact"/>
              <w:rPr>
                <w:sz w:val="20"/>
                <w:szCs w:val="20"/>
                <w:color w:val="auto"/>
              </w:rPr>
            </w:pPr>
            <w:r>
              <w:rPr>
                <w:rFonts w:ascii="Arial" w:cs="Arial" w:eastAsia="Arial" w:hAnsi="Arial"/>
                <w:sz w:val="13"/>
                <w:szCs w:val="13"/>
                <w:color w:val="auto"/>
              </w:rPr>
              <w:t>Balance as of September 30, 2021</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27,619,763</w:t>
            </w:r>
          </w:p>
        </w:tc>
        <w:tc>
          <w:tcPr>
            <w:tcW w:w="100" w:type="dxa"/>
            <w:vAlign w:val="bottom"/>
          </w:tcPr>
          <w:p>
            <w:pPr>
              <w:spacing w:after="0"/>
              <w:rPr>
                <w:sz w:val="11"/>
                <w:szCs w:val="11"/>
                <w:color w:val="auto"/>
              </w:rPr>
            </w:pPr>
          </w:p>
        </w:tc>
        <w:tc>
          <w:tcPr>
            <w:tcW w:w="62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28</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418,414</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(129)</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(170,087)</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248,226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 in thousands)</w:t>
      </w:r>
    </w:p>
    <w:p>
      <w:pPr>
        <w:spacing w:after="0" w:line="216"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Nine Months Ended</w:t>
      </w:r>
    </w:p>
    <w:p>
      <w:pPr>
        <w:ind w:left="74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60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(57,433)</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(52,450)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premiums and discounts on marketable securities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606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rent</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(43,795)</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Arial" w:cs="Arial" w:eastAsia="Arial" w:hAnsi="Arial"/>
                <w:sz w:val="18"/>
                <w:szCs w:val="18"/>
                <w:color w:val="auto"/>
              </w:rPr>
              <w:t>Maturities of marketable securities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171,037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marketable securities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(121,900)</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investing activities</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47,602</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Arial" w:cs="Arial" w:eastAsia="Arial" w:hAnsi="Arial"/>
                <w:sz w:val="18"/>
                <w:szCs w:val="18"/>
                <w:color w:val="auto"/>
              </w:rPr>
              <w:t>Proceeds from shares issued under ESPP</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of the term loan</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36,284</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for interest</w:t>
            </w:r>
          </w:p>
        </w:tc>
        <w:tc>
          <w:tcPr>
            <w:tcW w:w="9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Company has not generated any revenue to date from product sales and does not expect to generate any revenues from product sales in the foreseeable future. Through September 30, 2022, the Company has funded its operations primarily with proceeds from public offerings of its common stock, private placements of its preferred stock and upfront fees received under the Company’s former agreement with Eli Lilly and Company, which was terminated in March 2020. The Company expects to incur additional operating losses and negative operating cash flows for the foreseeable future.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There have been no material changes to the significant accounting policies previously disclosed in the Company’s Annual Report on Form 10-K for the year ended December 31, 2021 (the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unaudited condensed financial statements include the accounts of NextCure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in the Annual Report.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Financial Information</w:t>
      </w:r>
    </w:p>
    <w:p>
      <w:pPr>
        <w:spacing w:after="0" w:line="18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the opinion of management, the information furnished reflects certain adjustments, all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 which is generally consistent with required adoption dates of private companies.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(“FASB”). All other ASUs issued subsequent to the filing of the Company’s Annual Report were assessed and determined to be either inapplicable or not expected to have a material impact on the Company’s financial position or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Restricted Cash</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balance sheet to the condensed statement of cash flows: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143"/>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12,337</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31,089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12,376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color w:val="auto"/>
              </w:rPr>
              <w:t>. Marketable Securities</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20" w:type="dxa"/>
            <w:vAlign w:val="bottom"/>
          </w:tcPr>
          <w:p>
            <w:pPr>
              <w:ind w:left="660"/>
              <w:spacing w:after="0"/>
              <w:rPr>
                <w:sz w:val="20"/>
                <w:szCs w:val="20"/>
                <w:color w:val="auto"/>
              </w:rPr>
            </w:pPr>
            <w:r>
              <w:rPr>
                <w:rFonts w:ascii="Arial" w:cs="Arial" w:eastAsia="Arial" w:hAnsi="Arial"/>
                <w:sz w:val="18"/>
                <w:szCs w:val="18"/>
                <w:color w:val="auto"/>
                <w:w w:val="98"/>
              </w:rPr>
              <w:t>Marketable securities consist of the following: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43"/>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940" w:type="dxa"/>
            <w:vAlign w:val="bottom"/>
            <w:gridSpan w:val="2"/>
          </w:tcPr>
          <w:p>
            <w:pPr>
              <w:jc w:val="center"/>
              <w:ind w:right="56"/>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94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138,959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63"/>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940" w:type="dxa"/>
            <w:vAlign w:val="bottom"/>
            <w:gridSpan w:val="2"/>
          </w:tcPr>
          <w:p>
            <w:pPr>
              <w:jc w:val="center"/>
              <w:ind w:right="56"/>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94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(666)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(666)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207,254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220" w:type="dxa"/>
            <w:vAlign w:val="bottom"/>
          </w:tcPr>
          <w:p>
            <w:pPr>
              <w:spacing w:after="0"/>
              <w:rPr>
                <w:sz w:val="24"/>
                <w:szCs w:val="24"/>
                <w:color w:val="auto"/>
              </w:rPr>
            </w:pP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6</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uses the specific identification method when calculating realized gains and losses. For the three months ended September 30, 2022 and 2021, respectively, the Company recorded $0 and $1 thousand in realized gains on available-for-sale securities, which is included in other income, net on the condensed statements of operations. For the nine months ended September 30, 2022 and 2021, respectively, the Company recorded $9 thousand and $57 thousand in realized gains on available-for-sale securities, which is included in other income, net on the condensed statements of operations.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reviewed all investments which were in a loss position at the respective balance sheet dates, as well as the remainder of the portfolio. As of September 30, 2022, the Company had investments with a total fair market value of $138.2 million in an unrealized loss position, of which $59.0 million were in a continuous unrealized loss position for more than twelve months. The Company analyzed the unrealized losses and determined that market conditions were the primary factor driving these changes, and such unrealized losses are temporary as the Company anticipates a full recovery of the amortized cost basis of these securities at maturity. After analyzing the securities in an unrealized loss position, the portion of these losses that relate to changes in credit quality is insignificant. The Company does not intend to sell these securities, nor is it more likely than not that the Company will be required to sell them prior to the end of their contractual terms. Furthermore, the Company does not believe that these securities expose the Company to undue market risk or counterparty credit risk.</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The  following  table  summarizes</w:t>
            </w:r>
          </w:p>
        </w:tc>
        <w:tc>
          <w:tcPr>
            <w:tcW w:w="2600" w:type="dxa"/>
            <w:vAlign w:val="bottom"/>
            <w:gridSpan w:val="2"/>
          </w:tcPr>
          <w:p>
            <w:pPr>
              <w:jc w:val="right"/>
              <w:ind w:right="67"/>
              <w:spacing w:after="0"/>
              <w:rPr>
                <w:sz w:val="20"/>
                <w:szCs w:val="20"/>
                <w:color w:val="auto"/>
              </w:rPr>
            </w:pPr>
            <w:r>
              <w:rPr>
                <w:rFonts w:ascii="Arial" w:cs="Arial" w:eastAsia="Arial" w:hAnsi="Arial"/>
                <w:sz w:val="18"/>
                <w:szCs w:val="18"/>
                <w:color w:val="auto"/>
              </w:rPr>
              <w:t>maturities  of  the  Company’s</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investments</w:t>
            </w:r>
          </w:p>
        </w:tc>
        <w:tc>
          <w:tcPr>
            <w:tcW w:w="1960" w:type="dxa"/>
            <w:vAlign w:val="bottom"/>
            <w:gridSpan w:val="5"/>
          </w:tcPr>
          <w:p>
            <w:pPr>
              <w:ind w:left="100"/>
              <w:spacing w:after="0"/>
              <w:rPr>
                <w:sz w:val="20"/>
                <w:szCs w:val="20"/>
                <w:color w:val="auto"/>
              </w:rPr>
            </w:pPr>
            <w:r>
              <w:rPr>
                <w:rFonts w:ascii="Arial" w:cs="Arial" w:eastAsia="Arial" w:hAnsi="Arial"/>
                <w:sz w:val="18"/>
                <w:szCs w:val="18"/>
                <w:color w:val="auto"/>
                <w:w w:val="96"/>
              </w:rPr>
              <w:t>available-for-sale  as  of</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September 30, 2022:</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6"/>
          </w:tcPr>
          <w:p>
            <w:pPr>
              <w:ind w:left="58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19"/>
        </w:trPr>
        <w:tc>
          <w:tcPr>
            <w:tcW w:w="3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(in thousands)</w:t>
            </w:r>
          </w:p>
        </w:tc>
        <w:tc>
          <w:tcPr>
            <w:tcW w:w="2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218"/>
              <w:spacing w:after="0" w:line="119" w:lineRule="exact"/>
              <w:rPr>
                <w:sz w:val="20"/>
                <w:szCs w:val="20"/>
                <w:color w:val="auto"/>
              </w:rPr>
            </w:pPr>
            <w:r>
              <w:rPr>
                <w:rFonts w:ascii="Arial" w:cs="Arial" w:eastAsia="Arial" w:hAnsi="Arial"/>
                <w:sz w:val="13"/>
                <w:szCs w:val="13"/>
                <w:b w:val="1"/>
                <w:bCs w:val="1"/>
                <w:color w:val="auto"/>
              </w:rPr>
              <w:t>Fair</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Maturities:</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Within 1 year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122,104</w:t>
            </w:r>
          </w:p>
        </w:tc>
        <w:tc>
          <w:tcPr>
            <w:tcW w:w="500" w:type="dxa"/>
            <w:vAlign w:val="bottom"/>
            <w:gridSpan w:val="3"/>
          </w:tcPr>
          <w:p>
            <w:pPr>
              <w:jc w:val="right"/>
              <w:ind w:right="14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120,303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Between 1 to 2 years</w:t>
            </w:r>
          </w:p>
        </w:tc>
        <w:tc>
          <w:tcPr>
            <w:tcW w:w="2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gridSpan w:val="2"/>
          </w:tcPr>
          <w:p>
            <w:pPr>
              <w:ind w:left="440"/>
              <w:spacing w:after="0"/>
              <w:rPr>
                <w:sz w:val="20"/>
                <w:szCs w:val="20"/>
                <w:color w:val="auto"/>
              </w:rPr>
            </w:pPr>
            <w:r>
              <w:rPr>
                <w:rFonts w:ascii="Arial" w:cs="Arial" w:eastAsia="Arial" w:hAnsi="Arial"/>
                <w:sz w:val="18"/>
                <w:szCs w:val="18"/>
                <w:color w:val="auto"/>
              </w:rPr>
              <w:t>Total investments available-for-sale</w:t>
            </w:r>
          </w:p>
        </w:tc>
        <w:tc>
          <w:tcPr>
            <w:tcW w:w="2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140,560</w:t>
            </w:r>
          </w:p>
        </w:tc>
        <w:tc>
          <w:tcPr>
            <w:tcW w:w="240" w:type="dxa"/>
            <w:vAlign w:val="bottom"/>
            <w:gridSpan w:val="2"/>
          </w:tcPr>
          <w:p>
            <w:pPr>
              <w:spacing w:after="0"/>
              <w:rPr>
                <w:sz w:val="18"/>
                <w:szCs w:val="18"/>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138,164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has classified all of its available-for-sale investments, including those with maturities beyond one year, as current assets on the accompanying condensed balance sheets based on the highly liquid nature of these investment securities and because these investment securities are considered available for use in current operations.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in determining fair value is greatest for instruments categorized as Level 3. A financial instrument’s level within the fair value hierarchy is based on the lowest level of any input that is significant to the fair value measurement.</w:t>
      </w:r>
    </w:p>
    <w:p>
      <w:pPr>
        <w:spacing w:after="0" w:line="14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as of September 30, 2022 and December 31,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0"/>
                <w:szCs w:val="10"/>
                <w:color w:val="auto"/>
              </w:rPr>
            </w:pPr>
          </w:p>
        </w:tc>
        <w:tc>
          <w:tcPr>
            <w:tcW w:w="10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14,401</w:t>
            </w:r>
          </w:p>
        </w:tc>
        <w:tc>
          <w:tcPr>
            <w:tcW w:w="1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14,401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136,592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136,592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152,565</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138,164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0"/>
                <w:szCs w:val="10"/>
                <w:color w:val="auto"/>
              </w:rPr>
            </w:pPr>
          </w:p>
        </w:tc>
        <w:tc>
          <w:tcPr>
            <w:tcW w:w="10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2,680</w:t>
            </w:r>
          </w:p>
        </w:tc>
        <w:tc>
          <w:tcPr>
            <w:tcW w:w="1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207,254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207,254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209,934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levels during the nine months ended September 30, 2022 and 2021.</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NextCure, Inc. 2019 Omnibus Incentive Plan (the “2019 Plan”) became effective on May 8, 2019, the date on which the Company’s Registration Statement on Form S-1 filed in connection with the IPO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automatically increase each January 1st during the term of the 2019 Plan by 4% of the number of shares of the Company’s common stock outstanding on December 31st of the preceding calendar year or such lesser number of shares determined by the Board.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September 30, 2022, 2,639,213 shares were reserved for future grant under the 2019 Plan.</w:t>
      </w:r>
    </w:p>
    <w:p>
      <w:pPr>
        <w:spacing w:after="0" w:line="22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ten years.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4"/>
                <w:szCs w:val="14"/>
                <w:b w:val="1"/>
                <w:bCs w:val="1"/>
                <w:color w:val="auto"/>
                <w:w w:val="94"/>
              </w:rPr>
              <w:t>Options Outstanding and Exercisable</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7"/>
              <w:spacing w:after="0" w:line="153"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4,545,794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1,722,350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Forfeitures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(940,891)</w:t>
            </w:r>
          </w:p>
        </w:tc>
        <w:tc>
          <w:tcPr>
            <w:tcW w:w="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13.79</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5,276,833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Exercisable as of September 30, 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2,607,339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380" w:right="79" w:hanging="330"/>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at September 30, 2022 and December 31, 2021.</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weighted average grant date fair value of stock options granted to employees for the nine months ended September 30, 2022 was $3.71. The aggregate intrinsic value of stock options exercised during the nine months ended September 30, 2022 was $0.1 million. As of September 30, 2022, there was $17.1 million of total unrecognized compensation expense related to unvested options under the Plans that will be recognized over a weighted-average period of approximately 2.7 years.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aggregate grant date fair value of stock options vested during the nine months ended September 30, 2022 and 2021 was approximately $9.0 million and $11.9 million, respectively.</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Stock-based compensation expense was classified on the statements of operations as follows for the three and nine months ended September 30, 2022 and 2021:</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26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1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26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$ 1,054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$ 2,274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$ 3,068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1,429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4,908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2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4"/>
              </w:rPr>
              <w:t>Total stock-based compensation expense</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$ 7,182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$ 7,778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0" w:type="dxa"/>
            <w:vAlign w:val="bottom"/>
            <w:vMerge w:val="restart"/>
          </w:tcPr>
          <w:p>
            <w:pPr>
              <w:jc w:val="right"/>
              <w:ind w:right="5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- 6.1 years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- 6.1 years</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w:t>
            </w:r>
          </w:p>
        </w:tc>
        <w:tc>
          <w:tcPr>
            <w:tcW w:w="2500" w:type="dxa"/>
            <w:vAlign w:val="bottom"/>
            <w:gridSpan w:val="3"/>
          </w:tcPr>
          <w:p>
            <w:pPr>
              <w:jc w:val="right"/>
              <w:ind w:right="199"/>
              <w:spacing w:after="0"/>
              <w:rPr>
                <w:sz w:val="20"/>
                <w:szCs w:val="20"/>
                <w:color w:val="auto"/>
              </w:rPr>
            </w:pPr>
            <w:r>
              <w:rPr>
                <w:rFonts w:ascii="Arial" w:cs="Arial" w:eastAsia="Arial" w:hAnsi="Arial"/>
                <w:sz w:val="18"/>
                <w:szCs w:val="18"/>
                <w:color w:val="auto"/>
              </w:rPr>
              <w:t>79.7 - 81.4 %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94"/>
              <w:spacing w:after="0"/>
              <w:rPr>
                <w:sz w:val="20"/>
                <w:szCs w:val="20"/>
                <w:color w:val="auto"/>
              </w:rPr>
            </w:pPr>
            <w:r>
              <w:rPr>
                <w:rFonts w:ascii="Arial" w:cs="Arial" w:eastAsia="Arial" w:hAnsi="Arial"/>
                <w:sz w:val="18"/>
                <w:szCs w:val="18"/>
                <w:color w:val="auto"/>
                <w:w w:val="92"/>
              </w:rPr>
              <w:t>79.7 %</w:t>
            </w: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4"/>
              </w:rPr>
              <w:t>- 4.0 %</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0.8</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1"/>
              </w:rPr>
              <w:t>- 1.4 %</w:t>
            </w:r>
          </w:p>
        </w:tc>
        <w:tc>
          <w:tcPr>
            <w:tcW w:w="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 %</w:t>
            </w: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NextCure, Inc. 2019 Employee Stock Purchase Plan (the “ESPP”) was approved in May 2019 and provides for certain employees of the Company to purchase shares of Company stock at a discounted price. As of September 30, 2022, 23,891 shares of common stock had been issued pursuant to the ESPP and 766,789 shares were reserved for future issuance thereunder.</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Net Loss Per Share Attributable to Common Stockholders</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computation of basic loss per share is based on the weighted-average number of common shares outstanding, without consideration for dilutive common stock equivalents. The computation of diluted loss per share is based on the weighted-average number of common shares outstanding and dilutive potential common shares, which include shares that may be issued under the stock option plan, as determined using the treasury stock method.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computation for basic and diluted loss per share were as follows (in thousands, except share and per share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data):</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Net loss - basic and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(57,433)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(52,450)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Shares (Denominator):</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ind w:left="100"/>
              <w:spacing w:after="0" w:line="201" w:lineRule="exact"/>
              <w:rPr>
                <w:sz w:val="20"/>
                <w:szCs w:val="20"/>
                <w:color w:val="auto"/>
              </w:rPr>
            </w:pPr>
            <w:r>
              <w:rPr>
                <w:rFonts w:ascii="Arial" w:cs="Arial" w:eastAsia="Arial" w:hAnsi="Arial"/>
                <w:sz w:val="18"/>
                <w:szCs w:val="18"/>
                <w:color w:val="auto"/>
              </w:rPr>
              <w:t>Weighted-average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27,748,844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27,615,038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27,734,271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27,607,685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7"/>
              </w:rPr>
              <w:t>outstanding - basic and diluted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1"/>
              </w:rPr>
              <w:t>Loss per share - basic and diluted</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For the three and nine months ended September 30, 2022 and 2021, all shares of options to purchase shares of the Company’s common stock were excluded from the computation of diluted net loss per share as the effect would have been anti-dilutive. Therefore, the weighted average number of common shares outstanding used to calculate both basic and diluted net loss per share attributable to common stockholders is the same.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148"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6350</wp:posOffset>
            </wp:positionV>
            <wp:extent cx="1165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00"/>
        <w:spacing w:after="0"/>
        <w:tabs>
          <w:tab w:leader="none" w:pos="74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5,276,833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4,544,382</w:t>
            </w:r>
          </w:p>
        </w:tc>
      </w:tr>
      <w:tr>
        <w:trPr>
          <w:trHeight w:val="209"/>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5,276,833</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4,544,382</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did not record a provision or benefit for income taxes during the three and nine month periods ended September 30, 2022 and 2021. The Company continues to maintain a full valuation allowance against its deferred tax assets.</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Management reevaluates the positive and negative evidence at each reporting period.</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Under the provisions of Sections 382 and 383 of the Internal Revenue Code (“IRC”), certain substantial changes in the Company’s ownership may have limited, or may limit in the future, the amount of net operating loss and research and development credit carryforwards that can be used to reduce future income taxes. We have not performed a detailed analysis to determine whether an ownership change under Section 382 of the IRC occurred. The effect of an ownership change would be the imposition of an annual limitation on the use of losses and credits attributable to periods before the change and could result in a reduction in the total losses and credits available.</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September 21, 2020, a putative stockholder class action was filed in the U.S. District Court for the Southern District of New York styled Ye Zhou v. NextCure, Inc., et. al., Case 1:20-cv-0772 (S.D.N.Y.) (the “Ye Zhou action”).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Securities Exchange Act of 1934, as amended (the “Exchange Act”), and the Securities Act of 1933, as amended, with respect to statements made regarding NC318, and the FIND-IO platform. The complaint seeks unspecified damages on behalf of a purported class of purchasers of our securities between May 8, 2019 and July 14, 2020. Defendants filed a motion to dismiss the consolidated amended complaint on April 27, 2021, and discovery is stayed pending resolution of that motion.</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March 24, 2021, a purported shareholder derivative lawsuit was filed in the U.S. District Court for the District of Maryland, Southern Division, styled Zach Liu v. Richman et. al., Case:21-cv-00754 (the “Liu action”), alleging breaches of fiduciary duty 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On May 17, 2021, the Court granted the parties’ joint motion to stay the derivative lawsuit pending resolution of the defendants’ motion to dismiss filed in respect of the Ye Zhou action.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On December 14, 2021, a purported misappropriation of certain trade secrets lawsuit was filed in Federal District Court for the District of Delaware, styled Immunaccel, LLC v. NextCure, Inc., Case No. 1:21-cv-01755-UNA (the “Immunaccel action”). The lawsuit alleges that the Company misappropriated certain trade secrets belonging to Immunaccel related to a drug discovery and screening platform named IMMUNE 3D. The complaint alleged two causes of action, one under the Delaware Uniform Trade Secrets Act and another under the Federal Defend Trade Secrets Act. The Company filed a motion to dismiss the complaint on April 22, 2022. In response to the Company’s motion to dismiss, Immunaccel filed an amended complaint on June 21, 2022 (“Amended Complaint”). The Amended Complaint added as parties to the Immunaccel action Screen Therapeutics LLC (“Screen”), an affiliate entity of Immunaccel, and Company’s CEO Michael Richman in his capacity as an individual. The Amended Complaint alleges that Mr. Richman breached certain contractual and fiduciary duties owed to Screen due to Mr. Richman’s prior relationship as in investor in, and purported advisor to, Screen. The Amended Complaint alleges four causes of action for breach of contract against Mr. Richman and three related causes of action against Mr. Richman for breach of fiduciary duty, unjust enrichment, and fraudulent misrepresentation. In addition to two trade secrets causes of action similar to those previously alleged against the Company, the Amended Complaint also alleges the Company tortiously interfered with the contracts between Mr. Richman and Screen and that the Company aided and abetted the alleged breach of fiduciary duty by Mr. Richman. The Amended Complaint seeks unspecified monetary damages, a permanent injunction and other miscellaneous relief.</w:t>
      </w:r>
    </w:p>
    <w:p>
      <w:pPr>
        <w:spacing w:after="0" w:line="1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and Mr. Richman each separately filed separate motions to dismiss the Amended Complaint on August 5, 2022. Both defendants’ motions seek to dismiss all claims asserted against them by the plaintiffs and briefing for these motions have been completed. The motions currently remain pending before the court for disposition.</w:t>
      </w:r>
    </w:p>
    <w:p>
      <w:pPr>
        <w:spacing w:after="0" w:line="14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intends to vigorously defend the Ye Zhou, Liu and Immunaccel actions. Based on the Company’s assessment of the facts underlying these claims, the uncertainty of litigation, and the preliminary stage of these cases, the Company cannot estimate the reasonably possible loss or range of loss that may result from these actions.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financial statements and the notes thereto included in this Quarterly Report and the audited financial information and related notes, as well as Management’s Discussion and Analysis of Financial Condition and Results of Operations and other disclosures, included in our Annual Report on Form 10-K for the fiscal year ended December 31, 2021, or our “2021 Annual Report”. Some of the statements contained in this discussion and analysis or set forth elsewhere in this Quarterly Report are forward-looking statements within the meaning of the Private Securities Litigation Reform Act of 1995.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Forward-looking statements include, but are not limited to, statements about:</w:t>
      </w:r>
    </w:p>
    <w:p>
      <w:pPr>
        <w:spacing w:after="0" w:line="199" w:lineRule="exact"/>
        <w:rPr>
          <w:sz w:val="20"/>
          <w:szCs w:val="20"/>
          <w:color w:val="auto"/>
        </w:rPr>
      </w:pPr>
    </w:p>
    <w:p>
      <w:pPr>
        <w:jc w:val="both"/>
        <w:ind w:left="720" w:right="79" w:hanging="319"/>
        <w:spacing w:after="0" w:line="27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expectations regarding the timing, progress and results of preclinical studies and clinical trials for NC410, NC525, NC762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71"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or likelihood of regulatory filings for NC410, NC525, NC762 and any other product candidates we develop and our ability to obtain and maintain regulatory approvals for such product candidates for any indication;</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identification, analysis and use of biomarkers and biomarker data;</w:t>
      </w:r>
    </w:p>
    <w:p>
      <w:pPr>
        <w:spacing w:after="0" w:line="225"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 of patient selection assays and companion or complementary diagnostics for NC410, NC525, NC762 or any other product candidates we develop;</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manufacturing capabilities and strategy, including the scalability of our manufacturing methods and processes;</w:t>
      </w:r>
    </w:p>
    <w:p>
      <w:pPr>
        <w:spacing w:after="0" w:line="170"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potential benefits, activity, effectiveness and safety of NC410, NC525, NC762 and any other product candidates we develop;</w:t>
      </w:r>
    </w:p>
    <w:p>
      <w:pPr>
        <w:spacing w:after="0" w:line="170" w:lineRule="exact"/>
        <w:rPr>
          <w:rFonts w:ascii="Arial" w:cs="Arial" w:eastAsia="Arial" w:hAnsi="Arial"/>
          <w:sz w:val="18"/>
          <w:szCs w:val="18"/>
          <w:i w:val="1"/>
          <w:iCs w:val="1"/>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intentions and ability to successfully commercialize our product candidates;</w:t>
      </w:r>
    </w:p>
    <w:p>
      <w:pPr>
        <w:spacing w:after="0" w:line="225" w:lineRule="exact"/>
        <w:rPr>
          <w:rFonts w:ascii="Arial" w:cs="Arial" w:eastAsia="Arial" w:hAnsi="Arial"/>
          <w:sz w:val="18"/>
          <w:szCs w:val="18"/>
          <w:i w:val="1"/>
          <w:iCs w:val="1"/>
          <w:color w:val="auto"/>
        </w:rPr>
      </w:pPr>
    </w:p>
    <w:p>
      <w:pPr>
        <w:ind w:left="720" w:hanging="319"/>
        <w:spacing w:after="0"/>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nature of the biological pathways we are targeting;</w:t>
      </w:r>
    </w:p>
    <w:p>
      <w:pPr>
        <w:spacing w:after="0" w:line="225"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for our Functional, Integrated, NextCure Discovery in Immuno-Oncology (“FIND-IO”) platform, including our ability to discover and advance product candidates using our FIND-IO platform;</w:t>
      </w:r>
    </w:p>
    <w:p>
      <w:pPr>
        <w:spacing w:after="0" w:line="170" w:lineRule="exact"/>
        <w:rPr>
          <w:rFonts w:ascii="Arial" w:cs="Arial" w:eastAsia="Arial" w:hAnsi="Arial"/>
          <w:sz w:val="18"/>
          <w:szCs w:val="18"/>
          <w:i w:val="1"/>
          <w:iCs w:val="1"/>
          <w:color w:val="auto"/>
        </w:rPr>
      </w:pPr>
    </w:p>
    <w:p>
      <w:pPr>
        <w:ind w:left="720" w:hanging="319"/>
        <w:spacing w:after="0"/>
        <w:tabs>
          <w:tab w:leader="none" w:pos="7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potential benefits of and our ability to maintain our relationship and collaboration with Yale University;</w:t>
      </w:r>
    </w:p>
    <w:p>
      <w:pPr>
        <w:spacing w:after="0" w:line="236" w:lineRule="exact"/>
        <w:rPr>
          <w:rFonts w:ascii="Arial" w:cs="Arial" w:eastAsia="Arial" w:hAnsi="Arial"/>
          <w:sz w:val="17"/>
          <w:szCs w:val="17"/>
          <w:i w:val="1"/>
          <w:iCs w:val="1"/>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pacing w:after="0" w:line="183" w:lineRule="exact"/>
        <w:rPr>
          <w:rFonts w:ascii="Arial" w:cs="Arial" w:eastAsia="Arial" w:hAnsi="Arial"/>
          <w:sz w:val="18"/>
          <w:szCs w:val="18"/>
          <w:i w:val="1"/>
          <w:iCs w:val="1"/>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intended reliance on and the performance of third parties, including collaborators, contract research organizations and third-party manufacturers;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protect and enforce our intellectual property protection and the scope and duration of such protection;</w:t>
      </w:r>
    </w:p>
    <w:p>
      <w:pPr>
        <w:spacing w:after="0" w:line="170" w:lineRule="exact"/>
        <w:rPr>
          <w:rFonts w:ascii="Arial" w:cs="Arial" w:eastAsia="Arial" w:hAnsi="Arial"/>
          <w:sz w:val="18"/>
          <w:szCs w:val="18"/>
          <w:i w:val="1"/>
          <w:iCs w:val="1"/>
          <w:color w:val="auto"/>
        </w:rPr>
      </w:pPr>
    </w:p>
    <w:p>
      <w:pPr>
        <w:ind w:left="720" w:hanging="319"/>
        <w:spacing w:after="0"/>
        <w:tabs>
          <w:tab w:leader="none" w:pos="7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any failure of our information technology systems such as security breaches, loss of data and other disruptions;</w:t>
      </w:r>
    </w:p>
    <w:p>
      <w:pPr>
        <w:spacing w:after="0" w:line="248" w:lineRule="exact"/>
        <w:rPr>
          <w:rFonts w:ascii="Arial" w:cs="Arial" w:eastAsia="Arial" w:hAnsi="Arial"/>
          <w:sz w:val="16"/>
          <w:szCs w:val="16"/>
          <w:i w:val="1"/>
          <w:iCs w:val="1"/>
          <w:color w:val="auto"/>
        </w:rPr>
      </w:pPr>
    </w:p>
    <w:p>
      <w:pPr>
        <w:ind w:left="720" w:hanging="319"/>
        <w:spacing w:after="0"/>
        <w:tabs>
          <w:tab w:leader="none" w:pos="7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developments and projections relating to our competitors and our industry, including competing therapies; and</w:t>
      </w:r>
    </w:p>
    <w:p>
      <w:pPr>
        <w:spacing w:after="0" w:line="248" w:lineRule="exact"/>
        <w:rPr>
          <w:rFonts w:ascii="Arial" w:cs="Arial" w:eastAsia="Arial" w:hAnsi="Arial"/>
          <w:sz w:val="16"/>
          <w:szCs w:val="16"/>
          <w:i w:val="1"/>
          <w:iCs w:val="1"/>
          <w:color w:val="auto"/>
        </w:rPr>
      </w:pPr>
    </w:p>
    <w:p>
      <w:pPr>
        <w:ind w:left="720" w:hanging="319"/>
        <w:spacing w:after="0"/>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current and future laws and regulations.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i w:val="1"/>
          <w:iCs w:val="1"/>
          <w:color w:val="auto"/>
        </w:rPr>
        <w:t>Forward-looking statements involve substantial risks and uncertainties that could cause actual results to differ materially from those projected in any forward-looking statement. Such risks and uncertainties include, among others: the continued impacts of the COVID-19 pandemic (including the emergence of variant strains) on our business, including our clinical trials, third parties on which we rely and our operations; positive results in preclinical studies may not be predictive of the results of clinical trials; our limited operating history and no products approved for commercial sale; our history of significant losses; our need to obtain additional financing; risks related to clinical development, marketing approval and commercialization; the unproven approach to the discovery and development of product candidates based on our FIND-IO platform; and dependence on key personnel. More detailed information on these and additional factors that could affect our actual results are described under the heading “Risk Factors” in our 2021 Annual Report and in our other filings with the Securities and Exchange Commission (“SEC”). You should not place undue reliance on any forward-looking statements. Forward-looking statements speak only as of the date of this report, and we assume no obligation to update any forward-looking statements, even if expectations change.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currently have three product candidates in clinical development. We are focusing our efforts on the LAIR programs with NC410 (LAIR-2 fusion) in a Phase 1b/2 clinical trial in combination with pembrolizumab and NC525 (LAIR-1 mAb), for which we filed an investigational new drug (IND) application with the US Food and Drug Administration (FDA) and anticipate initiating a Phase 1 trial in the first quarter of 2023. In addition, NC762 (B7-H4 mAb) advanced into a Phase 1b cohort expansion study.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NC410</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NC410 is a novel immunomedicine designed to block immune suppression mediated by an immune modulator called Leukocyte-Associated Immunoglobulin-like Receptor, or “LAIR”, -1. In June 2020, we initiated a Phase 1/2 clinical trial of NC410 in patients with advanced or metastatic solid tumors. The Phase 1 dose-escalation portion of this open-label trial was designed to evaluate the safety and tolerability of NC410 in patients with advanced or metastatic solid tumors and determine its pharmacologically active and/or maximum tolerated dose.</w:t>
      </w:r>
    </w:p>
    <w:p>
      <w:pPr>
        <w:spacing w:after="0" w:line="17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Phase 1 clinical trial enrolled a total of 40 patients across 7 cohorts ranging from 3 mg up to 200 mg. NC410 has been shown to be safe and well-tolerated up to 200 mg once every 2 weeks (Q2W). Notable treatment- related adverse events included infusion reactions, anemia and a worsening of a baseline lymphopenia. The best response achieved was stable disease greater than 12 weeks in 8 patients across different doses and indications. Based on the preclinical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clinical data to date, we have determined a combination strategy to be more likely for clinical response in a Phase 1b/2 instead of a monotherapy approach.</w:t>
      </w:r>
    </w:p>
    <w:p>
      <w:pPr>
        <w:spacing w:after="0" w:line="170"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In October 2022, we announced the initiation of a Phase 1b/2 clinical trial to evaluate NC410 in combination with KEYTRUDA® (pembrolizumab), Merck’s anti-PD-1 therapy, in immune checkpoint refractory patients (colorectal, esophageal, endometrial and head and neck cancers) or immune checkpoint naïve solid tumor patients (colorectal and ovarian cancers). The rationale for moving directly into a combination trial for NC410 is based on NC410’s mechanism of action, as seen in preclinical modeling and also during the NC410 Phase 1 dose escalation study readouts. It has been shown that elevated collagen levels in the extracellular matrix (ECM), the tissue matrix surrounding the tumor, are associated with resistance to PD-1 and PD-L1 therapies. In non-clinical colorectal models and early-stage monotherapy clinical studies conducted by NextCure, we have demonstrated that NC410 can remodel collagen in the ECM, which enhances T cell infiltration into the tumor. This results in immune activation, enhanced immune function in the TME and significantly enhances anti-PD-1 activity in multiple preclinical tumors models. We believe that this may translate to improved responses in patients with immune checkpoint refractory or immune checkpoint naïve solid tumors.</w:t>
      </w:r>
    </w:p>
    <w:p>
      <w:pPr>
        <w:spacing w:after="0" w:line="17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entered into a supply agreement for KEYTRUDA with Merck (known as MSD outside the United States and Canada) for the Phase 1b/2 clinical trial.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NC525</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NC525 is a novel LAIR-1 antibody that selectively targets Acute Myeloid Leukemia, or “AML”, blast cells and leukemic stem cells, or “LSCs”. Preclinical data show that NC525 kills AML blast cells and LSCs while sparing hematopoietic stem and progenitor cells, or “HSPCs”. Preclinical data were presented at the American Society for Hematology annual meeting in December 2021. The data showed that NC525 (i) inhibits colony formation of AML LSCs in vitro, (ii) inhibits AML growth in the MV4-11 derived xenografts animal model in vivo and (iii) restricts AML progression in patient-derived xenografts in vivo. An IND was submitted with the FDA and we have received clearance to proceed. We plan to initiate a Phase 1 clinical study in the first quarter 2023.</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NC762</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NC762 is an immunomedicine targeting an immunomodulatory molecule called human B7 homolog 4 protein, or “B7-H4”. In July 2021, we initiated a Phase 1/2 clinical trial of NC762 in patients with lung cancer, breast cancer, ovarian cancer or other tumor types. The Phase 1 dose-escalation portion of this open-label trial was designed to evaluate the safety and tolerability of NC762 and determine its pharmacologically active and/or maximum tolerated dose. The Phase 1 clinical trial enrolled a total of 18 patients across 5 cohorts ranging from 0.5 mg up to 20 mg. NC762 was safe and well-tolerated.</w:t>
      </w:r>
    </w:p>
    <w:p>
      <w:pPr>
        <w:spacing w:after="0" w:line="16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October 2022, we initiated NC762 into a Phase 1b expansion cohort study dosing at 10 mg and 20 mg using a CLIA-validated assay to select patients with B7-H4 expression in tumor types including NSCLC, ovarian, endometrial, hepatocellular and breast.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NC318</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212529"/>
        </w:rPr>
        <w:t>In November 2022, we announced that NC318 would not move forward in the amended Phase 2 monotherapy clinical trial. Although NC318 has been shown to be safe and well-tolerated in patients, we saw no responses in the amended Phase 2 portion of the trial and, based on the totality of the NC318 monotherapy data, we will wind down the clinical study while ensuring that patients on study have access to NC318.</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212529"/>
        </w:rPr>
        <w:t>The Company will continue to support Yale University’s ongoing Phase 2 investigator initiated trial of NC318 in combination with pembrolizumab in NSCLC patients.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COVID-19</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212529"/>
        </w:rPr>
        <w:t xml:space="preserve">In March 2020, the World Health Organization declared the novel coronavirus disease 2019 (“COVID-19”) outbreak a pandemic. In order to </w:t>
      </w:r>
      <w:r>
        <w:rPr>
          <w:rFonts w:ascii="Arial" w:cs="Arial" w:eastAsia="Arial" w:hAnsi="Arial"/>
          <w:sz w:val="18"/>
          <w:szCs w:val="18"/>
          <w:color w:val="000000"/>
        </w:rPr>
        <w:t>mitigate</w:t>
      </w:r>
      <w:r>
        <w:rPr>
          <w:rFonts w:ascii="Arial" w:cs="Arial" w:eastAsia="Arial" w:hAnsi="Arial"/>
          <w:sz w:val="18"/>
          <w:szCs w:val="18"/>
          <w:color w:val="212529"/>
        </w:rPr>
        <w:t xml:space="preserv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However, our laboratories have continued operations throughout the pandemic mostly without interruption.</w:t>
      </w:r>
    </w:p>
    <w:p>
      <w:pPr>
        <w:spacing w:after="0" w:line="19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212529"/>
        </w:rPr>
        <w:t xml:space="preserve">The impact of the COVID-19 pandemic (including the impact of emerging variant strains of the COVID-19 virus) on our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restrictions on business operations, travel and gatherings by state and federal governments in the United States as well as governments in other regions of the world in response to the COVID-19 pandemic </w:t>
      </w:r>
      <w:r>
        <w:rPr>
          <w:rFonts w:ascii="Arial" w:cs="Arial" w:eastAsia="Arial" w:hAnsi="Arial"/>
          <w:sz w:val="16"/>
          <w:szCs w:val="16"/>
          <w:color w:val="000000"/>
        </w:rPr>
        <w:t>initially</w:t>
      </w:r>
      <w:r>
        <w:rPr>
          <w:rFonts w:ascii="Arial" w:cs="Arial" w:eastAsia="Arial" w:hAnsi="Arial"/>
          <w:sz w:val="16"/>
          <w:szCs w:val="16"/>
          <w:color w:val="212529"/>
        </w:rPr>
        <w:t xml:space="preserve"> </w:t>
      </w:r>
      <w:r>
        <w:rPr>
          <w:rFonts w:ascii="Arial" w:cs="Arial" w:eastAsia="Arial" w:hAnsi="Arial"/>
          <w:sz w:val="16"/>
          <w:szCs w:val="16"/>
          <w:color w:val="000000"/>
        </w:rPr>
        <w:t xml:space="preserve">placed significant strain on our clinical trial sites, raised concerns around monitoring patient safety, slowed patient enrollment and caused delays in the Company’s clinical trials and issuance of results. </w:t>
      </w:r>
      <w:r>
        <w:rPr>
          <w:rFonts w:ascii="Arial" w:cs="Arial" w:eastAsia="Arial" w:hAnsi="Arial"/>
          <w:sz w:val="16"/>
          <w:szCs w:val="16"/>
          <w:color w:val="212529"/>
        </w:rPr>
        <w:t>Any rise of COVID-19 infection</w:t>
      </w:r>
      <w:r>
        <w:rPr>
          <w:rFonts w:ascii="Arial" w:cs="Arial" w:eastAsia="Arial" w:hAnsi="Arial"/>
          <w:sz w:val="16"/>
          <w:szCs w:val="16"/>
          <w:color w:val="000000"/>
        </w:rPr>
        <w:t xml:space="preserve"> </w:t>
      </w:r>
      <w:r>
        <w:rPr>
          <w:rFonts w:ascii="Arial" w:cs="Arial" w:eastAsia="Arial" w:hAnsi="Arial"/>
          <w:sz w:val="16"/>
          <w:szCs w:val="16"/>
          <w:color w:val="212529"/>
        </w:rPr>
        <w:t>rates, especially in the United States, could continue to negatively affect enrollment going forward. We continue to closely monitor the COVID-19 situation and any potential impact to our planned activities.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9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Since commencing operations in 2015, we have devoted substantially all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FIND-IO platform.</w:t>
      </w:r>
    </w:p>
    <w:p>
      <w:pPr>
        <w:spacing w:after="0" w:line="15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not generated any revenue from product sales and only limited revenue from other sources. Our net loss for the three months ended September 30, 2022 and 2021, was $18.9 million and $17.9 million, respectively, and our net loss for the nine months ended September 30, 2022 and 2021, was $57.4 million and $52.5 million, respectively. As of September 30, 2022, we had an accumulated deficit of $244.5 million, primarily as a result of research and development and general and administrative expenses. We do not expect to generate product revenue unless and until we obtain marketing approval and commercialize a product candidate, and we cannot assure you that we will ever generate significant revenue or profits.</w:t>
      </w:r>
    </w:p>
    <w:p>
      <w:pPr>
        <w:spacing w:after="0" w:line="19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have funded our operations to date primarily with proceeds from public offerings of our common stock, with private placements of our preferred stock and with upfront fees received under our former research and development collaboration agreement with Lilly, or the “Lilly Agreement,” which was terminated in March 2020. From our inception through September 30, 2022, we received gross proceeds of $164.4 million through private placements of preferred stock.</w:t>
      </w:r>
    </w:p>
    <w:p>
      <w:pPr>
        <w:spacing w:after="0" w:line="15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We were also eligible for quarterly research and development support payments during a portion of the term of the Lilly Agreement. Effective March 3, 2020, Lilly terminated the Lilly Agreement without cause.</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w:t>
      </w:r>
    </w:p>
    <w:p>
      <w:pPr>
        <w:spacing w:after="0" w:line="187"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total net proceeds to us of approximately $160.9 million, after deducting underwriting discounts and commissions of approximately $10.3 million and offering expenses of approximately $1.0 million.</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of September 30, 2022, we had cash, cash equivalents and marketable securities, excluding restricted cash, of $169.2 million. We believe that our existing cash, cash equivalents and marketable securities will be sufficient to fund our planned operations into mid-2025. We have based this estimate on assumptions that may prove to be incorrect, and we could use our available capital resources sooner than we currently expect.</w:t>
      </w:r>
    </w:p>
    <w:p>
      <w:pPr>
        <w:spacing w:after="0" w:line="17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Phase 1b/2 clinical trial of NC410 in combination with pembrolizumab, our planned Phase 1 clinical trial for NC525, and our ongoing Phase 1/2 clinical trial for NC762, and other research and development activities. We expect to continue to incur significantly increased costs as a result of operating as a public company, including significant legal, accounting, investor relations and other expenses that we did not incur as a private company.</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Revenue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Through September 30, 2022, we have not generated any revenue from product sales.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Operating Expenses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agreements with third parties that conduct research, preclinical activities or clinical trials on our behalf, such as our license agreement with Yale University, or “Yale”;</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stock-based compensation and related travel expenses;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ind w:left="60" w:right="79" w:firstLine="648"/>
        <w:spacing w:after="0" w:line="381" w:lineRule="auto"/>
        <w:rPr>
          <w:sz w:val="20"/>
          <w:szCs w:val="20"/>
          <w:color w:val="auto"/>
        </w:rPr>
      </w:pPr>
      <w:r>
        <w:rPr>
          <w:rFonts w:ascii="Arial" w:cs="Arial" w:eastAsia="Arial" w:hAnsi="Arial"/>
          <w:sz w:val="15"/>
          <w:szCs w:val="15"/>
          <w:color w:val="auto"/>
        </w:rPr>
        <w:t>We expense research and development costs as incurred. Our expenses related to clinical trials are based on actual costs incurred and estimates of other incurred costs. These estimated costs are based on several factors, including patient</w:t>
      </w:r>
    </w:p>
    <w:p>
      <w:pPr>
        <w:sectPr>
          <w:pgSz w:w="11900" w:h="16838" w:orient="portrait"/>
          <w:cols w:equalWidth="0" w:num="1">
            <w:col w:w="9019"/>
          </w:cols>
          <w:pgMar w:left="1440" w:top="517" w:right="1440"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19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continue to increase substantially for the foreseeable future as we advance our product candidates through development and expand the number of trials we are conducting and the patients enrolled in those trials, as we utilize our current good manufacturing practice, or “cGMP”, manufacturing capacity, including to provide drug supply of NC410, NC525 and NC762 for future clinical trials, and as we expand our pipeline through research and development activities related to our FIND-IO platform and discovery programs.</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cannot determine with certainty the duration and costs of future clinical trials of NC410, NC525, NC762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NC410, NC525, NC762 and any other product candidate we may develop will depend on a variety of factors, including:</w:t>
      </w:r>
    </w:p>
    <w:p>
      <w:pPr>
        <w:spacing w:after="0" w:line="192" w:lineRule="exact"/>
        <w:rPr>
          <w:sz w:val="20"/>
          <w:szCs w:val="20"/>
          <w:color w:val="auto"/>
        </w:rPr>
      </w:pPr>
    </w:p>
    <w:p>
      <w:pPr>
        <w:jc w:val="both"/>
        <w:ind w:left="1040" w:right="79" w:hanging="315"/>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scope, progress, results, and costs of clinical trials of NC410, NC525 and NC762, as well as of any future clinical trials of other product candidates and other research and development activities that we may conduct;</w:t>
      </w:r>
    </w:p>
    <w:p>
      <w:pPr>
        <w:spacing w:after="0" w:line="123"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impact of the COVID-19 pandemic, including delays and slowdowns as a result of strain on our clinical trial sites and concerns about patient safety;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 change in the outcome of any of these variables with respect to the development of a product candidate could lead to a significant change in the costs and timing associated with the development of that product candidate. For example, if the U.S. Food and Drug Administration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General and Administrative Expenses</w:t>
      </w:r>
    </w:p>
    <w:p>
      <w:pPr>
        <w:spacing w:after="0" w:line="12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General and administrative expenses consist primarily of personnel 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development expenses. General and administrative expenses also include all patent-related costs incurred in connection with filing and prosecuting patent applications, which are expensed as incurred.</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during the next few years as a result of staff expansion and additional occupancy costs, higher legal and accounting fees, investor relations costs, higher insurance premiums and other compliance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Other Income, Net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net consists primarily of interest income earned on marketable securities.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Comparison of the Three and Nine Months Ended September 30, 2022 and 2021</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13,528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13,597</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41,377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37,928</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(19,239)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(18,508)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(58,138)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(53,694)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(18,911)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(17,930)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(57,433)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(52,450)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summarizes our research and development expenses by product candidate for the periods indicated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39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External research and development expenses: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20"/>
              <w:spacing w:after="0"/>
              <w:rPr>
                <w:sz w:val="20"/>
                <w:szCs w:val="20"/>
                <w:color w:val="auto"/>
              </w:rPr>
            </w:pPr>
            <w:r>
              <w:rPr>
                <w:rFonts w:ascii="Arial" w:cs="Arial" w:eastAsia="Arial" w:hAnsi="Arial"/>
                <w:sz w:val="18"/>
                <w:szCs w:val="18"/>
                <w:color w:val="auto"/>
              </w:rPr>
              <w:t>NC410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4,785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NC762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3940" w:type="dxa"/>
            <w:vAlign w:val="bottom"/>
            <w:gridSpan w:val="2"/>
          </w:tcPr>
          <w:p>
            <w:pPr>
              <w:ind w:left="120"/>
              <w:spacing w:after="0"/>
              <w:rPr>
                <w:sz w:val="20"/>
                <w:szCs w:val="20"/>
                <w:color w:val="auto"/>
              </w:rPr>
            </w:pPr>
            <w:r>
              <w:rPr>
                <w:rFonts w:ascii="Arial" w:cs="Arial" w:eastAsia="Arial" w:hAnsi="Arial"/>
                <w:sz w:val="18"/>
                <w:szCs w:val="18"/>
                <w:color w:val="auto"/>
              </w:rPr>
              <w:t>Other programs and preclinical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15,419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Total external research and development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23,797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21,092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6"/>
              </w:rPr>
              <w:t>Total internal research and development expenses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17,580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16,836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13,528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13,597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41,377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37,928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Research and development expenses for the three months ended September 30, 2022 were comparable to the three months ended September 30, 2021 as higher internal research and development expenses were offset by lower external research and development expenses.</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Research and development expenses for the nine months ended September 30, 2022 increased by $3.4 million compared to the nine months ended September 30, 2021. The increase is a result of $3.4 million higher clinical-related costs, primarily related to NC410.</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General and administrative expenses for the three months ended September 30, 2022 increased by $0.8 million compared to the three months ended September 30, 2021. The increase was primarily due to higher personnel-related costs.</w:t>
      </w:r>
    </w:p>
    <w:p>
      <w:pPr>
        <w:spacing w:after="0" w:line="124"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General and administrative expenses for the nine months ended September 30, 2022 increased $1.0 million compared to the nine months ended September 30, 2021. The increase was primarily due to higher personnel-related costs.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Other income, net for the three months ended September 30, 2022 decreased by $0.3 million compared to the three months ended September 30, 2021, due to lower interest income as a result of lower cash and investments.</w:t>
      </w:r>
    </w:p>
    <w:p>
      <w:pPr>
        <w:spacing w:after="0" w:line="146"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Other income, net for the nine months ended September 30, 2022 decreased by $0.5 million compared to the nine months ended September 30, 2021, due to lower interest income as a result of lower cash and investments.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financed our operations primarily with proceeds from public offerings of our common stock, private placements of our preferred stock and upfront fees received under the Lilly Agreement. On May 13, 2019, we closed our IPO, in which we sold 5,750,000 shares of common stock at a public offering price of $15.00 per share, for net offering proceeds to us of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a public offering price of $36.75.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spacing w:after="0" w:line="17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6, 2021, the Company entered into a sales agreement (the “Sales Agreement”) with SVB Leerink LLC (the “Agent”), pursuant to which the Company may sell, from time to time, up to an aggregate sales price of $75 million of its common stock through the Agent in negotiated transactions that are deemed to be an “at the market offering.” The Agent will be entitled to compensation equal to 3.0% of the gross proceeds from the sale of all shares of common stock sold through it as Agent under the Sales Agreement. Actual sales will depend on a variety of factors to be determined by the Company from time to time, including, among other things, market conditions, the trading price of the common stock, capital needs and determinations by the Company of the appropriate sources of funding for the Company. We have not yet sold any shares of our common stock pursuant to the Sales Agreement.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September 30, 2022, we had cash, cash equivalents and marketable securities, excluding restricted cash, of $169.2 million. We believe that our existing cash, cash equivalents and marketable securities will be sufficient to fund our planned operations into mid-2025.</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If we fail to raise capital or enter into such arrangements as and when needed, we may have to significantly delay, scale back or discontinue the development of our product candidates or delay our efforts to expand our pipeline of product candidates.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175"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Nine Months Ended</w:t>
      </w:r>
    </w:p>
    <w:p>
      <w:pPr>
        <w:ind w:left="73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546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(44,937)</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(43,795)</w:t>
            </w: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47,602</w:t>
            </w:r>
          </w:p>
        </w:tc>
      </w:tr>
      <w:tr>
        <w:trPr>
          <w:trHeight w:val="216"/>
        </w:trPr>
        <w:tc>
          <w:tcPr>
            <w:tcW w:w="5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r>
      <w:tr>
        <w:trPr>
          <w:trHeight w:val="209"/>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in cash, cash equivalents, and restricted cash</w:t>
            </w: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18,713</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0"/>
        </w:trPr>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Net cash used in operating activities was $44.9 million for the nine months ended September 30, 2022, which was primarily due to our net loss of $57.4 million, partially offset by non-cash charges for depreciation and amortization of $3.1 million, amortization of premiums and discounts on marketable securities of $2.6 million and stock-based compensation of $7.2 million. Net cash used in operating activities was $43.8 million for the nine months ended September 30, 2021, which was primarily due to our net loss of $52.5 million, an increase in prepaid expenses of $4.4 million and $1.0 million lower accounts payable, partially offset by non-cash charges for depreciation and amortization of $3.1 million, amortization of premiums and discounts on marketable securities of $2.0 million, stock-based compensation of $7.8 million and $1.1 million higher accrued liabilities and deferred rent.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cash provided by investing activities for the nine months ended September 30, 2022 was $63.5 million, which was primarily due to net proceeds from marketable securities of $64.8 million, partially offset by purchases of property and equipment of $1.3 million. Net cash provided by investing activities for the nine months ended September 30, 2021 was $47.6 million, which was primarily due to net proceeds from marketable securities of $49.1 million, partially offset by purchases of property and equipment of $1.5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Net cash provided by financing activities was $0.1 million for the nine months ended September 30, 2022, which was due to the exercise of stock options and sales of our stock under the Employee Stock Purchase Plan (ESPP). Net cash used in financing activities was $3.4 million for the nine months ended September 30, 2021, which consisted primarily of payments related to a term loan, which was paid in full and closed in August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There have been no material changes to our contractual obligations during the nine months ended September 30, 2022, as compared to those disclosed in our 2021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Significant Judgments and Use of Estimates</w:t>
      </w:r>
    </w:p>
    <w:p>
      <w:pPr>
        <w:spacing w:after="0" w:line="18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from other sources. We evaluate our estimates and assumptions on an ongoing basis. Actual results may differ from these estimates under different assumptions or conditions.</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During the nine months ended September 30, 2022, there were no material changes to our critical accounting policies reported in our 2021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See Note 2 to our unaudited condensed financial statements included elsewhere in this Quarterly Report for a discussion of recent accounting pronouncements that may impact our financial position and results of operations.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an emerging growth company, or “EGC”, under the Jumpstart Our Business Startups Act of 2012, or the “JOBS Act”, we are eligible to take advantage of certain exemptions from various reporting requirements that are applicable to other public companies that are not EGCs.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a “smaller reporting company” as defined by Rule 12b-2 of the Securities Exchange Act of 1934, as amended, or the “Exchange Act”, we are not required to provide the information requested by this Item.</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Exchange Act as of September 30, 2022.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information set forth under the heading “Legal Proceedings” in Note 9, Commitments and Contingencies, in Notes to Condensed Financial Statements in Item 1 of Part I of this Quarterly Report, is incorporated herein by reference. In addition, from time to time, we are involved in litigation or other legal proceedings as part of our ordinary course of business. In the opinion of our management, the ultimate disposition of these legal proceedings in the ordinary course of business is not likely to have a material adverse effect on our business.</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There have been no material updates to the risk factors set forth in our 2021 Annual Report.</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exhibits filed or furnished as part of this Quarterly Report are set forth on the Exhibit Index, below.</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520" w:type="dxa"/>
            <w:vAlign w:val="bottom"/>
            <w:gridSpan w:val="6"/>
          </w:tcPr>
          <w:p>
            <w:pPr>
              <w:spacing w:after="0"/>
              <w:rPr>
                <w:sz w:val="20"/>
                <w:szCs w:val="20"/>
                <w:color w:val="auto"/>
              </w:rPr>
            </w:pPr>
            <w:r>
              <w:rPr>
                <w:rFonts w:ascii="Arial" w:cs="Arial" w:eastAsia="Arial" w:hAnsi="Arial"/>
                <w:sz w:val="18"/>
                <w:szCs w:val="18"/>
                <w:color w:val="auto"/>
              </w:rPr>
              <w:t>Exhibit Description</w:t>
            </w:r>
          </w:p>
        </w:tc>
      </w:tr>
      <w:tr>
        <w:trPr>
          <w:trHeight w:val="385"/>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5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0000EE"/>
                <w:w w:val="96"/>
              </w:rPr>
              <w:t>Certification of Michael Richman pursuant to Rule 13a-14(a) under the Securities Exchange Act of</w:t>
            </w: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1934 as adopted pursuant to Section 302 of the Sarbanes-Oxley Act of 2002.</w:t>
            </w:r>
          </w:p>
        </w:tc>
        <w:tc>
          <w:tcPr>
            <w:tcW w:w="380" w:type="dxa"/>
            <w:vAlign w:val="bottom"/>
            <w:gridSpan w:val="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2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Certification of Steven P. Cobourn pursuant to Rule 13a-14(a) under the Securities Exchange Act of</w:t>
            </w:r>
          </w:p>
        </w:tc>
        <w:tc>
          <w:tcPr>
            <w:tcW w:w="3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6"/>
          </w:tcPr>
          <w:p>
            <w:pPr>
              <w:spacing w:after="0" w:line="196" w:lineRule="exact"/>
              <w:rPr>
                <w:sz w:val="20"/>
                <w:szCs w:val="20"/>
                <w:color w:val="auto"/>
              </w:rPr>
            </w:pPr>
            <w:r>
              <w:rPr>
                <w:rFonts w:ascii="Arial" w:cs="Arial" w:eastAsia="Arial" w:hAnsi="Arial"/>
                <w:sz w:val="18"/>
                <w:szCs w:val="18"/>
                <w:color w:val="0000EE"/>
              </w:rPr>
              <w:t>1934 as adopted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69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 of Michael Richman and Steven P. Cobourn pursuant to 18 U.S.C. Section 1350 as</w:t>
            </w:r>
          </w:p>
        </w:tc>
        <w:tc>
          <w:tcPr>
            <w:tcW w:w="60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6"/>
          </w:tcPr>
          <w:p>
            <w:pPr>
              <w:spacing w:after="0" w:line="196" w:lineRule="exact"/>
              <w:rPr>
                <w:sz w:val="20"/>
                <w:szCs w:val="20"/>
                <w:color w:val="auto"/>
              </w:rPr>
            </w:pPr>
            <w:r>
              <w:rPr>
                <w:rFonts w:ascii="Arial" w:cs="Arial" w:eastAsia="Arial" w:hAnsi="Arial"/>
                <w:sz w:val="18"/>
                <w:szCs w:val="18"/>
                <w:color w:val="0000EE"/>
              </w:rPr>
              <w:t>adopted pursuant to Section 906 of the Sarbanes-Oxley Act of 2002.</w:t>
            </w: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EX-101.INS</w:t>
            </w:r>
          </w:p>
        </w:tc>
        <w:tc>
          <w:tcPr>
            <w:tcW w:w="49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2600" w:type="dxa"/>
            <w:vAlign w:val="bottom"/>
            <w:gridSpan w:val="5"/>
          </w:tcPr>
          <w:p>
            <w:pPr>
              <w:spacing w:after="0"/>
              <w:rPr>
                <w:sz w:val="24"/>
                <w:szCs w:val="24"/>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EX-101.SCH</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EX-101.CAL</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EX-101.DEF</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EX-101.LAB</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EX-101.PRE</w:t>
            </w:r>
          </w:p>
        </w:tc>
        <w:tc>
          <w:tcPr>
            <w:tcW w:w="75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440" w:hanging="1384"/>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Coverage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-730250</wp:posOffset>
            </wp:positionV>
            <wp:extent cx="141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760" w:type="dxa"/>
            <w:vAlign w:val="bottom"/>
            <w:gridSpan w:val="2"/>
          </w:tcPr>
          <w:p>
            <w:pPr>
              <w:ind w:left="1360"/>
              <w:spacing w:after="0"/>
              <w:rPr>
                <w:sz w:val="20"/>
                <w:szCs w:val="20"/>
                <w:color w:val="auto"/>
              </w:rPr>
            </w:pPr>
            <w:r>
              <w:rPr>
                <w:rFonts w:ascii="Arial" w:cs="Arial" w:eastAsia="Arial" w:hAnsi="Arial"/>
                <w:sz w:val="18"/>
                <w:szCs w:val="18"/>
                <w:b w:val="1"/>
                <w:bCs w:val="1"/>
                <w:color w:val="auto"/>
              </w:rPr>
              <w:t>NEXTCURE, INC.</w:t>
            </w:r>
          </w:p>
        </w:tc>
      </w:tr>
      <w:tr>
        <w:trPr>
          <w:trHeight w:val="466"/>
        </w:trPr>
        <w:tc>
          <w:tcPr>
            <w:tcW w:w="3140" w:type="dxa"/>
            <w:vAlign w:val="bottom"/>
          </w:tcPr>
          <w:p>
            <w:pPr>
              <w:spacing w:after="0"/>
              <w:rPr>
                <w:sz w:val="20"/>
                <w:szCs w:val="20"/>
                <w:color w:val="auto"/>
              </w:rPr>
            </w:pPr>
            <w:r>
              <w:rPr>
                <w:rFonts w:ascii="Arial" w:cs="Arial" w:eastAsia="Arial" w:hAnsi="Arial"/>
                <w:sz w:val="18"/>
                <w:szCs w:val="18"/>
                <w:color w:val="auto"/>
              </w:rPr>
              <w:t>Date: November 3, 2022</w:t>
            </w:r>
          </w:p>
        </w:tc>
        <w:tc>
          <w:tcPr>
            <w:tcW w:w="1840" w:type="dxa"/>
            <w:vAlign w:val="bottom"/>
          </w:tcPr>
          <w:p>
            <w:pPr>
              <w:ind w:left="13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r>
      <w:tr>
        <w:trPr>
          <w:trHeight w:val="215"/>
        </w:trPr>
        <w:tc>
          <w:tcPr>
            <w:tcW w:w="3140" w:type="dxa"/>
            <w:vAlign w:val="bottom"/>
          </w:tcPr>
          <w:p>
            <w:pPr>
              <w:spacing w:after="0"/>
              <w:rPr>
                <w:sz w:val="18"/>
                <w:szCs w:val="18"/>
                <w:color w:val="auto"/>
              </w:rPr>
            </w:pPr>
          </w:p>
        </w:tc>
        <w:tc>
          <w:tcPr>
            <w:tcW w:w="5760" w:type="dxa"/>
            <w:vAlign w:val="bottom"/>
            <w:gridSpan w:val="2"/>
          </w:tcPr>
          <w:p>
            <w:pPr>
              <w:ind w:left="1360"/>
              <w:spacing w:after="0"/>
              <w:rPr>
                <w:sz w:val="20"/>
                <w:szCs w:val="20"/>
                <w:color w:val="auto"/>
              </w:rPr>
            </w:pPr>
            <w:r>
              <w:rPr>
                <w:rFonts w:ascii="Arial" w:cs="Arial" w:eastAsia="Arial" w:hAnsi="Arial"/>
                <w:sz w:val="18"/>
                <w:szCs w:val="18"/>
                <w:color w:val="auto"/>
              </w:rPr>
              <w:t>Name:Michael Richman</w:t>
            </w:r>
          </w:p>
        </w:tc>
      </w:tr>
      <w:tr>
        <w:trPr>
          <w:trHeight w:val="230"/>
        </w:trPr>
        <w:tc>
          <w:tcPr>
            <w:tcW w:w="3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72"/>
        </w:trPr>
        <w:tc>
          <w:tcPr>
            <w:tcW w:w="3140" w:type="dxa"/>
            <w:vAlign w:val="bottom"/>
          </w:tcPr>
          <w:p>
            <w:pPr>
              <w:spacing w:after="0"/>
              <w:rPr>
                <w:sz w:val="20"/>
                <w:szCs w:val="20"/>
                <w:color w:val="auto"/>
              </w:rPr>
            </w:pPr>
            <w:r>
              <w:rPr>
                <w:rFonts w:ascii="Arial" w:cs="Arial" w:eastAsia="Arial" w:hAnsi="Arial"/>
                <w:sz w:val="18"/>
                <w:szCs w:val="18"/>
                <w:color w:val="auto"/>
              </w:rPr>
              <w:t>Date: November 3, 2022</w:t>
            </w:r>
          </w:p>
        </w:tc>
        <w:tc>
          <w:tcPr>
            <w:tcW w:w="1840" w:type="dxa"/>
            <w:vAlign w:val="bottom"/>
          </w:tcPr>
          <w:p>
            <w:pPr>
              <w:ind w:left="13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r>
      <w:tr>
        <w:trPr>
          <w:trHeight w:val="209"/>
        </w:trPr>
        <w:tc>
          <w:tcPr>
            <w:tcW w:w="3140" w:type="dxa"/>
            <w:vAlign w:val="bottom"/>
          </w:tcPr>
          <w:p>
            <w:pPr>
              <w:spacing w:after="0"/>
              <w:rPr>
                <w:sz w:val="18"/>
                <w:szCs w:val="18"/>
                <w:color w:val="auto"/>
              </w:rPr>
            </w:pPr>
          </w:p>
        </w:tc>
        <w:tc>
          <w:tcPr>
            <w:tcW w:w="5760" w:type="dxa"/>
            <w:vAlign w:val="bottom"/>
            <w:gridSpan w:val="2"/>
          </w:tcPr>
          <w:p>
            <w:pPr>
              <w:ind w:left="1360"/>
              <w:spacing w:after="0"/>
              <w:rPr>
                <w:sz w:val="20"/>
                <w:szCs w:val="20"/>
                <w:color w:val="auto"/>
              </w:rPr>
            </w:pPr>
            <w:r>
              <w:rPr>
                <w:rFonts w:ascii="Arial" w:cs="Arial" w:eastAsia="Arial" w:hAnsi="Arial"/>
                <w:sz w:val="18"/>
                <w:szCs w:val="18"/>
                <w:color w:val="auto"/>
              </w:rPr>
              <w:t>Name:Steven P. Cobourn</w:t>
            </w:r>
          </w:p>
        </w:tc>
      </w:tr>
      <w:tr>
        <w:trPr>
          <w:trHeight w:val="230"/>
        </w:trPr>
        <w:tc>
          <w:tcPr>
            <w:tcW w:w="3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spacing w:after="0" w:line="311" w:lineRule="auto"/>
        <w:tabs>
          <w:tab w:leader="none" w:pos="131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00"/>
        <w:spacing w:after="0" w:line="311" w:lineRule="auto"/>
        <w:tabs>
          <w:tab w:leader="none" w:pos="132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spacing w:after="0" w:line="263"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25"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spacing w:after="0" w:line="311" w:lineRule="auto"/>
        <w:tabs>
          <w:tab w:leader="none" w:pos="131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00"/>
        <w:spacing w:after="0" w:line="311" w:lineRule="auto"/>
        <w:tabs>
          <w:tab w:leader="none" w:pos="132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spacing w:after="0" w:line="263" w:lineRule="auto"/>
        <w:tabs>
          <w:tab w:leader="none" w:pos="13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2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connection with the Quarterly Report on Form 10-Q of NextCure, Inc. (the “Company”) for the quarter ended September 30, 2022,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44"/>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60" w:hanging="324"/>
        <w:spacing w:after="0" w:line="277" w:lineRule="auto"/>
        <w:tabs>
          <w:tab w:leader="none" w:pos="10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2022-11-03T17:03:56Z</dcterms:created>
  <dcterms:modified xsi:type="dcterms:W3CDTF">2022-11-03T17:03:56Z</dcterms:modified>
</cp:coreProperties>
</file>