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134620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1" w:lineRule="exact"/>
        <w:rPr>
          <w:sz w:val="24"/>
          <w:szCs w:val="24"/>
          <w:color w:val="auto"/>
        </w:rPr>
      </w:pPr>
    </w:p>
    <w:p>
      <w:pPr>
        <w:ind w:left="640" w:hanging="403"/>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ind w:left="640" w:hanging="403"/>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20"/>
          </w:cols>
          <w:pgMar w:left="840" w:top="665" w:right="839" w:bottom="1440" w:gutter="0" w:footer="0" w:header="0"/>
        </w:sectPr>
      </w:pPr>
    </w:p>
    <w:p>
      <w:pPr>
        <w:spacing w:after="0" w:line="235"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260" w:space="720"/>
            <w:col w:w="120" w:space="680"/>
            <w:col w:w="3440"/>
          </w:cols>
          <w:pgMar w:left="840" w:top="665" w:right="8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3" w:lineRule="exact"/>
        <w:rPr>
          <w:sz w:val="24"/>
          <w:szCs w:val="24"/>
          <w:color w:val="auto"/>
        </w:rPr>
      </w:pPr>
    </w:p>
    <w:tbl>
      <w:tblPr>
        <w:tblLayout w:type="fixed"/>
        <w:tblInd w:w="840" w:type="dxa"/>
        <w:tblCellMar>
          <w:top w:w="0" w:type="dxa"/>
          <w:left w:w="0" w:type="dxa"/>
          <w:bottom w:w="0" w:type="dxa"/>
          <w:right w:w="0" w:type="dxa"/>
        </w:tblCellMar>
      </w:tblPr>
      <w:tr>
        <w:trPr>
          <w:trHeight w:val="180"/>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08"/>
              <w:spacing w:after="0"/>
              <w:rPr>
                <w:sz w:val="20"/>
                <w:szCs w:val="20"/>
                <w:color w:val="auto"/>
              </w:rPr>
            </w:pPr>
            <w:r>
              <w:rPr>
                <w:rFonts w:ascii="Arial" w:cs="Arial" w:eastAsia="Arial" w:hAnsi="Arial"/>
                <w:sz w:val="14"/>
                <w:szCs w:val="14"/>
                <w:b w:val="1"/>
                <w:bCs w:val="1"/>
                <w:color w:val="auto"/>
              </w:rPr>
              <w:t>47-5231247</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46"/>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260" w:type="dxa"/>
            <w:vAlign w:val="bottom"/>
          </w:tcPr>
          <w:p>
            <w:pPr>
              <w:spacing w:after="0"/>
              <w:rPr>
                <w:sz w:val="21"/>
                <w:szCs w:val="21"/>
                <w:color w:val="auto"/>
              </w:rPr>
            </w:pPr>
          </w:p>
        </w:tc>
      </w:tr>
      <w:tr>
        <w:trPr>
          <w:trHeight w:val="180"/>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6"/>
              </w:rPr>
              <w:t>Beltsville, Maryland</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20705</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7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71"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type w:val="continuous"/>
        </w:sectPr>
      </w:pPr>
    </w:p>
    <w:p>
      <w:pPr>
        <w:spacing w:after="0" w:line="25"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5"/>
          <w:szCs w:val="15"/>
          <w:color w:val="auto"/>
        </w:rPr>
        <w:t>☐</w:t>
      </w:r>
    </w:p>
    <w:p>
      <w:pPr>
        <w:spacing w:after="0" w:line="108"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7520" w:space="720"/>
            <w:col w:w="1980"/>
          </w:cols>
          <w:pgMar w:left="840" w:top="665" w:right="839" w:bottom="1440" w:gutter="0" w:footer="0" w:header="0"/>
          <w:type w:val="continuous"/>
        </w:sectPr>
      </w:pPr>
    </w:p>
    <w:p>
      <w:pPr>
        <w:ind w:right="20" w:firstLine="648"/>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November 3, 2021, the registrant had 27,626,227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918210</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6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360" w:type="dxa"/>
            <w:vAlign w:val="bottom"/>
            <w:gridSpan w:val="9"/>
            <w:vMerge w:val="restart"/>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060" w:type="dxa"/>
            <w:vAlign w:val="bottom"/>
            <w:tcBorders>
              <w:bottom w:val="single" w:sz="8" w:color="0000EE"/>
            </w:tcBorders>
            <w:gridSpan w:val="13"/>
            <w:vMerge w:val="continue"/>
          </w:tcPr>
          <w:p>
            <w:pPr>
              <w:spacing w:after="0"/>
              <w:rPr>
                <w:sz w:val="13"/>
                <w:szCs w:val="13"/>
                <w:color w:val="auto"/>
              </w:rPr>
            </w:pPr>
          </w:p>
        </w:tc>
        <w:tc>
          <w:tcPr>
            <w:tcW w:w="5360" w:type="dxa"/>
            <w:vAlign w:val="bottom"/>
            <w:gridSpan w:val="9"/>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September 30, 2021 (unaudited) and December 31, 2020</w:t>
              </w:r>
            </w:hyperlink>
          </w:p>
        </w:tc>
        <w:tc>
          <w:tcPr>
            <w:tcW w:w="122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Statements of Operations and Comprehensive Loss for the Three and Nine Months</w:t>
              </w:r>
            </w:hyperlink>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Ended September 30, 2021 and 2020</w:t>
              </w:r>
            </w:hyperlink>
          </w:p>
        </w:tc>
        <w:tc>
          <w:tcPr>
            <w:tcW w:w="50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Statements of Stockholders’ Equity for the Nine Months Ended September 30,</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4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Statements of Cash Flows for the Nine Months Ended September 30, 2021 and</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Financial Statements</w:t>
              </w:r>
            </w:hyperlink>
          </w:p>
        </w:tc>
        <w:tc>
          <w:tcPr>
            <w:tcW w:w="388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78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SIGNATURES</w:t>
              </w:r>
            </w:hyperlink>
          </w:p>
        </w:tc>
        <w:tc>
          <w:tcPr>
            <w:tcW w:w="732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36,664</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32,772</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198,672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250,676</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243,036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287,978</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15,809</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r>
      <w:tr>
        <w:trPr>
          <w:trHeight w:val="23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183"/>
        </w:trPr>
        <w:tc>
          <w:tcPr>
            <w:tcW w:w="666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4,627</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Term loan,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196"/>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7,376</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10,325</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Deferred rent, net of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net of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9,599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12,923</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3"/>
        </w:trPr>
        <w:tc>
          <w:tcPr>
            <w:tcW w:w="6660" w:type="dxa"/>
            <w:vAlign w:val="bottom"/>
          </w:tcPr>
          <w:p>
            <w:pPr>
              <w:ind w:left="100"/>
              <w:spacing w:after="0"/>
              <w:rPr>
                <w:sz w:val="20"/>
                <w:szCs w:val="20"/>
                <w:color w:val="auto"/>
              </w:rPr>
            </w:pPr>
            <w:r>
              <w:rPr>
                <w:rFonts w:ascii="Arial" w:cs="Arial" w:eastAsia="Arial" w:hAnsi="Arial"/>
                <w:sz w:val="16"/>
                <w:szCs w:val="16"/>
                <w:color w:val="auto"/>
                <w:w w:val="91"/>
              </w:rPr>
              <w:t>Preferred stock, par value of $0.001 per share; 10,000,000 shares authorized at September 30, 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and December 31, 2020; no shares issued and outstanding at September 30, 2021 and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6660" w:type="dxa"/>
            <w:vAlign w:val="bottom"/>
          </w:tcPr>
          <w:p>
            <w:pPr>
              <w:ind w:left="100"/>
              <w:spacing w:after="0"/>
              <w:rPr>
                <w:sz w:val="20"/>
                <w:szCs w:val="20"/>
                <w:color w:val="auto"/>
              </w:rPr>
            </w:pPr>
            <w:r>
              <w:rPr>
                <w:rFonts w:ascii="Arial" w:cs="Arial" w:eastAsia="Arial" w:hAnsi="Arial"/>
                <w:sz w:val="16"/>
                <w:szCs w:val="16"/>
                <w:color w:val="auto"/>
              </w:rPr>
              <w:t>December 31, 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par value of $0.001 per share; 100,000,000 shares authorized at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September 30, 2021 and December 31, 2020; 27,619,763 and 27,568,802 shares issued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2"/>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at September 30, 2021 and December 31, 2020, respectively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418,414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410,551</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 income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(170,087)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(117,637)</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293,721</w:t>
            </w: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257,825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 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w w:val="92"/>
              </w:rPr>
              <w:t>Revenue from former research and development arrangement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(53,694)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(52,450)</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20"/>
              <w:spacing w:after="0"/>
              <w:rPr>
                <w:sz w:val="20"/>
                <w:szCs w:val="20"/>
                <w:color w:val="auto"/>
              </w:rPr>
            </w:pPr>
            <w:r>
              <w:rPr>
                <w:rFonts w:ascii="Arial" w:cs="Arial" w:eastAsia="Arial" w:hAnsi="Arial"/>
                <w:sz w:val="18"/>
                <w:szCs w:val="18"/>
                <w:color w:val="auto"/>
              </w:rPr>
              <w:t>Loss per share -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shares outstanding - basic and diluted</w:t>
            </w: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27,615,038</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27,547,737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27,607,685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27,524,350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8"/>
          </w:tcPr>
          <w:p>
            <w:pPr>
              <w:jc w:val="center"/>
              <w:ind w:right="860"/>
              <w:spacing w:after="0"/>
              <w:rPr>
                <w:sz w:val="20"/>
                <w:szCs w:val="20"/>
                <w:color w:val="auto"/>
              </w:rPr>
            </w:pPr>
            <w:r>
              <w:rPr>
                <w:rFonts w:ascii="Arial" w:cs="Arial" w:eastAsia="Arial" w:hAnsi="Arial"/>
                <w:sz w:val="13"/>
                <w:szCs w:val="13"/>
                <w:b w:val="1"/>
                <w:bCs w:val="1"/>
                <w:color w:val="auto"/>
                <w:w w:val="87"/>
              </w:rPr>
              <w:t>Nine Months Ended September 30, 2021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63"/>
        </w:trPr>
        <w:tc>
          <w:tcPr>
            <w:tcW w:w="30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3"/>
                <w:szCs w:val="13"/>
                <w:b w:val="1"/>
                <w:bCs w:val="1"/>
                <w:color w:val="auto"/>
                <w:w w:val="86"/>
              </w:rPr>
              <w:t>Stockholders’ Equity</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10"/>
        </w:trPr>
        <w:tc>
          <w:tcPr>
            <w:tcW w:w="3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9"/>
                <w:szCs w:val="9"/>
                <w:color w:val="auto"/>
              </w:rPr>
            </w:pPr>
          </w:p>
        </w:tc>
        <w:tc>
          <w:tcPr>
            <w:tcW w:w="11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7"/>
              </w:rPr>
              <w:t>Accumulated Other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53"/>
        </w:trPr>
        <w:tc>
          <w:tcPr>
            <w:tcW w:w="30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Stockholders’</w:t>
            </w:r>
          </w:p>
        </w:tc>
      </w:tr>
      <w:tr>
        <w:trPr>
          <w:trHeight w:val="128"/>
        </w:trPr>
        <w:tc>
          <w:tcPr>
            <w:tcW w:w="3060" w:type="dxa"/>
            <w:vAlign w:val="bottom"/>
          </w:tcPr>
          <w:p>
            <w:pPr>
              <w:spacing w:after="0"/>
              <w:rPr>
                <w:sz w:val="11"/>
                <w:szCs w:val="11"/>
                <w:color w:val="auto"/>
              </w:rPr>
            </w:pPr>
          </w:p>
        </w:tc>
        <w:tc>
          <w:tcPr>
            <w:tcW w:w="74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27,568,802</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410,551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(117,637)</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293,721</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35,615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r>
      <w:tr>
        <w:trPr>
          <w:trHeight w:val="128"/>
        </w:trPr>
        <w:tc>
          <w:tcPr>
            <w:tcW w:w="3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2021</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27,604,417</w:t>
            </w: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413,122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(134,170)</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279,159</w:t>
            </w:r>
          </w:p>
        </w:tc>
      </w:tr>
      <w:tr>
        <w:trPr>
          <w:trHeight w:val="128"/>
        </w:trPr>
        <w:tc>
          <w:tcPr>
            <w:tcW w:w="306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2,787</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7,138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r>
      <w:tr>
        <w:trPr>
          <w:trHeight w:val="135"/>
        </w:trPr>
        <w:tc>
          <w:tcPr>
            <w:tcW w:w="306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(17,987)</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(17,987)</w:t>
            </w:r>
          </w:p>
        </w:tc>
      </w:tr>
      <w:tr>
        <w:trPr>
          <w:trHeight w:val="128"/>
        </w:trPr>
        <w:tc>
          <w:tcPr>
            <w:tcW w:w="3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2021</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27,611,555</w:t>
            </w:r>
          </w:p>
        </w:tc>
        <w:tc>
          <w:tcPr>
            <w:tcW w:w="1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415,922</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(152,157)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263,598</w:t>
            </w:r>
          </w:p>
        </w:tc>
      </w:tr>
      <w:tr>
        <w:trPr>
          <w:trHeight w:val="129"/>
        </w:trPr>
        <w:tc>
          <w:tcPr>
            <w:tcW w:w="3060" w:type="dxa"/>
            <w:vAlign w:val="bottom"/>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2,483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2,483</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8,208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3"/>
              </w:rPr>
              <w:t>Unrealized gain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(17,930)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(17,930)</w:t>
            </w:r>
          </w:p>
        </w:tc>
      </w:tr>
      <w:tr>
        <w:trPr>
          <w:trHeight w:val="128"/>
        </w:trPr>
        <w:tc>
          <w:tcPr>
            <w:tcW w:w="3060" w:type="dxa"/>
            <w:vAlign w:val="bottom"/>
          </w:tcPr>
          <w:p>
            <w:pPr>
              <w:spacing w:after="0" w:line="129" w:lineRule="exact"/>
              <w:rPr>
                <w:sz w:val="20"/>
                <w:szCs w:val="20"/>
                <w:color w:val="auto"/>
              </w:rPr>
            </w:pPr>
            <w:r>
              <w:rPr>
                <w:rFonts w:ascii="Arial" w:cs="Arial" w:eastAsia="Arial" w:hAnsi="Arial"/>
                <w:sz w:val="13"/>
                <w:szCs w:val="13"/>
                <w:color w:val="auto"/>
              </w:rPr>
              <w:t>Balance as of September 30, 2021</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27,619,763</w:t>
            </w: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418,414</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(129)</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(170,087)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248,226</w:t>
            </w:r>
          </w:p>
        </w:tc>
      </w:tr>
      <w:tr>
        <w:trPr>
          <w:trHeight w:val="20"/>
        </w:trPr>
        <w:tc>
          <w:tcPr>
            <w:tcW w:w="3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30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8"/>
          </w:tcPr>
          <w:p>
            <w:pPr>
              <w:jc w:val="center"/>
              <w:ind w:right="860"/>
              <w:spacing w:after="0"/>
              <w:rPr>
                <w:sz w:val="20"/>
                <w:szCs w:val="20"/>
                <w:color w:val="auto"/>
              </w:rPr>
            </w:pPr>
            <w:r>
              <w:rPr>
                <w:rFonts w:ascii="Arial" w:cs="Arial" w:eastAsia="Arial" w:hAnsi="Arial"/>
                <w:sz w:val="13"/>
                <w:szCs w:val="13"/>
                <w:b w:val="1"/>
                <w:bCs w:val="1"/>
                <w:color w:val="auto"/>
                <w:w w:val="87"/>
              </w:rPr>
              <w:t>Nine Months Ended September 30, 2020</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63"/>
        </w:trPr>
        <w:tc>
          <w:tcPr>
            <w:tcW w:w="30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left="197"/>
              <w:spacing w:after="0"/>
              <w:rPr>
                <w:sz w:val="20"/>
                <w:szCs w:val="20"/>
                <w:color w:val="auto"/>
              </w:rPr>
            </w:pPr>
            <w:r>
              <w:rPr>
                <w:rFonts w:ascii="Arial" w:cs="Arial" w:eastAsia="Arial" w:hAnsi="Arial"/>
                <w:sz w:val="13"/>
                <w:szCs w:val="13"/>
                <w:b w:val="1"/>
                <w:bCs w:val="1"/>
                <w:color w:val="auto"/>
                <w:w w:val="88"/>
              </w:rPr>
              <w:t>Stockholders’ Equity</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10"/>
        </w:trPr>
        <w:tc>
          <w:tcPr>
            <w:tcW w:w="3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9"/>
                <w:szCs w:val="9"/>
                <w:color w:val="auto"/>
              </w:rPr>
            </w:pPr>
          </w:p>
        </w:tc>
        <w:tc>
          <w:tcPr>
            <w:tcW w:w="11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7"/>
              </w:rPr>
              <w:t>Accumulated Other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53"/>
        </w:trPr>
        <w:tc>
          <w:tcPr>
            <w:tcW w:w="30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Stockholders’</w:t>
            </w:r>
          </w:p>
        </w:tc>
      </w:tr>
      <w:tr>
        <w:trPr>
          <w:trHeight w:val="129"/>
        </w:trPr>
        <w:tc>
          <w:tcPr>
            <w:tcW w:w="3060" w:type="dxa"/>
            <w:vAlign w:val="bottom"/>
          </w:tcPr>
          <w:p>
            <w:pPr>
              <w:spacing w:after="0"/>
              <w:rPr>
                <w:sz w:val="11"/>
                <w:szCs w:val="11"/>
                <w:color w:val="auto"/>
              </w:rPr>
            </w:pPr>
          </w:p>
        </w:tc>
        <w:tc>
          <w:tcPr>
            <w:tcW w:w="74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27,499,260</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402,529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(81,034)</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321,484</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17,142</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(505)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(505)</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r>
      <w:tr>
        <w:trPr>
          <w:trHeight w:val="128"/>
        </w:trPr>
        <w:tc>
          <w:tcPr>
            <w:tcW w:w="3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2020</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27,516,402</w:t>
            </w: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403,573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(71,301)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331,757</w:t>
            </w:r>
          </w:p>
        </w:tc>
      </w:tr>
      <w:tr>
        <w:trPr>
          <w:trHeight w:val="129"/>
        </w:trPr>
        <w:tc>
          <w:tcPr>
            <w:tcW w:w="306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2,187</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4,248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Unrealized gain on marketable securities, net of tax $0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2,478</w:t>
            </w:r>
          </w:p>
        </w:tc>
      </w:tr>
      <w:tr>
        <w:trPr>
          <w:trHeight w:val="135"/>
        </w:trPr>
        <w:tc>
          <w:tcPr>
            <w:tcW w:w="306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(14,508)</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(14,508)</w:t>
            </w:r>
          </w:p>
        </w:tc>
      </w:tr>
      <w:tr>
        <w:trPr>
          <w:trHeight w:val="128"/>
        </w:trPr>
        <w:tc>
          <w:tcPr>
            <w:tcW w:w="3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2020</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27,520,650</w:t>
            </w:r>
          </w:p>
        </w:tc>
        <w:tc>
          <w:tcPr>
            <w:tcW w:w="1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405,763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(85,809)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321,917</w:t>
            </w:r>
          </w:p>
        </w:tc>
      </w:tr>
      <w:tr>
        <w:trPr>
          <w:trHeight w:val="128"/>
        </w:trPr>
        <w:tc>
          <w:tcPr>
            <w:tcW w:w="3060" w:type="dxa"/>
            <w:vAlign w:val="bottom"/>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2,372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2,372</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32,439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w:t>
            </w: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(637)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(637)</w:t>
            </w: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(16,367)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(16,367)</w:t>
            </w: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3"/>
                <w:szCs w:val="13"/>
                <w:color w:val="auto"/>
              </w:rPr>
              <w:t>Balance as of September 30, 2020</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27,553,089</w:t>
            </w: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408,189</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1,298</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(102,176)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307,339</w:t>
            </w:r>
          </w:p>
        </w:tc>
      </w:tr>
      <w:tr>
        <w:trPr>
          <w:trHeight w:val="20"/>
        </w:trPr>
        <w:tc>
          <w:tcPr>
            <w:tcW w:w="3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thousands)</w:t>
      </w:r>
    </w:p>
    <w:p>
      <w:pPr>
        <w:spacing w:after="0" w:line="216"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Nine Months Ended</w:t>
      </w:r>
    </w:p>
    <w:p>
      <w:pPr>
        <w:ind w:left="74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(52,450)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Depreciation, amortization and other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Maturities of marketable securities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171,037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investing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Payments of the term loan</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for income taxes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has not generated any revenue to date from product sales and does not expect to generate any revenues from product sales in the foreseeable future. Through September 30, 2021, the Company has funded its operations primarily with proceeds from public offerings of its common stock, private placements of its preferred stock and upfront fees received under the Company’s former agreement with Eli Lilly and Company, which was terminated in March 2020 (see Note 6). The Company expects to incur additional operating losses and negative operating cash flows for the foreseeable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March 2020, the World Health Organization declared the novel coronavirus disease 2019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the Company’s laboratories have continued operations throughout the pandemic mostly without interruption.</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has placed significant strain on the Company’s clinical trial sites, has raised concerns around monitoring patient safety, and has caused enrollment to slow in the Company’s clinical trials. Any rise of COVID-19 infection rates, especially in the United States, could continue to negatively affect enrollment going forward. The Company continues to closely monitor the COVID-19 situation and any potential impact to the Company’s planned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the significant accounting policies previously disclosed in the Company’s Annual Report on Form 10-K for the year ended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unaudited condensed financial statements include the accounts of NextCure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Company’s Annual Report on Form 10-K for the fiscal year ended December 31, 2020 (the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19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February 2016, the Financial Accounting Standards Board (“FASB”) issued ASU 2016-02 (Topic 842), Leases (“ASC 842”). ASC 842 supersedes the lease recognition requirements in ASC 840, Leases. ASC 842 clarifies the definition of a lease and requires lessees to recognize right-of-use assets and lease liabilities for all leases, including those classified as operating leases under previous lease accounting guidance. For public entities, ASC 842 was effective for fiscal years beginning after December 15, 2018, including interim periods within that year. As a result of the Company having elected the extended transition period for complying with new or revised accounting standards pursuant to Section 107(b) of the JOBS Act, ASC 842 will be effective for the Company on January 1, 2022. Originally, entities were required to adopt ASC 842 using a modified retrospective transition method. However, in July 2018, the FASB issued ASU 2018-11 (Topic 842), Leases: Targeted Improvements, which provides entities with an additional transition method. Under ASU 2018-11, entities have the option of initially applying ASC 842 at the adoption date, rather than at the beginning of the earliest period presented and recognizing the cumulative effect of applying the new standard as an adjustment to beginning retained earnings in the year of adoption while continuing to present all prior periods under previous lease accounting guidance.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is currently evaluating the impact of adopting this guidance on the Company’s financial statements. The Company currently expects that its operating lease commitments will be subject to the new standard and recognized as right-of-use assets and operating lease liabilities upon adoption of this standard, which will increase the total assets and total liabilities that it reports relative to such amounts presented prior to adoption.</w:t>
      </w:r>
    </w:p>
    <w:p>
      <w:pPr>
        <w:spacing w:after="0" w:line="17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The Company adopted this standard early, effective January 1, 2021. The adoption of this standard did not have a material impact on the Company’s financial statements.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Restricted Cash</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August 2021, the Company fully paid the remaining principal balance of $2.4 million of its $5.0 million term loan (the “Term Loan”). As a result of this payment, the Company has no restricted cash held in support of the Term Loan. The required Term Loan reserve totaled $0 and $3.5 million as of September 30, 2021 and December 31, 2020, respectively. These amounts are presented in part as restricted cash and in part as other assets on the accompanying condensed balance sheets.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condensed statement of cash flows: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10"/>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32,772</w:t>
            </w:r>
          </w:p>
        </w:tc>
      </w:tr>
      <w:tr>
        <w:trPr>
          <w:trHeight w:val="202"/>
        </w:trPr>
        <w:tc>
          <w:tcPr>
            <w:tcW w:w="6780" w:type="dxa"/>
            <w:vAlign w:val="bottom"/>
          </w:tcPr>
          <w:p>
            <w:pPr>
              <w:ind w:left="20"/>
              <w:spacing w:after="0" w:line="201" w:lineRule="exact"/>
              <w:rPr>
                <w:sz w:val="20"/>
                <w:szCs w:val="20"/>
                <w:color w:val="auto"/>
              </w:rPr>
            </w:pPr>
            <w:r>
              <w:rPr>
                <w:rFonts w:ascii="Arial" w:cs="Arial" w:eastAsia="Arial" w:hAnsi="Arial"/>
                <w:sz w:val="18"/>
                <w:szCs w:val="18"/>
                <w:color w:val="auto"/>
                <w:w w:val="96"/>
              </w:rPr>
              <w:t>Restricted cash (including $0 and $1,806 in other assets as of September 30, 2021 and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2020, respectively)</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r>
      <w:tr>
        <w:trPr>
          <w:trHeight w:val="21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Marketable securities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198,672</w:t>
            </w:r>
          </w:p>
        </w:tc>
        <w:tc>
          <w:tcPr>
            <w:tcW w:w="0" w:type="dxa"/>
            <w:vAlign w:val="bottom"/>
          </w:tcPr>
          <w:p>
            <w:pPr>
              <w:spacing w:after="0"/>
              <w:rPr>
                <w:sz w:val="1"/>
                <w:szCs w:val="1"/>
                <w:color w:val="auto"/>
              </w:rPr>
            </w:pPr>
          </w:p>
        </w:tc>
      </w:tr>
      <w:tr>
        <w:trPr>
          <w:trHeight w:val="209"/>
        </w:trPr>
        <w:tc>
          <w:tcPr>
            <w:tcW w:w="4500" w:type="dxa"/>
            <w:vAlign w:val="bottom"/>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198,801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198,672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243,679</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250,676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uses the specific identification method when calculating realized gains and losses. For the nine months ended September 30, 2021 and 2020, respectively, the Company recorded $57 thousand and $70 thousand in realized gains on available-for-sale securities, which is included in other income, net on the condensed statements of operations.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reviewed all investments which were in a loss position at the respective balance sheet dates, as well as the remainder of the portfolio. The Company has analyzed the unrealized losses and determined that market conditions were the primary factor driving these changes. After analyzing the securities in an unrealized loss position, the portion of these losses that relate to changes in credit quality is insignificant. The Company does not intend to sell these securities, nor is it more likely than not that the Company will be required to sell them prior to the end of their contractual terms. Furthermore, the Company does not believe that these securities expose the Company to undue market risk or counterparty credit risk.</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maturities of the Company’s investments available-for-sale as of September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198"/>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19"/>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0"/>
                <w:szCs w:val="10"/>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0"/>
                <w:szCs w:val="10"/>
                <w:color w:val="auto"/>
              </w:rPr>
            </w:pPr>
          </w:p>
        </w:tc>
        <w:tc>
          <w:tcPr>
            <w:tcW w:w="1140" w:type="dxa"/>
            <w:vAlign w:val="bottom"/>
          </w:tcPr>
          <w:p>
            <w:pPr>
              <w:jc w:val="right"/>
              <w:ind w:right="51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6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7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Maturities: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1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96,114</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Between 1 to 2 years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102,698</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102,558</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198,801</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198,672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 has classified all its investments available-for-sale, including those with maturities beyond one year, as current assets on the accompanying condensed balance sheets based on the highly liquid nature of these investment securities and because these investment securities are considered available for use in current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September 30, 2021 and December 31,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Quoted Prices in</w:t>
            </w:r>
          </w:p>
        </w:tc>
        <w:tc>
          <w:tcPr>
            <w:tcW w:w="120" w:type="dxa"/>
            <w:vAlign w:val="bottom"/>
          </w:tcPr>
          <w:p>
            <w:pPr>
              <w:spacing w:after="0"/>
              <w:rPr>
                <w:sz w:val="10"/>
                <w:szCs w:val="10"/>
                <w:color w:val="auto"/>
              </w:rPr>
            </w:pPr>
          </w:p>
        </w:tc>
        <w:tc>
          <w:tcPr>
            <w:tcW w:w="10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21,271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21,271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198,672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219,943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Quoted Prices in</w:t>
            </w:r>
          </w:p>
        </w:tc>
        <w:tc>
          <w:tcPr>
            <w:tcW w:w="120" w:type="dxa"/>
            <w:vAlign w:val="bottom"/>
          </w:tcPr>
          <w:p>
            <w:pPr>
              <w:spacing w:after="0"/>
              <w:rPr>
                <w:sz w:val="10"/>
                <w:szCs w:val="10"/>
                <w:color w:val="auto"/>
              </w:rPr>
            </w:pPr>
          </w:p>
        </w:tc>
        <w:tc>
          <w:tcPr>
            <w:tcW w:w="10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11,155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243,679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243,679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261,831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250,676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Former Agreement with Eli Lilly and Company</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Effective March 3, 2020, Lilly terminated the Lilly Agreement without cause.</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recognized revenue under the Lilly Agreement of $22.4 million for the nine months ended September 30, 2020. Effective with the termination of the agreement, no further quarterly research and development support payments are payable to the Company.</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2021, 2,369,673 shares were reserved for future grant under the 2019 Plan.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520" w:type="dxa"/>
            <w:vAlign w:val="bottom"/>
            <w:tcBorders>
              <w:bottom w:val="single" w:sz="8" w:color="auto"/>
            </w:tcBorders>
            <w:gridSpan w:val="9"/>
          </w:tcPr>
          <w:p>
            <w:pPr>
              <w:jc w:val="right"/>
              <w:ind w:right="537"/>
              <w:spacing w:after="0"/>
              <w:rPr>
                <w:sz w:val="20"/>
                <w:szCs w:val="20"/>
                <w:color w:val="auto"/>
              </w:rPr>
            </w:pPr>
            <w:r>
              <w:rPr>
                <w:rFonts w:ascii="Arial" w:cs="Arial" w:eastAsia="Arial" w:hAnsi="Arial"/>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gridSpan w:val="2"/>
          </w:tcPr>
          <w:p>
            <w:pPr>
              <w:jc w:val="center"/>
              <w:ind w:left="36"/>
              <w:spacing w:after="0" w:line="153"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3"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3,112,376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1,916,450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11.11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(433,483)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21.82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4,544,382</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14.20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2021</w:t>
            </w: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12.19</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7.2</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1,848,180</w:t>
            </w:r>
          </w:p>
        </w:tc>
        <w:tc>
          <w:tcPr>
            <w:tcW w:w="24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September 30, 2021 and December 31, 2020.</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weighted average grant date fair value of stock options granted to employees for the nine months ended September 30, 2021 was $7.61. The aggregate intrinsic value of stock options exercised during the nine months ended September 30, 2021 was $0.3 million. As of September 30, 2021, there was $25.7 million of total unrecognized compensation expense related to unvested options under the Plans that will be recognized over a weighted-average period of approximately 2.9 years.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nine months ended September 30, 2021 and 2020 was approximately $11.9 million and $33.8 million, respectively.</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was classified on the statements of operations as follows for the three and nine months ended September 30, 2021 and 2020:</w:t>
      </w:r>
    </w:p>
    <w:p>
      <w:pPr>
        <w:spacing w:after="0" w:line="16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$ 3,068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$ 2,245</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jc w:val="right"/>
              <w:spacing w:after="0"/>
              <w:rPr>
                <w:sz w:val="20"/>
                <w:szCs w:val="20"/>
                <w:color w:val="auto"/>
              </w:rPr>
            </w:pPr>
            <w:r>
              <w:rPr>
                <w:rFonts w:ascii="Arial" w:cs="Arial" w:eastAsia="Arial" w:hAnsi="Arial"/>
                <w:sz w:val="18"/>
                <w:szCs w:val="18"/>
                <w:color w:val="auto"/>
              </w:rPr>
              <w:t>1,429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1,475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$ 7,778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$ 5,567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gridSpan w:val="6"/>
          </w:tcPr>
          <w:p>
            <w:pPr>
              <w:jc w:val="center"/>
              <w:ind w:right="12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gridSpan w:val="6"/>
          </w:tcPr>
          <w:p>
            <w:pPr>
              <w:jc w:val="center"/>
              <w:ind w:right="12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920" w:type="dxa"/>
            <w:vAlign w:val="bottom"/>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8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5.5 - 6.08 years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- 6.08 years</w:t>
            </w:r>
          </w:p>
        </w:tc>
        <w:tc>
          <w:tcPr>
            <w:tcW w:w="3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Expected volatility</w:t>
            </w:r>
          </w:p>
        </w:tc>
        <w:tc>
          <w:tcPr>
            <w:tcW w:w="2760" w:type="dxa"/>
            <w:vAlign w:val="bottom"/>
            <w:gridSpan w:val="2"/>
          </w:tcPr>
          <w:p>
            <w:pPr>
              <w:jc w:val="right"/>
              <w:ind w:right="201"/>
              <w:spacing w:after="0"/>
              <w:rPr>
                <w:sz w:val="20"/>
                <w:szCs w:val="20"/>
                <w:color w:val="auto"/>
              </w:rPr>
            </w:pPr>
            <w:r>
              <w:rPr>
                <w:rFonts w:ascii="Arial" w:cs="Arial" w:eastAsia="Arial" w:hAnsi="Arial"/>
                <w:sz w:val="18"/>
                <w:szCs w:val="18"/>
                <w:color w:val="auto"/>
              </w:rPr>
              <w:t>79.7 %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w w:val="95"/>
              </w:rPr>
              <w:t>- 81.1 %</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7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0.8 - 1.4 %</w:t>
            </w:r>
          </w:p>
        </w:tc>
        <w:tc>
          <w:tcPr>
            <w:tcW w:w="1420" w:type="dxa"/>
            <w:vAlign w:val="bottom"/>
            <w:gridSpan w:val="3"/>
            <w:shd w:val="clear" w:color="auto" w:fill="CCEEFF"/>
          </w:tcPr>
          <w:p>
            <w:pPr>
              <w:jc w:val="right"/>
              <w:ind w:right="195"/>
              <w:spacing w:after="0"/>
              <w:rPr>
                <w:sz w:val="20"/>
                <w:szCs w:val="20"/>
                <w:color w:val="auto"/>
              </w:rPr>
            </w:pPr>
            <w:r>
              <w:rPr>
                <w:rFonts w:ascii="Arial" w:cs="Arial" w:eastAsia="Arial" w:hAnsi="Arial"/>
                <w:sz w:val="18"/>
                <w:szCs w:val="18"/>
                <w:color w:val="auto"/>
              </w:rPr>
              <w:t>0.3 - 1.0 %</w:t>
            </w:r>
          </w:p>
        </w:tc>
        <w:tc>
          <w:tcPr>
            <w:tcW w:w="3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spacing w:after="0"/>
              <w:rPr>
                <w:sz w:val="20"/>
                <w:szCs w:val="20"/>
                <w:color w:val="auto"/>
              </w:rPr>
            </w:pPr>
          </w:p>
        </w:tc>
        <w:tc>
          <w:tcPr>
            <w:tcW w:w="1180" w:type="dxa"/>
            <w:vAlign w:val="bottom"/>
          </w:tcPr>
          <w:p>
            <w:pPr>
              <w:jc w:val="right"/>
              <w:ind w:right="201"/>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 %</w:t>
            </w:r>
          </w:p>
        </w:tc>
        <w:tc>
          <w:tcPr>
            <w:tcW w:w="900" w:type="dxa"/>
            <w:vAlign w:val="bottom"/>
          </w:tcPr>
          <w:p>
            <w:pPr>
              <w:spacing w:after="0"/>
              <w:rPr>
                <w:sz w:val="20"/>
                <w:szCs w:val="20"/>
                <w:color w:val="auto"/>
              </w:rPr>
            </w:pPr>
          </w:p>
        </w:tc>
      </w:tr>
      <w:tr>
        <w:trPr>
          <w:trHeight w:val="863"/>
        </w:trPr>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2019 Employee Stock Purchase Plan (the “ESPP”) was approved in May 2019 and provides for certain employees of the Company to purchase shares of Company stock at a discounted price. As of September 30, 2021, 790,680 shares were reserved for purchase under the ESPP.</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Net Loss Per Share Attributable to Common Stockholders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9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computation of basic loss per share is based on the weighted-average number of common shares outstanding, without consideration for dilutive common stock equivalents. The computation of diluted loss per share is based on the weighted-average number of common shares outstanding and dilutive potential common shares, which include shares that may be issued under the stock option plan, as determined using the treasury stock method.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computation for basic and diluted loss per share were as follows (in thousands, except share and per share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data):</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Net loss - basic and diluted</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(21,142)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Shares (Denominator):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shares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27,615,038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27,547,737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27,607,685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27,524,350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outstanding - basic and diluted</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1"/>
              </w:rPr>
              <w:t>Loss per share - basic and diluted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the three and nine months ended September 30, 2021, all shares of options to purchase shares of the Company’s common stock were excluded from the computation of diluted net loss per share as the effect would have been anti-dilutive. Therefore, the weighted average number of common shares outstanding used to calculate both basic and diluted net loss per share attributable to common stockholders is the same.</w:t>
      </w:r>
    </w:p>
    <w:p>
      <w:pPr>
        <w:spacing w:after="0" w:line="14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148"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6350</wp:posOffset>
            </wp:positionV>
            <wp:extent cx="1165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00"/>
        <w:spacing w:after="0"/>
        <w:tabs>
          <w:tab w:leader="none" w:pos="74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4,544,382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3,149,641</w:t>
            </w:r>
          </w:p>
        </w:tc>
      </w:tr>
      <w:tr>
        <w:trPr>
          <w:trHeight w:val="210"/>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4,544,382</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3,149,641</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did not record a provision or benefit for income taxes during the three and nine months ended September 30, 2021 and 2020. The Company continues to maintain a full valuation allowance against its deferred tax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Under the provisions of Sections 382 and 383 of the Internal Revenue Code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The CARES Act includes various income and payroll tax provisions. The Company has analyzed the tax provisions of the CARES Act and determined they have no significant financial impact to the Company’s condensed financial statements. On March 11, 2021, the American Rescue Plan Act of 2021 (“ARPA 2021”) was signed into law. ARPA 2021 included various income and payroll tax provisions. The Company has analyzed the tax provisions of ARPA 2021 and determined they have no significant financial impact to the Company’s condensed financial statements.</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our lead product candidate, NC318,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On May 17, 2021, the Court granted the parties’ joint motion to stay the derivative lawsuit pending resolution of the Ye Zhou action’s motion to dismiss.</w:t>
      </w:r>
    </w:p>
    <w:p>
      <w:pPr>
        <w:spacing w:after="0" w:line="16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intends to vigorously defend the Ye Zhou and Liu actions and believes these cases are without merit. Based on the Company’s assessment of the facts underlying these claims, the uncertainty of litigation, and the preliminary stage of these cases, the Company cannot estimate the reasonably possible loss or range of loss that may result from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2020, or our 2020 Annual Report. Some of the statements contained in this discussion and analysis or set forth elsewhere in this Quarterly Report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Forward-looking statements include, but are not limited to, statements about:</w:t>
      </w:r>
    </w:p>
    <w:p>
      <w:pPr>
        <w:spacing w:after="0" w:line="199" w:lineRule="exact"/>
        <w:rPr>
          <w:sz w:val="20"/>
          <w:szCs w:val="20"/>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expectations regarding the timing, progress and results of preclinical studies and clinical trials for NC318, NC410, NC762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71" w:lineRule="exact"/>
        <w:rPr>
          <w:rFonts w:ascii="Arial" w:cs="Arial" w:eastAsia="Arial" w:hAnsi="Arial"/>
          <w:sz w:val="17"/>
          <w:szCs w:val="17"/>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impact of the COVID-19 pandemic (including the emergence of variant strains)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71"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for NC318, NC410, NC762 and any other product candidates we develop and our ability to obtain and maintain regulatory approvals for such product candidates for any indication;</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identification, analysis and use of biomarkers and biomarker data;</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patient selection assays and companion or complementary diagnostic for NC318, NC410, NC762 or any other product candidates we develop;</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manufacturing capabilities and strategy, including the scalability of our manufacturing methods and processes;</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potential benefits, activity, effectiveness and safety of NC318, NC410, NC762 and any other product candidates we develop;</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for our FIND-IO platform, including our ability to discover and advance product candidates using our FIND-IO platform;</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 benefits of and our ability to maintain our relationships and collaborations with Yale University and Dr. Lieping Chen;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183"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and enforce our intellectual property protection and the scope and duration of such protection;</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any failure of our information technology systems such as security breaches, loss of data and other disruptions;</w:t>
      </w:r>
    </w:p>
    <w:p>
      <w:pPr>
        <w:spacing w:after="0" w:line="248" w:lineRule="exact"/>
        <w:rPr>
          <w:rFonts w:ascii="Arial" w:cs="Arial" w:eastAsia="Arial" w:hAnsi="Arial"/>
          <w:sz w:val="16"/>
          <w:szCs w:val="16"/>
          <w:i w:val="1"/>
          <w:iCs w:val="1"/>
          <w:color w:val="auto"/>
        </w:rPr>
      </w:pPr>
    </w:p>
    <w:p>
      <w:pPr>
        <w:ind w:left="720" w:hanging="319"/>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developments and projections relating to our competitors and our industry, including competing therapies; and</w:t>
      </w:r>
    </w:p>
    <w:p>
      <w:pPr>
        <w:spacing w:after="0" w:line="248" w:lineRule="exact"/>
        <w:rPr>
          <w:rFonts w:ascii="Arial" w:cs="Arial" w:eastAsia="Arial" w:hAnsi="Arial"/>
          <w:sz w:val="16"/>
          <w:szCs w:val="16"/>
          <w:i w:val="1"/>
          <w:iCs w:val="1"/>
          <w:color w:val="auto"/>
        </w:rPr>
      </w:pPr>
    </w:p>
    <w:p>
      <w:pPr>
        <w:ind w:left="720" w:hanging="319"/>
        <w:spacing w:after="0"/>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current and future laws and regulations.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Forward-looking statements involve substantial risks and uncertainties that could cause actual results to differ materially from those projected in any forward-looking statement. Such risks and uncertainties include, among others: the impacts of the COVID-19 pandemic (including the emergence of variant strains) on our business, including our clinical trials, third parties on which we rely and our operations; positive results in preclinical studies may not be predictive of the results of clinical trials; our limited operating history and no products approved for commercial sale; our history of significant losses; our need to obtain additional financing; risks related to clinical development, marketing approval and commercialization; the unproven approach to the discovery and development of product candidates based on our FIND-IO platform; and dependence on key personnel. More detailed information on these and additional factors that could affect our actual results are described under the heading “Risk Factors” in our 2020 Annual Report and in our other filings with the Securities and Exchange Commission. You should not place undue reliance on any forward-looking statements. Forward-looking statements speak only as of the date of this report, and we assume no obligation to update any forward-looking statements, even if expectations change.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or the SITC Meeting, in November 2019 and updated data were announced in December 2020.</w:t>
      </w:r>
    </w:p>
    <w:p>
      <w:pPr>
        <w:spacing w:after="0" w:line="1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began enrolling patients in the Phase 2 portion of the Phase 1/2 clinical trial of NC318 trial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 In July 2020, we reported a confirmed partial response in a head and neck squamous cell carcinoma patient. In addition, we reported at the time that we would not progress the NSCLC and ovarian cancer cohorts to the second stage of the Simon 2-stage trial. In December 2020, we completed a retrospective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analysis of S15 expression in biopsy samples collected from the Phase 2 patients at their initial screening. At that time, inclusion criterion was based on a TPS PD-L1 score &lt;50%. Of the evaluable biopsies collected, 13% of the patients enrolled had S15-positive tumors. These biopsies showed that the selection criterion did not result in enough S15-positive patients for us to effectively evaluate the activity of NC318 in S15-positive tumors. We have modified the Phase 2 portion of the trial for S15 selection, and clinical sites can select for S15-positive patients through screening biopsies in a Clinical Laboratory Improvement Amendments (“CLIA”)-certified laboratory. In the second quarter of 2021, we resumed enrolling a NSCLC adenocarcinoma cohort in the Phase 2 trial, and we revised the dosing regimen to 800 mg weekly to increase overall drug exposure to NC318. We will provide a data update from our ongoing Phase 2 monotherapy trial of NC318 at the SITC Meeting in November 2021.</w:t>
      </w:r>
    </w:p>
    <w:p>
      <w:pPr>
        <w:spacing w:after="0" w:line="18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April 2021, Yale University commenced a Phase 2 investigator-initiated clinical trial of NC318 in combination with pembrolizumab in patients with NSCLC. Initial data are anticipated in the first half of 2022.</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second product candidate, NC410, is a novel immunomedicine designed to block immune suppression mediated by an immune modulator called Leukocyte-Associated Immunoglobulin-like Receptor 1. 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In May 2021, at the 2021 Virtual American Society of Clinical Oncology annual meeting, or the ASCO Meeting, we reported pre-clinical data demonstrating that NC410 promoted T-cell mediated anti-tumor immunity, enhanced infiltration and increased localized activity of T-cells in the tumor microenvironment. We will provide a data update from the Phase 1 portion of this trial at the SITC Meeting in November 2021.</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third product candidate, NC762, is an immunomedicine targeting an immunomodulatory molecule called human B7 homolog 4 protein, or B7-H4. We submitted our investigational new drug application, or IND, to the FDA in the first quarter of 2021, which has been cleared. In July 2021, we initiated a Phase 1/2 clinical trial of NC762 in patients with lung cancer, HER2+ breast cancer, ovarian cancer, or potentially other tumor types.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 We expect to announce initial data from the Phase 1 portion of this trial in mid-2022.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212529"/>
        </w:rPr>
        <w:t xml:space="preserve">In March 2020, the World Health Organization declared the novel coronavirus disease 2019 (“COVID-19”), outbreak a pandemic. In order to </w:t>
      </w:r>
      <w:r>
        <w:rPr>
          <w:rFonts w:ascii="Arial" w:cs="Arial" w:eastAsia="Arial" w:hAnsi="Arial"/>
          <w:sz w:val="18"/>
          <w:szCs w:val="18"/>
          <w:color w:val="000000"/>
        </w:rPr>
        <w:t>mitigate</w:t>
      </w:r>
      <w:r>
        <w:rPr>
          <w:rFonts w:ascii="Arial" w:cs="Arial" w:eastAsia="Arial" w:hAnsi="Arial"/>
          <w:sz w:val="18"/>
          <w:szCs w:val="18"/>
          <w:color w:val="212529"/>
        </w:rPr>
        <w:t xml:space="preserv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our laboratories have continued operations throughout the pandemic mostly without interruption.</w:t>
      </w:r>
    </w:p>
    <w:p>
      <w:pPr>
        <w:spacing w:after="0" w:line="192"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212529"/>
        </w:rPr>
        <w:t xml:space="preserve">The impact of the COVID-19 pandemic (including the impact of emerging variant strains of the COVID-19 virus) on our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6"/>
          <w:szCs w:val="16"/>
          <w:color w:val="000000"/>
        </w:rPr>
        <w:t>has placed significant strain on our clinical trial sites,</w:t>
      </w:r>
      <w:r>
        <w:rPr>
          <w:rFonts w:ascii="Arial" w:cs="Arial" w:eastAsia="Arial" w:hAnsi="Arial"/>
          <w:sz w:val="16"/>
          <w:szCs w:val="16"/>
          <w:color w:val="212529"/>
        </w:rPr>
        <w:t xml:space="preserve"> </w:t>
      </w:r>
      <w:r>
        <w:rPr>
          <w:rFonts w:ascii="Arial" w:cs="Arial" w:eastAsia="Arial" w:hAnsi="Arial"/>
          <w:sz w:val="16"/>
          <w:szCs w:val="16"/>
          <w:color w:val="000000"/>
        </w:rPr>
        <w:t xml:space="preserve">has raised concerns around monitoring patient safety, and has caused enrollment to slow in our clinical trials. </w:t>
      </w:r>
      <w:r>
        <w:rPr>
          <w:rFonts w:ascii="Arial" w:cs="Arial" w:eastAsia="Arial" w:hAnsi="Arial"/>
          <w:sz w:val="16"/>
          <w:szCs w:val="16"/>
          <w:color w:val="212529"/>
        </w:rPr>
        <w:t>Any rise of</w:t>
      </w:r>
      <w:r>
        <w:rPr>
          <w:rFonts w:ascii="Arial" w:cs="Arial" w:eastAsia="Arial" w:hAnsi="Arial"/>
          <w:sz w:val="16"/>
          <w:szCs w:val="16"/>
          <w:color w:val="000000"/>
        </w:rPr>
        <w:t xml:space="preserve"> </w:t>
      </w:r>
      <w:r>
        <w:rPr>
          <w:rFonts w:ascii="Arial" w:cs="Arial" w:eastAsia="Arial" w:hAnsi="Arial"/>
          <w:sz w:val="16"/>
          <w:szCs w:val="16"/>
          <w:color w:val="212529"/>
        </w:rPr>
        <w:t>COVID-19 infection rates, especially in the United States, could continue to negatively affect enrollment going forward. We continue to closely monitor the COVID-19 situation and any potential impact to our planned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9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5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not generated any revenue from product sales and only limited revenue from other sources. As a result, with the exception of the three months ended March 31, 2020, for which we reported a profit due to recognition of deferred revenue in connection with the termination of our former research and development collaboration agreement with Eli Lilly and Company, or “Lilly”, we have never been profitable and have incurred net losses since the commencement of our operations. Our net loss for the three months ended September 30, 2021 and 2020, was $17.9 million and $16.4 million, respectively, and our net loss for the nine months ended September 30, 2021 and 2020, was $52.5 million and $21.1 million, respectively. As of September 30, 2021, we had an accumulated deficit of $170.1 million, primarily as a result of research and development and general and administrative expenses. We do not expect to generate product revenue unless and until we obtain marketing approval and commercialize a product candidate, and we cannot assure you that we will ever generate significant revenue or profits.</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funded our operations to date primarily with proceeds from public offerings of our common stock, with private placements of our preferred stock and with upfront fees received under our former research and development collaboration agreement with Lilly, or the “Lilly Agreement,” which was terminated in March 2020. From our inception through September 30, 2021, we received gross proceeds of $164.4 million through private placements of preferred stock.</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September 30, 2021, we had cash, cash equivalents and marketable securities, excluding restricted cash, of $235.3 million. We believe that our existing cash, cash equivalents and marketable securities will be sufficient to fund our planned operations into the second half of 2023.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ongoing Phase 1/2 clinical trial of NC410, and our ongoing Phase 1/2 clinical trial for NC762,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Revenue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Through September 30, 2021, we have not generated any revenue from product sales.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additional information about our revenue recognition policy, see Note 2 of the Notes to Financial Statements in our 2020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Operating Expenses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agreements with third parties that conduct research, preclinical activities or clinical trials on our behalf, such as our corporate sponsored research agreement, or “SRA,” and our license agreement with Yale University, or “Yale”;</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81"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as we utilize our current good manufacturing practice, or “cGMP”, manufacturing capacity, including to provide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drug supply of NC318, NC410 and NC762 for future clinical trials, and as we expand our pipeline through research and development activities related to our FIND-IO platform and discovery programs.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cannot determine with certainty the duration and costs of future clinical trials of NC318, NC410, NC762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NC762 and any other product candidate we may develop will depend on a variety of factors, including:</w:t>
      </w:r>
    </w:p>
    <w:p>
      <w:pPr>
        <w:spacing w:after="0" w:line="192" w:lineRule="exact"/>
        <w:rPr>
          <w:sz w:val="20"/>
          <w:szCs w:val="20"/>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clinical trials of NC318 and NC410 and NC762, as well as of any future clinical trials of other product candidates and other research and development activities that we may conduct;</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General and Administrative Expenses</w:t>
      </w:r>
    </w:p>
    <w:p>
      <w:pPr>
        <w:spacing w:after="0" w:line="12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consist primarily of personnel 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higher legal and accounting fees, investor relations costs, higher insurance premiums and other compliance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Other Income, Net</w:t>
      </w:r>
    </w:p>
    <w:p>
      <w:pPr>
        <w:spacing w:after="0" w:line="121"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Other income, net consists primarily of interest income earned on marketable securities and interest expense on our term loan with a commercial bank, or the “Term Loan”, which was paid in full and closed in August 2021.</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Comparison of the Three and Nine Months Ended September 30, 2021 and 2020</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9"/>
              </w:rPr>
              <w:t>Nine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80"/>
              <w:spacing w:after="0" w:line="201" w:lineRule="exact"/>
              <w:rPr>
                <w:sz w:val="20"/>
                <w:szCs w:val="20"/>
                <w:color w:val="auto"/>
              </w:rPr>
            </w:pPr>
            <w:r>
              <w:rPr>
                <w:rFonts w:ascii="Arial" w:cs="Arial" w:eastAsia="Arial" w:hAnsi="Arial"/>
                <w:sz w:val="18"/>
                <w:szCs w:val="18"/>
                <w:color w:val="auto"/>
              </w:rPr>
              <w:t>Revenue from former research and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80"/>
              <w:spacing w:after="0"/>
              <w:rPr>
                <w:sz w:val="20"/>
                <w:szCs w:val="20"/>
                <w:color w:val="auto"/>
              </w:rPr>
            </w:pPr>
            <w:r>
              <w:rPr>
                <w:rFonts w:ascii="Arial" w:cs="Arial" w:eastAsia="Arial" w:hAnsi="Arial"/>
                <w:sz w:val="18"/>
                <w:szCs w:val="18"/>
                <w:color w:val="auto"/>
              </w:rPr>
              <w:t>development arrangement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(17,930)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(16,367)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(52,450)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(21,142)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 revenue was recognized for the three months ended September 30, 2021 and 2020. Revenue was $0 and $22.4 million for the nine months ended September 30, 2021 and 2020, respectively. The decrease in revenue for the nine months ended September 30, 2021, compared to the same period in 2020 is related to the recognition of all deferred revenue under the Lilly Agreement as of the Lilly Termination Date. Effective with the termination of the agreement, no further quarterly research and development support payments are payable to the Company.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our research and development expenses by product candidate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External research and development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NC318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1,955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7,483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(3,692)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NC410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NC762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Programs in discovery and preclinical development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11,421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8"/>
                <w:szCs w:val="18"/>
                <w:color w:val="auto"/>
                <w:w w:val="98"/>
              </w:rPr>
              <w:t>Total external research and development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21,092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19,715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internal research and development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13,597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12,740</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37,928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34,448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6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Research and development expenses for the three months ended September 30, 2021 increased by $0.9 million to $13.6 million compared to $12.7 million for the three months ended September 30, 2020. The increase was driven by $0.8 million in clinical-related costs, partially offset by timing of research and manufacturing supply costs.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Research and development expenses for the nine months ended September 30, 2021 increased by $3.4 million to $37.9 million compared to $34.5 million for the nine months ended September 30, 2020. The increase was driven by $1.3 million in personnel-related costs and costs related to advancing our development programs.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expenses for the three months ended September 30, 2021 increased by $0.2 million to $4.9 million as compared to $4.7 million for the three months ended September 30, 2020. The increase was primarily due to personnel-related costs.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expenses for the nine months ended September 30, 2021 increased by $2.9 million to $15.8 million as compared to $12.9 million for the nine months ended September 30, 2020. The increase was driven by $2.3 million in personnel-related costs, primarily in stock compensation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Other income, net for the three months ended September 30, 2021 decreased by $0.4 million to $0.6 million from $1.0 million for the three months ended September 30, 2020 due to lower investment balances and a reduction in interest rates.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Other income, net for the nine months ended September 30, 2021, decreased by $2.6 million to $1.2 million from $3.8 million for the nine months ended September 30, 2020 due to lower investment balances and a reduction in interest rates.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7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6, 2021, the Company entered into a sales agreement (the “Sales Agreement”) with SVB Leerink LLC (the “Agent”), pursuant to which the Company may sell, from time to time, up to an aggregate sales price of $75 million of its common stock through the Agent in negotiated transactions that are deemed to be an “at the market offering.” The Agent will be entitled to compensation equal to 3.0% of the gross proceeds from the sale of all shares of common stock sold through it as Agent under the Sales Agreement.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We have not yet sold any shares of our common stock pursuant to the Sales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September 30, 2021, we had cash, cash equivalents, and marketable securities, excluding restricted cash, of $235.3 million. We believe that our existing cash, cash equivalents, and marketable securities will be sufficient to fund our planned operations into the second half of 2023.</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In April 2016, we entered into the Term Loan to finance laboratory equipment purchases. In January 2019, we amended the Term Loan to increase our borrowing capacity from $1.0 million to $5.0 million. In August 2021, we fully paid the remaining principal on the Term Loan, and there are no outstanding payments due from us.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including as a result of the impact of the COVID-19 pandemic. If we fail to raise capital or enter into such arrangements as and when needed, we may have to significantly delay, scale back or discontinue the development of our product candidates or delay our efforts to expand our pipeline of product candidates.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Nine Months Ended</w:t>
      </w:r>
    </w:p>
    <w:p>
      <w:pPr>
        <w:ind w:left="75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54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(43,795)</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(38,676)</w:t>
            </w: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r>
      <w:tr>
        <w:trPr>
          <w:trHeight w:val="216"/>
        </w:trPr>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r>
      <w:tr>
        <w:trPr>
          <w:trHeight w:val="209"/>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r>
      <w:tr>
        <w:trPr>
          <w:trHeight w:val="20"/>
        </w:trPr>
        <w:tc>
          <w:tcPr>
            <w:tcW w:w="5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was $43.8 million for the nine months ended September 30, 2021, which was primarily due to our net loss of $52.5 million. Net cash used in operating activities was $38.7 million for the nine months ended September 30, 2020, which was primarily due to our net loss of $21.1 million, inclusive of our recognition of deferred revenue related to the terminated Lilly Agreement of $22.4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Cash provided by investing activities for the nine months ended September 30, 2021 was $47.6 million, which was primarily due to net proceeds from marketable securities of $49.1 million, partially offset by purchases of property and equipment of $1.5 million. Cash provided by investing activities for the nine months ended September 30, 2020 was $27.0 million, which was primarily due to net proceeds from marketable securities of $33.2 million, partially offset by purchases of property and equipment of $6.2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Financing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Cash used in financing activities was $3.4 million for the nine months ended September 30, 2021, which consisted primarily of payments related to the closure of the Term Loan. Cash used in financing activities was $1.0 million for the nine months ended September 30, 2020, which consisted primarily of payments related to the Term Loan.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have been no material changes to our contractual obligations during the nine months ended September 30, 2021, as compared to those disclosed in our 2020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Significant Judgments and Use of Estimates</w:t>
      </w:r>
    </w:p>
    <w:p>
      <w:pPr>
        <w:spacing w:after="0" w:line="18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During the nine months ended September 30, 2021, there were no material changes to our critical accounting policies reported in our 2020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Securities and Exchange Commission.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September 30, 2021.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information set forth under the heading “Legal Proceedings” in Note 10, Commitments and Contingencies, in Notes to Condensed Financial Statements in Item 1 of Part I of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are not likely to have a material adverse effect on our business.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in the “Risk Factors” section of our 2020 Annual Report together with certain updated risk factors described below and all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risks described in our filings with the SEC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impacts of the COVID-19 pandemic could continue to adversely affect our business.</w:t>
      </w:r>
    </w:p>
    <w:p>
      <w:pPr>
        <w:spacing w:after="0" w:line="19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March 2020, the World Health Organization declared the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initially placed significant strain on our clinical trial sites, have raised concerns around monitoring patient safety, and caused enrollment to slow in the Phase 2 portion of the ongoing Phase 1/2 monotherapy clinical trial of our lead product candidate, NC318. Any rise of COVID-19 infection rates, especially in the United States, could continue to negatively affect enrollment going forward. We are continuing to work closely with our clinical partners and have taken steps as necessary to adjust our protocols and timelines due to the impact of the COVID-19 pandemic. Specifically, initial data from the Phase 2 portion of our ongoing Phase 1/2 clinical trial of NC318 was temporarily delayed, and the initial delay of our Phase 2 clinical trial to evaluate NC318 in combination with standard of care chemotherapies was due to COVID-19. In addition, we delayed until July 2020 initiation of the Phase 1 portion of our Phase 1/2 clinical trial of NC410 despite being prepared to begin the trial in March 2020.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our 2020 Annual Report and this Quarterly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COVID-19 pandemic and its impacts continue to evolve, including the emergence of variant strains of the COVID-19 virus. Although vaccines are now available are being distributed globally, we cannot predict the full scope, duration and severity of disruptions resulting from COVID-19 or their impacts on us.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which the COVID-19 pandemic may impact our business and financial performance will depend on future developments, which are highly uncertain and cannot be predicted with confidence, including the scope and duration of the pandemic and the extent and effectiveness of government restrictions, relief measures and other actions implemented to address the impact of the pandemic, and resulting economic impacts.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Announced interim results regarding our NC318 monotherapy Phase 1/2 clinical trial may adversely impact our product development efforts.</w:t>
      </w:r>
    </w:p>
    <w:p>
      <w:pPr>
        <w:spacing w:after="0" w:line="143"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July 2020, we announced that based on the current enrollment criteria and clinical response data, we did not plan at that time to advance the NSCLC and ovarian cancer cohorts of our NC318 Phase 1/2 monotherapy clinical trial into the stage 2 portion of the Simon 2-stage trial. In December 2020, we announced that the initial selection criterion did not result in enough S15-positive patients for us to effectively evaluate the activity of NC318 in S15-positive tumors. We have modified the Phase 2 portion of the trial for S15 selection, and clinical sites can select for S15-positive patients through screening biopsies in a CLIA-certified laboratory. The developments in this trial could increase the costs and lengthen the timeline for this trial, adversely impact our ability to enroll patients and impair our ability to gain regulatory approval for and commercialize NC318. Any of these developments could damage our reputation or investor confidence in our company, disrupt our broader research and development, impact our ability to raise capital, or hinder our ability to execute our strategic plans, which could have a material adverse effect on our business, financial condition, operating results, and prospects.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now and may in the future be subject to securities litigation, which can be expensive and could divert management’s attention.</w:t>
      </w:r>
    </w:p>
    <w:p>
      <w:pPr>
        <w:spacing w:after="0" w:line="13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Exchange Act and the Securities Act of 1933, as amended, with respect to statements made regarding our lead product candidate, NC318, and the FIND-IO platform.</w:t>
      </w:r>
    </w:p>
    <w:p>
      <w:pPr>
        <w:spacing w:after="0" w:line="195" w:lineRule="exact"/>
        <w:rPr>
          <w:sz w:val="20"/>
          <w:szCs w:val="20"/>
          <w:color w:val="auto"/>
        </w:rPr>
      </w:pPr>
    </w:p>
    <w:p>
      <w:pPr>
        <w:jc w:val="both"/>
        <w:ind w:left="60" w:right="79" w:firstLine="648"/>
        <w:spacing w:after="0" w:line="273" w:lineRule="auto"/>
        <w:rPr>
          <w:sz w:val="20"/>
          <w:szCs w:val="20"/>
          <w:color w:val="auto"/>
        </w:rPr>
      </w:pPr>
      <w:r>
        <w:rPr>
          <w:rFonts w:ascii="Arial" w:cs="Arial" w:eastAsia="Arial" w:hAnsi="Arial"/>
          <w:sz w:val="17"/>
          <w:szCs w:val="17"/>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For more information regarding these proceedings, please refer to Note 10 to the Company’s Condensed Financial Statements.</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intend to vigorously defend these actions. However, whether or not the claims are successful, 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be the target of similar litigation in the future. The market price of our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We maintain liability insurance; however, if any costs or expenses associated with the Ye Zhou action, Liu action, or any other litigation exceed our insurance coverage, we may be forced to bear some or all costs and expenses directly, which could be substantial.</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520" w:type="dxa"/>
            <w:vAlign w:val="bottom"/>
            <w:gridSpan w:val="6"/>
          </w:tcPr>
          <w:p>
            <w:pPr>
              <w:spacing w:after="0"/>
              <w:rPr>
                <w:sz w:val="20"/>
                <w:szCs w:val="20"/>
                <w:color w:val="auto"/>
              </w:rPr>
            </w:pPr>
            <w:r>
              <w:rPr>
                <w:rFonts w:ascii="Arial" w:cs="Arial" w:eastAsia="Arial" w:hAnsi="Arial"/>
                <w:sz w:val="18"/>
                <w:szCs w:val="18"/>
                <w:color w:val="auto"/>
              </w:rPr>
              <w:t>Exhibit Description</w:t>
            </w:r>
          </w:p>
        </w:tc>
      </w:tr>
      <w:tr>
        <w:trPr>
          <w:trHeight w:val="385"/>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7520" w:type="dxa"/>
            <w:vAlign w:val="bottom"/>
            <w:tcBorders>
              <w:top w:val="single" w:sz="8" w:color="auto"/>
            </w:tcBorders>
            <w:gridSpan w:val="6"/>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First Amendment to the NextCure, Inc. 2015 Omnibus Incentive Plan dated September 30, 2021.</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520" w:type="dxa"/>
            <w:vAlign w:val="bottom"/>
            <w:gridSpan w:val="6"/>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Certification of Michael Richman pursuant to Rule 13a-14(a) under the Securities Exchange Act of</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1934 as adopted pursuant to Section 302 of the Sarbanes-Oxley Act of 2002.</w:t>
              </w:r>
            </w:hyperlink>
          </w:p>
        </w:tc>
        <w:tc>
          <w:tcPr>
            <w:tcW w:w="38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2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Steven P. Cobourn pursuant to Rule 13a-14(a) under the Securities Exchange Act of</w:t>
              </w:r>
            </w:hyperlink>
          </w:p>
        </w:tc>
        <w:tc>
          <w:tcPr>
            <w:tcW w:w="3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1934 as adopted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69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Michael Richman and Steven P. Cobourn pursuant to 18 U.S.C. Section 1350 as</w:t>
              </w:r>
            </w:hyperlink>
          </w:p>
        </w:tc>
        <w:tc>
          <w:tcPr>
            <w:tcW w:w="54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adopted pursuant to Section 906 of the Sarbanes-Oxley Act of 2002.</w:t>
              </w:r>
            </w:hyperlink>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EX-101.INS</w:t>
            </w:r>
          </w:p>
        </w:tc>
        <w:tc>
          <w:tcPr>
            <w:tcW w:w="49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2600" w:type="dxa"/>
            <w:vAlign w:val="bottom"/>
            <w:gridSpan w:val="5"/>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EX-101.CAL</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EX-101.LAB</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440" w:hanging="1384"/>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Coverage Page Interactive Data File (formatted as Inline XBRL and contained in Exhibit 101).</w:t>
      </w:r>
    </w:p>
    <w:p>
      <w:pPr>
        <w:spacing w:after="0" w:line="167" w:lineRule="exact"/>
        <w:rPr>
          <w:rFonts w:ascii="Arial" w:cs="Arial" w:eastAsia="Arial" w:hAnsi="Arial"/>
          <w:sz w:val="18"/>
          <w:szCs w:val="18"/>
          <w:color w:val="auto"/>
        </w:rPr>
      </w:pPr>
    </w:p>
    <w:p>
      <w:pPr>
        <w:ind w:left="260" w:hanging="210"/>
        <w:spacing w:after="0"/>
        <w:tabs>
          <w:tab w:leader="none" w:pos="26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760" w:type="dxa"/>
            <w:vAlign w:val="bottom"/>
            <w:gridSpan w:val="2"/>
          </w:tcPr>
          <w:p>
            <w:pPr>
              <w:ind w:left="136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November 4, 2021</w:t>
            </w:r>
          </w:p>
        </w:tc>
        <w:tc>
          <w:tcPr>
            <w:tcW w:w="1840" w:type="dxa"/>
            <w:vAlign w:val="bottom"/>
          </w:tcPr>
          <w:p>
            <w:pPr>
              <w:ind w:left="13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3140" w:type="dxa"/>
            <w:vAlign w:val="bottom"/>
          </w:tcPr>
          <w:p>
            <w:pPr>
              <w:spacing w:after="0"/>
              <w:rPr>
                <w:sz w:val="16"/>
                <w:szCs w:val="16"/>
                <w:color w:val="auto"/>
              </w:rPr>
            </w:pPr>
          </w:p>
        </w:tc>
        <w:tc>
          <w:tcPr>
            <w:tcW w:w="5760" w:type="dxa"/>
            <w:vAlign w:val="bottom"/>
            <w:gridSpan w:val="2"/>
          </w:tcPr>
          <w:p>
            <w:pPr>
              <w:ind w:left="1360"/>
              <w:spacing w:after="0" w:line="195" w:lineRule="exact"/>
              <w:rPr>
                <w:sz w:val="20"/>
                <w:szCs w:val="20"/>
                <w:color w:val="auto"/>
              </w:rPr>
            </w:pPr>
            <w:r>
              <w:rPr>
                <w:rFonts w:ascii="Arial" w:cs="Arial" w:eastAsia="Arial" w:hAnsi="Arial"/>
                <w:sz w:val="18"/>
                <w:szCs w:val="18"/>
                <w:color w:val="auto"/>
              </w:rPr>
              <w:t>Name:Michael Richman</w:t>
            </w:r>
          </w:p>
        </w:tc>
      </w:tr>
      <w:tr>
        <w:trPr>
          <w:trHeight w:val="230"/>
        </w:trPr>
        <w:tc>
          <w:tcPr>
            <w:tcW w:w="3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November 4, 2021</w:t>
            </w:r>
          </w:p>
        </w:tc>
        <w:tc>
          <w:tcPr>
            <w:tcW w:w="1840" w:type="dxa"/>
            <w:vAlign w:val="bottom"/>
          </w:tcPr>
          <w:p>
            <w:pPr>
              <w:ind w:left="13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195"/>
        </w:trPr>
        <w:tc>
          <w:tcPr>
            <w:tcW w:w="3140" w:type="dxa"/>
            <w:vAlign w:val="bottom"/>
          </w:tcPr>
          <w:p>
            <w:pPr>
              <w:spacing w:after="0"/>
              <w:rPr>
                <w:sz w:val="16"/>
                <w:szCs w:val="16"/>
                <w:color w:val="auto"/>
              </w:rPr>
            </w:pPr>
          </w:p>
        </w:tc>
        <w:tc>
          <w:tcPr>
            <w:tcW w:w="5760" w:type="dxa"/>
            <w:vAlign w:val="bottom"/>
            <w:gridSpan w:val="2"/>
          </w:tcPr>
          <w:p>
            <w:pPr>
              <w:ind w:left="1360"/>
              <w:spacing w:after="0" w:line="195" w:lineRule="exact"/>
              <w:rPr>
                <w:sz w:val="20"/>
                <w:szCs w:val="20"/>
                <w:color w:val="auto"/>
              </w:rPr>
            </w:pPr>
            <w:r>
              <w:rPr>
                <w:rFonts w:ascii="Arial" w:cs="Arial" w:eastAsia="Arial" w:hAnsi="Arial"/>
                <w:sz w:val="18"/>
                <w:szCs w:val="18"/>
                <w:color w:val="auto"/>
              </w:rPr>
              <w:t>Name:Steven P. Cobourn</w:t>
            </w:r>
          </w:p>
        </w:tc>
      </w:tr>
      <w:tr>
        <w:trPr>
          <w:trHeight w:val="230"/>
        </w:trPr>
        <w:tc>
          <w:tcPr>
            <w:tcW w:w="3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NEXTCURE,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2015 OMNIBUS INCENTIVE PLAN</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Amendment (the “Amendment”) to the NextCure, Inc. 2015 Omnibus Incentive Plan, as amended on November 5, 2018 (the “Plan”), is adopted by NextCure, Inc., a Delaware corporation (the “Company”), to be effective as set forth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WHEREAS, Section 5.3 of the Plan allows the Board of Directors of the Company (the “Board”) to amend the Plan; and</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pursuant to resolutions of the Board, dated September 30, 2021, the Board has approved an amendment to the Plan, as set forth herein and delegated authority to the undersigned officer to execute such amendment.</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the Plan is hereby amended, effective September 30, 2021, by replacing the last sentence of Section 10 with the following sentence:</w:t>
      </w:r>
    </w:p>
    <w:p>
      <w:pPr>
        <w:spacing w:after="0" w:line="130" w:lineRule="exact"/>
        <w:rPr>
          <w:sz w:val="20"/>
          <w:szCs w:val="20"/>
          <w:color w:val="auto"/>
        </w:rPr>
      </w:pPr>
    </w:p>
    <w:p>
      <w:pPr>
        <w:jc w:val="both"/>
        <w:ind w:left="660" w:firstLine="63"/>
        <w:spacing w:after="0" w:line="293" w:lineRule="auto"/>
        <w:rPr>
          <w:sz w:val="20"/>
          <w:szCs w:val="20"/>
          <w:color w:val="auto"/>
        </w:rPr>
      </w:pPr>
      <w:r>
        <w:rPr>
          <w:rFonts w:ascii="Arial" w:cs="Arial" w:eastAsia="Arial" w:hAnsi="Arial"/>
          <w:sz w:val="16"/>
          <w:szCs w:val="16"/>
          <w:color w:val="auto"/>
        </w:rPr>
        <w:t>“In addition, to the extent the Award Agreement so provides or as otherwise provided by the Company (or, in the case of a Grantee subject to Section 16 of the Exchange Act, the Committee), payment of the Option Price for shares purchased pursuant to exercise of an Option or the Purchase Price for Restricted Stock or Stock Units may be made in any other form that is consistent with applicable laws, regulations and rules, including, without limitation, by cashless exercise procedure or by tender or attestation to the Company of shares of Stock, which shall be valued, for purposes of determining the extent to which such Option Price or Purchase Price has been paid thereby, at their Fair Market Value on the date of such tender or attestation.”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1" w:name="page32"/>
    <w:bookmarkEnd w:id="31"/>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Amendment to be executed on its behalf by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this 30th day of September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NextCure,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P. Cobourn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September 30, 2021,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2"/>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2021-11-04T15:58:30Z</dcterms:created>
  <dcterms:modified xsi:type="dcterms:W3CDTF">2021-11-04T15:58:30Z</dcterms:modified>
</cp:coreProperties>
</file>