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t>UNITED STATES</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SCHEDULE 13G</w:t>
      </w:r>
    </w:p>
    <w:p>
      <w:pPr>
        <w:spacing w:after="0" w:line="21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NextCure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7"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65343E108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1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2019</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jc w:val="both"/>
        <w:ind w:left="660" w:right="9280" w:hanging="4"/>
        <w:spacing w:after="0" w:line="563" w:lineRule="auto"/>
        <w:tabs>
          <w:tab w:leader="none" w:pos="1106"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o Rule 13d-1(c) o Rule 13d-1(d)</w:t>
      </w:r>
    </w:p>
    <w:p>
      <w:pPr>
        <w:spacing w:after="0" w:line="2" w:lineRule="exact"/>
        <w:rPr>
          <w:sz w:val="24"/>
          <w:szCs w:val="24"/>
          <w:color w:val="auto"/>
        </w:rPr>
      </w:pPr>
    </w:p>
    <w:p>
      <w:pPr>
        <w:ind w:right="2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00"/>
          </w:cols>
          <w:pgMar w:left="240" w:top="220" w:right="25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CUSIP No. 65343E108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19" w:lineRule="exact"/>
        <w:rPr>
          <w:sz w:val="20"/>
          <w:szCs w:val="20"/>
          <w:color w:val="auto"/>
        </w:rPr>
      </w:pPr>
    </w:p>
    <w:p>
      <w:pPr>
        <w:ind w:left="1200" w:right="6959" w:hanging="625"/>
        <w:spacing w:after="0" w:line="342" w:lineRule="auto"/>
        <w:tabs>
          <w:tab w:leader="none" w:pos="1200" w:val="left"/>
        </w:tabs>
        <w:numPr>
          <w:ilvl w:val="0"/>
          <w:numId w:val="2"/>
        </w:numPr>
        <w:rPr>
          <w:rFonts w:ascii="Arial" w:cs="Arial" w:eastAsia="Arial" w:hAnsi="Arial"/>
          <w:sz w:val="16"/>
          <w:szCs w:val="16"/>
          <w:color w:val="auto"/>
        </w:rPr>
      </w:pPr>
      <w:r>
        <w:rPr>
          <w:rFonts w:ascii="Arial" w:cs="Arial" w:eastAsia="Arial" w:hAnsi="Arial"/>
          <w:sz w:val="16"/>
          <w:szCs w:val="16"/>
          <w:color w:val="auto"/>
        </w:rPr>
        <w:t>Names of Reporting Persons Lord, Abbett &amp; Co. LLC</w:t>
      </w:r>
    </w:p>
    <w:p>
      <w:pPr>
        <w:spacing w:after="0" w:line="191" w:lineRule="exact"/>
        <w:rPr>
          <w:rFonts w:ascii="Arial" w:cs="Arial" w:eastAsia="Arial" w:hAnsi="Arial"/>
          <w:sz w:val="16"/>
          <w:szCs w:val="16"/>
          <w:color w:val="auto"/>
        </w:rPr>
      </w:pPr>
    </w:p>
    <w:p>
      <w:pPr>
        <w:ind w:left="1200" w:hanging="625"/>
        <w:spacing w:after="0"/>
        <w:tabs>
          <w:tab w:leader="none" w:pos="1200" w:val="left"/>
        </w:tabs>
        <w:numPr>
          <w:ilvl w:val="0"/>
          <w:numId w:val="2"/>
        </w:numPr>
        <w:rPr>
          <w:rFonts w:ascii="Arial" w:cs="Arial" w:eastAsia="Arial" w:hAnsi="Arial"/>
          <w:sz w:val="16"/>
          <w:szCs w:val="16"/>
          <w:color w:val="auto"/>
        </w:rPr>
      </w:pPr>
      <w:r>
        <w:rPr>
          <w:rFonts w:ascii="Arial" w:cs="Arial" w:eastAsia="Arial" w:hAnsi="Arial"/>
          <w:sz w:val="16"/>
          <w:szCs w:val="16"/>
          <w:color w:val="auto"/>
        </w:rPr>
        <w:t>Check the Appropriate Box if a Member of a Group (See Instructions)</w:t>
      </w:r>
    </w:p>
    <w:p>
      <w:pPr>
        <w:spacing w:after="0" w:line="248" w:lineRule="exact"/>
        <w:rPr>
          <w:rFonts w:ascii="Arial" w:cs="Arial" w:eastAsia="Arial" w:hAnsi="Arial"/>
          <w:sz w:val="16"/>
          <w:szCs w:val="16"/>
          <w:color w:val="auto"/>
        </w:rPr>
      </w:pPr>
    </w:p>
    <w:p>
      <w:pPr>
        <w:ind w:left="1840" w:hanging="643"/>
        <w:spacing w:after="0"/>
        <w:tabs>
          <w:tab w:leader="none" w:pos="1840" w:val="left"/>
        </w:tabs>
        <w:numPr>
          <w:ilvl w:val="1"/>
          <w:numId w:val="2"/>
        </w:numPr>
        <w:rPr>
          <w:rFonts w:ascii="Arial" w:cs="Arial" w:eastAsia="Arial" w:hAnsi="Arial"/>
          <w:sz w:val="18"/>
          <w:szCs w:val="18"/>
          <w:color w:val="auto"/>
        </w:rPr>
      </w:pPr>
      <w:r>
        <w:rPr>
          <w:rFonts w:ascii="Arial" w:cs="Arial" w:eastAsia="Arial" w:hAnsi="Arial"/>
          <w:sz w:val="18"/>
          <w:szCs w:val="18"/>
          <w:color w:val="auto"/>
        </w:rPr>
        <w:t>o</w:t>
      </w:r>
    </w:p>
    <w:p>
      <w:pPr>
        <w:spacing w:after="0" w:line="23" w:lineRule="exact"/>
        <w:rPr>
          <w:rFonts w:ascii="Arial" w:cs="Arial" w:eastAsia="Arial" w:hAnsi="Arial"/>
          <w:sz w:val="18"/>
          <w:szCs w:val="18"/>
          <w:color w:val="auto"/>
        </w:rPr>
      </w:pPr>
    </w:p>
    <w:p>
      <w:pPr>
        <w:ind w:left="1840" w:hanging="643"/>
        <w:spacing w:after="0" w:line="195" w:lineRule="auto"/>
        <w:tabs>
          <w:tab w:leader="none" w:pos="1840" w:val="left"/>
        </w:tabs>
        <w:numPr>
          <w:ilvl w:val="1"/>
          <w:numId w:val="2"/>
        </w:numPr>
        <w:rPr>
          <w:rFonts w:ascii="Arial" w:cs="Arial" w:eastAsia="Arial" w:hAnsi="Arial"/>
          <w:sz w:val="18"/>
          <w:szCs w:val="18"/>
          <w:color w:val="auto"/>
        </w:rPr>
      </w:pPr>
      <w:r>
        <w:rPr>
          <w:rFonts w:ascii="Arial" w:cs="Arial" w:eastAsia="Arial" w:hAnsi="Arial"/>
          <w:sz w:val="36"/>
          <w:szCs w:val="36"/>
          <w:color w:val="auto"/>
          <w:vertAlign w:val="subscript"/>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1128395</wp:posOffset>
            </wp:positionH>
            <wp:positionV relativeFrom="paragraph">
              <wp:posOffset>34925</wp:posOffset>
            </wp:positionV>
            <wp:extent cx="61233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23305" cy="8890"/>
                    </a:xfrm>
                    <a:prstGeom prst="rect">
                      <a:avLst/>
                    </a:prstGeom>
                    <a:noFill/>
                  </pic:spPr>
                </pic:pic>
              </a:graphicData>
            </a:graphic>
          </wp:anchor>
        </w:drawing>
        <w:drawing>
          <wp:anchor simplePos="0" relativeHeight="251657728" behindDoc="1" locked="0" layoutInCell="0" allowOverlap="1">
            <wp:simplePos x="0" y="0"/>
            <wp:positionH relativeFrom="column">
              <wp:posOffset>1128395</wp:posOffset>
            </wp:positionH>
            <wp:positionV relativeFrom="paragraph">
              <wp:posOffset>-178435</wp:posOffset>
            </wp:positionV>
            <wp:extent cx="612330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23305" cy="889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-770255</wp:posOffset>
            </wp:positionV>
            <wp:extent cx="6525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25895" cy="8890"/>
                    </a:xfrm>
                    <a:prstGeom prst="rect">
                      <a:avLst/>
                    </a:prstGeom>
                    <a:noFill/>
                  </pic:spPr>
                </pic:pic>
              </a:graphicData>
            </a:graphic>
          </wp:anchor>
        </w:drawing>
      </w:r>
    </w:p>
    <w:p>
      <w:pPr>
        <w:sectPr>
          <w:pgSz w:w="11900" w:h="16838" w:orient="portrait"/>
          <w:cols w:equalWidth="0" w:num="1">
            <w:col w:w="10219"/>
          </w:cols>
          <w:pgMar w:left="240" w:top="409" w:right="1440" w:bottom="1440" w:gutter="0" w:footer="0" w:header="0"/>
        </w:sectPr>
      </w:pPr>
    </w:p>
    <w:p>
      <w:pPr>
        <w:spacing w:after="0" w:line="271" w:lineRule="exact"/>
        <w:rPr>
          <w:sz w:val="20"/>
          <w:szCs w:val="20"/>
          <w:color w:val="auto"/>
        </w:rPr>
      </w:pPr>
    </w:p>
    <w:p>
      <w:pPr>
        <w:ind w:left="580"/>
        <w:spacing w:after="0"/>
        <w:rPr>
          <w:sz w:val="20"/>
          <w:szCs w:val="20"/>
          <w:color w:val="auto"/>
        </w:rPr>
      </w:pPr>
      <w:r>
        <w:rPr>
          <w:rFonts w:ascii="Arial" w:cs="Arial" w:eastAsia="Arial" w:hAnsi="Arial"/>
          <w:sz w:val="18"/>
          <w:szCs w:val="18"/>
          <w:color w:val="auto"/>
        </w:rPr>
        <w:t>3.</w:t>
      </w:r>
    </w:p>
    <w:p>
      <w:pPr>
        <w:spacing w:after="0" w:line="293" w:lineRule="exact"/>
        <w:rPr>
          <w:sz w:val="20"/>
          <w:szCs w:val="20"/>
          <w:color w:val="auto"/>
        </w:rPr>
      </w:pPr>
    </w:p>
    <w:p>
      <w:pPr>
        <w:ind w:left="580"/>
        <w:spacing w:after="0"/>
        <w:rPr>
          <w:sz w:val="20"/>
          <w:szCs w:val="20"/>
          <w:color w:val="auto"/>
        </w:rPr>
      </w:pPr>
      <w:r>
        <w:rPr>
          <w:rFonts w:ascii="Arial" w:cs="Arial" w:eastAsia="Arial" w:hAnsi="Arial"/>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Number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Shares</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Beneficially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Owned by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Each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Reporting</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Person With</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-36195</wp:posOffset>
            </wp:positionH>
            <wp:positionV relativeFrom="paragraph">
              <wp:posOffset>48895</wp:posOffset>
            </wp:positionV>
            <wp:extent cx="65258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525895" cy="8890"/>
                    </a:xfrm>
                    <a:prstGeom prst="rect">
                      <a:avLst/>
                    </a:prstGeom>
                    <a:noFill/>
                  </pic:spPr>
                </pic:pic>
              </a:graphicData>
            </a:graphic>
          </wp:anchor>
        </w:drawing>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Citizenship or Place of Organization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-36195</wp:posOffset>
            </wp:positionH>
            <wp:positionV relativeFrom="paragraph">
              <wp:posOffset>40005</wp:posOffset>
            </wp:positionV>
            <wp:extent cx="65258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525895" cy="8890"/>
                    </a:xfrm>
                    <a:prstGeom prst="rect">
                      <a:avLst/>
                    </a:prstGeom>
                    <a:noFill/>
                  </pic:spPr>
                </pic:pic>
              </a:graphicData>
            </a:graphic>
          </wp:anchor>
        </w:drawing>
      </w:r>
    </w:p>
    <w:p>
      <w:pPr>
        <w:spacing w:after="0" w:line="258" w:lineRule="exact"/>
        <w:rPr>
          <w:sz w:val="20"/>
          <w:szCs w:val="20"/>
          <w:color w:val="auto"/>
        </w:rPr>
      </w:pPr>
    </w:p>
    <w:p>
      <w:pPr>
        <w:ind w:left="1140" w:right="6519" w:hanging="617"/>
        <w:spacing w:after="0" w:line="308" w:lineRule="auto"/>
        <w:tabs>
          <w:tab w:leader="none" w:pos="1140" w:val="left"/>
        </w:tabs>
        <w:numPr>
          <w:ilvl w:val="0"/>
          <w:numId w:val="3"/>
        </w:numPr>
        <w:rPr>
          <w:rFonts w:ascii="Arial" w:cs="Arial" w:eastAsia="Arial" w:hAnsi="Arial"/>
          <w:sz w:val="17"/>
          <w:szCs w:val="17"/>
          <w:color w:val="auto"/>
        </w:rPr>
      </w:pPr>
      <w:r>
        <w:rPr>
          <w:rFonts w:ascii="Arial" w:cs="Arial" w:eastAsia="Arial" w:hAnsi="Arial"/>
          <w:sz w:val="17"/>
          <w:szCs w:val="17"/>
          <w:color w:val="auto"/>
        </w:rPr>
        <w:t>Sole Voting Power 1,410,337</w:t>
      </w:r>
    </w:p>
    <w:p>
      <w:pPr>
        <w:spacing w:after="0" w:line="214" w:lineRule="exact"/>
        <w:rPr>
          <w:rFonts w:ascii="Arial" w:cs="Arial" w:eastAsia="Arial" w:hAnsi="Arial"/>
          <w:sz w:val="17"/>
          <w:szCs w:val="17"/>
          <w:color w:val="auto"/>
        </w:rPr>
      </w:pPr>
    </w:p>
    <w:p>
      <w:pPr>
        <w:ind w:left="1140" w:right="6339" w:hanging="617"/>
        <w:spacing w:after="0" w:line="277"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Voting Power 0</w:t>
      </w:r>
    </w:p>
    <w:p>
      <w:pPr>
        <w:spacing w:after="0" w:line="237" w:lineRule="exact"/>
        <w:rPr>
          <w:rFonts w:ascii="Arial" w:cs="Arial" w:eastAsia="Arial" w:hAnsi="Arial"/>
          <w:sz w:val="18"/>
          <w:szCs w:val="18"/>
          <w:color w:val="auto"/>
        </w:rPr>
      </w:pPr>
    </w:p>
    <w:p>
      <w:pPr>
        <w:ind w:left="1140" w:right="6179" w:hanging="617"/>
        <w:spacing w:after="0" w:line="277"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Dispositive Power 1,376,570</w:t>
      </w:r>
    </w:p>
    <w:p>
      <w:pPr>
        <w:spacing w:after="0" w:line="237" w:lineRule="exact"/>
        <w:rPr>
          <w:rFonts w:ascii="Arial" w:cs="Arial" w:eastAsia="Arial" w:hAnsi="Arial"/>
          <w:sz w:val="18"/>
          <w:szCs w:val="18"/>
          <w:color w:val="auto"/>
        </w:rPr>
      </w:pPr>
    </w:p>
    <w:p>
      <w:pPr>
        <w:ind w:left="1140" w:right="5999" w:hanging="617"/>
        <w:spacing w:after="0" w:line="277"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Dispositive Power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692150</wp:posOffset>
            </wp:positionH>
            <wp:positionV relativeFrom="paragraph">
              <wp:posOffset>14605</wp:posOffset>
            </wp:positionV>
            <wp:extent cx="57975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97550" cy="8890"/>
                    </a:xfrm>
                    <a:prstGeom prst="rect">
                      <a:avLst/>
                    </a:prstGeom>
                    <a:noFill/>
                  </pic:spPr>
                </pic:pic>
              </a:graphicData>
            </a:graphic>
          </wp:anchor>
        </w:drawing>
        <w:drawing>
          <wp:anchor simplePos="0" relativeHeight="251657728" behindDoc="1" locked="0" layoutInCell="0" allowOverlap="1">
            <wp:simplePos x="0" y="0"/>
            <wp:positionH relativeFrom="column">
              <wp:posOffset>692150</wp:posOffset>
            </wp:positionH>
            <wp:positionV relativeFrom="paragraph">
              <wp:posOffset>-439420</wp:posOffset>
            </wp:positionV>
            <wp:extent cx="57975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97550" cy="8890"/>
                    </a:xfrm>
                    <a:prstGeom prst="rect">
                      <a:avLst/>
                    </a:prstGeom>
                    <a:noFill/>
                  </pic:spPr>
                </pic:pic>
              </a:graphicData>
            </a:graphic>
          </wp:anchor>
        </w:drawing>
        <w:drawing>
          <wp:anchor simplePos="0" relativeHeight="251657728" behindDoc="1" locked="0" layoutInCell="0" allowOverlap="1">
            <wp:simplePos x="0" y="0"/>
            <wp:positionH relativeFrom="column">
              <wp:posOffset>692150</wp:posOffset>
            </wp:positionH>
            <wp:positionV relativeFrom="paragraph">
              <wp:posOffset>-894080</wp:posOffset>
            </wp:positionV>
            <wp:extent cx="579755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97550" cy="8890"/>
                    </a:xfrm>
                    <a:prstGeom prst="rect">
                      <a:avLst/>
                    </a:prstGeom>
                    <a:noFill/>
                  </pic:spPr>
                </pic:pic>
              </a:graphicData>
            </a:graphic>
          </wp:anchor>
        </w:drawing>
        <w:drawing>
          <wp:anchor simplePos="0" relativeHeight="251657728" behindDoc="1" locked="0" layoutInCell="0" allowOverlap="1">
            <wp:simplePos x="0" y="0"/>
            <wp:positionH relativeFrom="column">
              <wp:posOffset>692150</wp:posOffset>
            </wp:positionH>
            <wp:positionV relativeFrom="paragraph">
              <wp:posOffset>-1348740</wp:posOffset>
            </wp:positionV>
            <wp:extent cx="579755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900" w:space="300"/>
            <w:col w:w="9019"/>
          </w:cols>
          <w:pgMar w:left="240" w:top="409" w:right="1440" w:bottom="1440" w:gutter="0" w:footer="0" w:header="0"/>
          <w:type w:val="continuous"/>
        </w:sectPr>
      </w:pPr>
    </w:p>
    <w:p>
      <w:pPr>
        <w:spacing w:after="0" w:line="38" w:lineRule="exact"/>
        <w:rPr>
          <w:sz w:val="20"/>
          <w:szCs w:val="20"/>
          <w:color w:val="auto"/>
        </w:rPr>
      </w:pPr>
    </w:p>
    <w:p>
      <w:pPr>
        <w:ind w:left="1220" w:right="4199" w:hanging="631"/>
        <w:spacing w:after="0" w:line="277" w:lineRule="auto"/>
        <w:tabs>
          <w:tab w:leader="none" w:pos="1220" w:val="left"/>
        </w:tabs>
        <w:numPr>
          <w:ilvl w:val="0"/>
          <w:numId w:val="4"/>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1,442,300</w:t>
      </w:r>
    </w:p>
    <w:p>
      <w:pPr>
        <w:spacing w:after="0" w:line="224" w:lineRule="exact"/>
        <w:rPr>
          <w:rFonts w:ascii="Arial" w:cs="Arial" w:eastAsia="Arial" w:hAnsi="Arial"/>
          <w:sz w:val="18"/>
          <w:szCs w:val="18"/>
          <w:color w:val="auto"/>
        </w:rPr>
      </w:pPr>
    </w:p>
    <w:p>
      <w:pPr>
        <w:ind w:left="1220" w:hanging="631"/>
        <w:spacing w:after="0"/>
        <w:tabs>
          <w:tab w:leader="none" w:pos="1220" w:val="left"/>
        </w:tabs>
        <w:numPr>
          <w:ilvl w:val="0"/>
          <w:numId w:val="4"/>
        </w:numPr>
        <w:rPr>
          <w:rFonts w:ascii="Arial" w:cs="Arial" w:eastAsia="Arial" w:hAnsi="Arial"/>
          <w:sz w:val="16"/>
          <w:szCs w:val="16"/>
          <w:color w:val="auto"/>
        </w:rPr>
      </w:pPr>
      <w:r>
        <w:rPr>
          <w:rFonts w:ascii="Arial" w:cs="Arial" w:eastAsia="Arial" w:hAnsi="Arial"/>
          <w:sz w:val="16"/>
          <w:szCs w:val="16"/>
          <w:color w:val="auto"/>
        </w:rPr>
        <w:t>Check if the Aggregate Amount in Row (9) Excludes Certain Shares (See Instructions) o N/A</w:t>
      </w:r>
    </w:p>
    <w:p>
      <w:pPr>
        <w:spacing w:after="0" w:line="302" w:lineRule="exact"/>
        <w:rPr>
          <w:rFonts w:ascii="Arial" w:cs="Arial" w:eastAsia="Arial" w:hAnsi="Arial"/>
          <w:sz w:val="16"/>
          <w:szCs w:val="16"/>
          <w:color w:val="auto"/>
        </w:rPr>
      </w:pPr>
    </w:p>
    <w:p>
      <w:pPr>
        <w:ind w:left="1220" w:right="5219" w:hanging="631"/>
        <w:spacing w:after="0" w:line="277" w:lineRule="auto"/>
        <w:tabs>
          <w:tab w:leader="none" w:pos="1220"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Percent of Class Represented by Amount in Row (9) 5.38%</w:t>
      </w:r>
    </w:p>
    <w:p>
      <w:pPr>
        <w:spacing w:after="0" w:line="224" w:lineRule="exact"/>
        <w:rPr>
          <w:rFonts w:ascii="Arial" w:cs="Arial" w:eastAsia="Arial" w:hAnsi="Arial"/>
          <w:sz w:val="18"/>
          <w:szCs w:val="18"/>
          <w:color w:val="auto"/>
        </w:rPr>
      </w:pPr>
    </w:p>
    <w:p>
      <w:pPr>
        <w:ind w:left="1220" w:hanging="631"/>
        <w:spacing w:after="0"/>
        <w:tabs>
          <w:tab w:leader="none" w:pos="12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 (See Instructions)</w:t>
      </w:r>
    </w:p>
    <w:p>
      <w:pPr>
        <w:spacing w:after="0" w:line="23" w:lineRule="exact"/>
        <w:rPr>
          <w:rFonts w:ascii="Arial" w:cs="Arial" w:eastAsia="Arial" w:hAnsi="Arial"/>
          <w:sz w:val="18"/>
          <w:szCs w:val="18"/>
          <w:color w:val="auto"/>
        </w:rPr>
      </w:pPr>
    </w:p>
    <w:p>
      <w:pPr>
        <w:ind w:left="1220"/>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40005</wp:posOffset>
            </wp:positionV>
            <wp:extent cx="651764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517640" cy="8890"/>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-405130</wp:posOffset>
            </wp:positionV>
            <wp:extent cx="651764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517640" cy="8890"/>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-850900</wp:posOffset>
            </wp:positionV>
            <wp:extent cx="651764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517640" cy="8890"/>
                    </a:xfrm>
                    <a:prstGeom prst="rect">
                      <a:avLst/>
                    </a:prstGeom>
                    <a:noFill/>
                  </pic:spPr>
                </pic:pic>
              </a:graphicData>
            </a:graphic>
          </wp:anchor>
        </w:drawing>
        <w:drawing>
          <wp:anchor simplePos="0" relativeHeight="251657728" behindDoc="1" locked="0" layoutInCell="0" allowOverlap="1">
            <wp:simplePos x="0" y="0"/>
            <wp:positionH relativeFrom="column">
              <wp:posOffset>734060</wp:posOffset>
            </wp:positionH>
            <wp:positionV relativeFrom="paragraph">
              <wp:posOffset>-1160145</wp:posOffset>
            </wp:positionV>
            <wp:extent cx="65176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517640" cy="8890"/>
                    </a:xfrm>
                    <a:prstGeom prst="rect">
                      <a:avLst/>
                    </a:prstGeom>
                    <a:noFill/>
                  </pic:spPr>
                </pic:pic>
              </a:graphicData>
            </a:graphic>
          </wp:anchor>
        </w:drawing>
      </w:r>
    </w:p>
    <w:p>
      <w:pPr>
        <w:spacing w:after="0" w:line="23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342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0219"/>
          </w:cols>
          <w:pgMar w:left="240" w:top="409" w:right="1440" w:bottom="1440" w:gutter="0" w:footer="0" w:header="0"/>
          <w:type w:val="continuous"/>
        </w:sectPr>
      </w:pPr>
    </w:p>
    <w:bookmarkStart w:id="2" w:name="page3"/>
    <w:bookmarkEnd w:id="2"/>
    <w:p>
      <w:pPr>
        <w:spacing w:after="0"/>
        <w:rPr>
          <w:sz w:val="20"/>
          <w:szCs w:val="20"/>
          <w:color w:val="auto"/>
        </w:rPr>
      </w:pPr>
      <w:r>
        <w:rPr>
          <w:rFonts w:ascii="Arial" w:cs="Arial" w:eastAsia="Arial" w:hAnsi="Arial"/>
          <w:sz w:val="18"/>
          <w:szCs w:val="18"/>
          <w:b w:val="1"/>
          <w:bCs w:val="1"/>
          <w:color w:val="auto"/>
        </w:rPr>
        <w:t>Item 1.</w:t>
      </w:r>
    </w:p>
    <w:p>
      <w:pPr>
        <w:spacing w:after="0" w:line="229" w:lineRule="exact"/>
        <w:rPr>
          <w:sz w:val="20"/>
          <w:szCs w:val="20"/>
          <w:color w:val="auto"/>
        </w:rPr>
      </w:pPr>
    </w:p>
    <w:p>
      <w:pPr>
        <w:ind w:left="1540" w:right="8780" w:hanging="627"/>
        <w:spacing w:after="0" w:line="342" w:lineRule="auto"/>
        <w:tabs>
          <w:tab w:leader="none" w:pos="1540" w:val="left"/>
        </w:tabs>
        <w:numPr>
          <w:ilvl w:val="0"/>
          <w:numId w:val="5"/>
        </w:numPr>
        <w:rPr>
          <w:rFonts w:ascii="Arial" w:cs="Arial" w:eastAsia="Arial" w:hAnsi="Arial"/>
          <w:sz w:val="16"/>
          <w:szCs w:val="16"/>
          <w:color w:val="auto"/>
        </w:rPr>
      </w:pPr>
      <w:r>
        <w:rPr>
          <w:rFonts w:ascii="Arial" w:cs="Arial" w:eastAsia="Arial" w:hAnsi="Arial"/>
          <w:sz w:val="16"/>
          <w:szCs w:val="16"/>
          <w:color w:val="auto"/>
        </w:rPr>
        <w:t>Name of Issuer NextCure Inc.</w:t>
      </w:r>
    </w:p>
    <w:p>
      <w:pPr>
        <w:spacing w:after="0" w:line="29" w:lineRule="exact"/>
        <w:rPr>
          <w:rFonts w:ascii="Arial" w:cs="Arial" w:eastAsia="Arial" w:hAnsi="Arial"/>
          <w:sz w:val="16"/>
          <w:szCs w:val="16"/>
          <w:color w:val="auto"/>
        </w:rPr>
      </w:pPr>
    </w:p>
    <w:p>
      <w:pPr>
        <w:ind w:left="1540" w:right="6460" w:hanging="627"/>
        <w:spacing w:after="0" w:line="264" w:lineRule="auto"/>
        <w:tabs>
          <w:tab w:leader="none" w:pos="15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Address of Issuer’s Principal Executive Offices 9000 Virginia Manor Road, Suite 200 Beltsville, Maryland 20705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939800</wp:posOffset>
            </wp:positionH>
            <wp:positionV relativeFrom="paragraph">
              <wp:posOffset>21590</wp:posOffset>
            </wp:positionV>
            <wp:extent cx="63119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311900" cy="8890"/>
                    </a:xfrm>
                    <a:prstGeom prst="rect">
                      <a:avLst/>
                    </a:prstGeom>
                    <a:noFill/>
                  </pic:spPr>
                </pic:pic>
              </a:graphicData>
            </a:graphic>
          </wp:anchor>
        </w:drawing>
        <w:drawing>
          <wp:anchor simplePos="0" relativeHeight="251657728" behindDoc="1" locked="0" layoutInCell="0" allowOverlap="1">
            <wp:simplePos x="0" y="0"/>
            <wp:positionH relativeFrom="column">
              <wp:posOffset>939800</wp:posOffset>
            </wp:positionH>
            <wp:positionV relativeFrom="paragraph">
              <wp:posOffset>-466725</wp:posOffset>
            </wp:positionV>
            <wp:extent cx="63119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311900" cy="8890"/>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29" w:lineRule="exact"/>
        <w:rPr>
          <w:sz w:val="20"/>
          <w:szCs w:val="20"/>
          <w:color w:val="auto"/>
        </w:rPr>
      </w:pPr>
    </w:p>
    <w:p>
      <w:pPr>
        <w:ind w:left="1540" w:right="8040" w:hanging="627"/>
        <w:spacing w:after="0" w:line="308" w:lineRule="auto"/>
        <w:tabs>
          <w:tab w:leader="none" w:pos="1540" w:val="left"/>
        </w:tabs>
        <w:numPr>
          <w:ilvl w:val="0"/>
          <w:numId w:val="6"/>
        </w:numPr>
        <w:rPr>
          <w:rFonts w:ascii="Arial" w:cs="Arial" w:eastAsia="Arial" w:hAnsi="Arial"/>
          <w:sz w:val="17"/>
          <w:szCs w:val="17"/>
          <w:color w:val="auto"/>
        </w:rPr>
      </w:pPr>
      <w:r>
        <w:rPr>
          <w:rFonts w:ascii="Arial" w:cs="Arial" w:eastAsia="Arial" w:hAnsi="Arial"/>
          <w:sz w:val="17"/>
          <w:szCs w:val="17"/>
          <w:color w:val="auto"/>
        </w:rPr>
        <w:t>Name of Person Filing Lord, Abbett &amp; Co. LLC.</w:t>
      </w:r>
    </w:p>
    <w:p>
      <w:pPr>
        <w:spacing w:after="0" w:line="51" w:lineRule="exact"/>
        <w:rPr>
          <w:rFonts w:ascii="Arial" w:cs="Arial" w:eastAsia="Arial" w:hAnsi="Arial"/>
          <w:sz w:val="17"/>
          <w:szCs w:val="17"/>
          <w:color w:val="auto"/>
        </w:rPr>
      </w:pPr>
    </w:p>
    <w:p>
      <w:pPr>
        <w:ind w:left="1540" w:right="5600" w:hanging="627"/>
        <w:spacing w:after="0" w:line="258"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 90 Hudson Street</w:t>
      </w:r>
    </w:p>
    <w:p>
      <w:pPr>
        <w:spacing w:after="0" w:line="1" w:lineRule="exact"/>
        <w:rPr>
          <w:rFonts w:ascii="Arial" w:cs="Arial" w:eastAsia="Arial" w:hAnsi="Arial"/>
          <w:sz w:val="18"/>
          <w:szCs w:val="18"/>
          <w:color w:val="auto"/>
        </w:rPr>
      </w:pPr>
    </w:p>
    <w:p>
      <w:pPr>
        <w:ind w:left="1540"/>
        <w:spacing w:after="0"/>
        <w:rPr>
          <w:rFonts w:ascii="Arial" w:cs="Arial" w:eastAsia="Arial" w:hAnsi="Arial"/>
          <w:sz w:val="18"/>
          <w:szCs w:val="18"/>
          <w:color w:val="auto"/>
        </w:rPr>
      </w:pPr>
      <w:r>
        <w:rPr>
          <w:rFonts w:ascii="Arial" w:cs="Arial" w:eastAsia="Arial" w:hAnsi="Arial"/>
          <w:sz w:val="18"/>
          <w:szCs w:val="18"/>
          <w:color w:val="auto"/>
        </w:rPr>
        <w:t>Jersey City, NJ 07302.</w:t>
      </w:r>
    </w:p>
    <w:p>
      <w:pPr>
        <w:spacing w:after="0" w:line="116" w:lineRule="exact"/>
        <w:rPr>
          <w:rFonts w:ascii="Arial" w:cs="Arial" w:eastAsia="Arial" w:hAnsi="Arial"/>
          <w:sz w:val="18"/>
          <w:szCs w:val="18"/>
          <w:color w:val="auto"/>
        </w:rPr>
      </w:pPr>
    </w:p>
    <w:p>
      <w:pPr>
        <w:ind w:left="1540" w:hanging="627"/>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3" w:lineRule="exact"/>
        <w:rPr>
          <w:rFonts w:ascii="Arial" w:cs="Arial" w:eastAsia="Arial" w:hAnsi="Arial"/>
          <w:sz w:val="18"/>
          <w:szCs w:val="18"/>
          <w:color w:val="auto"/>
        </w:rPr>
      </w:pPr>
    </w:p>
    <w:p>
      <w:pPr>
        <w:ind w:left="1540"/>
        <w:spacing w:after="0"/>
        <w:rPr>
          <w:rFonts w:ascii="Arial" w:cs="Arial" w:eastAsia="Arial" w:hAnsi="Arial"/>
          <w:sz w:val="18"/>
          <w:szCs w:val="18"/>
          <w:color w:val="auto"/>
        </w:rPr>
      </w:pPr>
      <w:r>
        <w:rPr>
          <w:rFonts w:ascii="Arial" w:cs="Arial" w:eastAsia="Arial" w:hAnsi="Arial"/>
          <w:sz w:val="18"/>
          <w:szCs w:val="18"/>
          <w:color w:val="auto"/>
        </w:rPr>
        <w:t>See No. 4 on page 2.</w:t>
      </w:r>
    </w:p>
    <w:p>
      <w:pPr>
        <w:spacing w:after="0" w:line="116" w:lineRule="exact"/>
        <w:rPr>
          <w:rFonts w:ascii="Arial" w:cs="Arial" w:eastAsia="Arial" w:hAnsi="Arial"/>
          <w:sz w:val="18"/>
          <w:szCs w:val="18"/>
          <w:color w:val="auto"/>
        </w:rPr>
      </w:pPr>
    </w:p>
    <w:p>
      <w:pPr>
        <w:ind w:left="1540" w:right="7920" w:hanging="627"/>
        <w:spacing w:after="0" w:line="342" w:lineRule="auto"/>
        <w:tabs>
          <w:tab w:leader="none" w:pos="1540" w:val="left"/>
        </w:tabs>
        <w:numPr>
          <w:ilvl w:val="0"/>
          <w:numId w:val="6"/>
        </w:numPr>
        <w:rPr>
          <w:rFonts w:ascii="Arial" w:cs="Arial" w:eastAsia="Arial" w:hAnsi="Arial"/>
          <w:sz w:val="16"/>
          <w:szCs w:val="16"/>
          <w:color w:val="auto"/>
        </w:rPr>
      </w:pPr>
      <w:r>
        <w:rPr>
          <w:rFonts w:ascii="Arial" w:cs="Arial" w:eastAsia="Arial" w:hAnsi="Arial"/>
          <w:sz w:val="16"/>
          <w:szCs w:val="16"/>
          <w:color w:val="auto"/>
        </w:rPr>
        <w:t>Title of Class of Securities; See cover page.</w:t>
      </w:r>
    </w:p>
    <w:p>
      <w:pPr>
        <w:spacing w:after="0" w:line="29" w:lineRule="exact"/>
        <w:rPr>
          <w:rFonts w:ascii="Arial" w:cs="Arial" w:eastAsia="Arial" w:hAnsi="Arial"/>
          <w:sz w:val="16"/>
          <w:szCs w:val="16"/>
          <w:color w:val="auto"/>
        </w:rPr>
      </w:pPr>
    </w:p>
    <w:p>
      <w:pPr>
        <w:jc w:val="both"/>
        <w:ind w:left="1540" w:right="8740" w:hanging="627"/>
        <w:spacing w:after="0" w:line="381" w:lineRule="auto"/>
        <w:tabs>
          <w:tab w:leader="none" w:pos="1540" w:val="left"/>
        </w:tabs>
        <w:numPr>
          <w:ilvl w:val="0"/>
          <w:numId w:val="6"/>
        </w:numPr>
        <w:rPr>
          <w:rFonts w:ascii="Arial" w:cs="Arial" w:eastAsia="Arial" w:hAnsi="Arial"/>
          <w:sz w:val="15"/>
          <w:szCs w:val="15"/>
          <w:color w:val="auto"/>
        </w:rPr>
      </w:pPr>
      <w:r>
        <w:rPr>
          <w:rFonts w:ascii="Arial" w:cs="Arial" w:eastAsia="Arial" w:hAnsi="Arial"/>
          <w:sz w:val="15"/>
          <w:szCs w:val="15"/>
          <w:color w:val="auto"/>
        </w:rPr>
        <w:t>CUSIP Number See cover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939800</wp:posOffset>
            </wp:positionH>
            <wp:positionV relativeFrom="paragraph">
              <wp:posOffset>-29210</wp:posOffset>
            </wp:positionV>
            <wp:extent cx="63119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311900" cy="8890"/>
                    </a:xfrm>
                    <a:prstGeom prst="rect">
                      <a:avLst/>
                    </a:prstGeom>
                    <a:noFill/>
                  </pic:spPr>
                </pic:pic>
              </a:graphicData>
            </a:graphic>
          </wp:anchor>
        </w:drawing>
        <w:drawing>
          <wp:anchor simplePos="0" relativeHeight="251657728" behindDoc="1" locked="0" layoutInCell="0" allowOverlap="1">
            <wp:simplePos x="0" y="0"/>
            <wp:positionH relativeFrom="column">
              <wp:posOffset>939800</wp:posOffset>
            </wp:positionH>
            <wp:positionV relativeFrom="paragraph">
              <wp:posOffset>-381000</wp:posOffset>
            </wp:positionV>
            <wp:extent cx="631190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311900" cy="8890"/>
                    </a:xfrm>
                    <a:prstGeom prst="rect">
                      <a:avLst/>
                    </a:prstGeom>
                    <a:noFill/>
                  </pic:spPr>
                </pic:pic>
              </a:graphicData>
            </a:graphic>
          </wp:anchor>
        </w:drawing>
        <w:drawing>
          <wp:anchor simplePos="0" relativeHeight="251657728" behindDoc="1" locked="0" layoutInCell="0" allowOverlap="1">
            <wp:simplePos x="0" y="0"/>
            <wp:positionH relativeFrom="column">
              <wp:posOffset>939800</wp:posOffset>
            </wp:positionH>
            <wp:positionV relativeFrom="paragraph">
              <wp:posOffset>-732790</wp:posOffset>
            </wp:positionV>
            <wp:extent cx="63119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311900" cy="8890"/>
                    </a:xfrm>
                    <a:prstGeom prst="rect">
                      <a:avLst/>
                    </a:prstGeom>
                    <a:noFill/>
                  </pic:spPr>
                </pic:pic>
              </a:graphicData>
            </a:graphic>
          </wp:anchor>
        </w:drawing>
        <w:drawing>
          <wp:anchor simplePos="0" relativeHeight="251657728" behindDoc="1" locked="0" layoutInCell="0" allowOverlap="1">
            <wp:simplePos x="0" y="0"/>
            <wp:positionH relativeFrom="column">
              <wp:posOffset>939800</wp:posOffset>
            </wp:positionH>
            <wp:positionV relativeFrom="paragraph">
              <wp:posOffset>-1083945</wp:posOffset>
            </wp:positionV>
            <wp:extent cx="63119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311900" cy="8890"/>
                    </a:xfrm>
                    <a:prstGeom prst="rect">
                      <a:avLst/>
                    </a:prstGeom>
                    <a:noFill/>
                  </pic:spPr>
                </pic:pic>
              </a:graphicData>
            </a:graphic>
          </wp:anchor>
        </w:drawing>
        <w:drawing>
          <wp:anchor simplePos="0" relativeHeight="251657728" behindDoc="1" locked="0" layoutInCell="0" allowOverlap="1">
            <wp:simplePos x="0" y="0"/>
            <wp:positionH relativeFrom="column">
              <wp:posOffset>939800</wp:posOffset>
            </wp:positionH>
            <wp:positionV relativeFrom="paragraph">
              <wp:posOffset>-1572895</wp:posOffset>
            </wp:positionV>
            <wp:extent cx="63119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311900" cy="8890"/>
                    </a:xfrm>
                    <a:prstGeom prst="rect">
                      <a:avLst/>
                    </a:prstGeom>
                    <a:noFill/>
                  </pic:spPr>
                </pic:pic>
              </a:graphicData>
            </a:graphic>
          </wp:anchor>
        </w:drawing>
      </w:r>
    </w:p>
    <w:p>
      <w:pPr>
        <w:spacing w:after="0" w:line="14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§§240.13d-1(b) or 240.13d-2(b) or (c), check whether the person filing is a:</w:t>
      </w:r>
    </w:p>
    <w:p>
      <w:pPr>
        <w:spacing w:after="0" w:line="229" w:lineRule="exact"/>
        <w:rPr>
          <w:sz w:val="20"/>
          <w:szCs w:val="20"/>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An investment adviser in accordance with §240.13d-1(b)(1)(ii)(E);</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parent holding company or control person in accordance with §240.13d-1(b)(1)(ii)(G);</w:t>
      </w:r>
    </w:p>
    <w:p>
      <w:pPr>
        <w:spacing w:after="0" w:line="225"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 as defined in Section 3(b) of the Federal Deposit Insurance Act (12 U.S.C. 1813);</w:t>
      </w:r>
    </w:p>
    <w:p>
      <w:pPr>
        <w:spacing w:after="0" w:line="225" w:lineRule="exact"/>
        <w:rPr>
          <w:rFonts w:ascii="Arial" w:cs="Arial" w:eastAsia="Arial" w:hAnsi="Arial"/>
          <w:sz w:val="18"/>
          <w:szCs w:val="18"/>
          <w:color w:val="auto"/>
        </w:rPr>
      </w:pPr>
    </w:p>
    <w:p>
      <w:pPr>
        <w:ind w:left="2040" w:right="140" w:hanging="1127"/>
        <w:spacing w:after="0" w:line="277" w:lineRule="auto"/>
        <w:tabs>
          <w:tab w:leader="none" w:pos="1527" w:val="left"/>
        </w:tabs>
        <w:numPr>
          <w:ilvl w:val="0"/>
          <w:numId w:val="7"/>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70" w:lineRule="exact"/>
        <w:rPr>
          <w:rFonts w:ascii="Arial" w:cs="Arial" w:eastAsia="Arial" w:hAnsi="Arial"/>
          <w:sz w:val="18"/>
          <w:szCs w:val="18"/>
          <w:color w:val="auto"/>
        </w:rPr>
      </w:pPr>
    </w:p>
    <w:p>
      <w:pPr>
        <w:ind w:left="1540" w:hanging="627"/>
        <w:spacing w:after="0"/>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20" w:type="dxa"/>
            <w:vAlign w:val="bottom"/>
            <w:vMerge w:val="restart"/>
          </w:tcPr>
          <w:p>
            <w:pPr>
              <w:ind w:left="920"/>
              <w:spacing w:after="0"/>
              <w:rPr>
                <w:sz w:val="20"/>
                <w:szCs w:val="20"/>
                <w:color w:val="auto"/>
              </w:rPr>
            </w:pPr>
            <w:r>
              <w:rPr>
                <w:rFonts w:ascii="Arial" w:cs="Arial" w:eastAsia="Arial" w:hAnsi="Arial"/>
                <w:sz w:val="18"/>
                <w:szCs w:val="18"/>
                <w:color w:val="auto"/>
              </w:rPr>
              <w:t>(k)</w:t>
            </w:r>
          </w:p>
        </w:tc>
        <w:tc>
          <w:tcPr>
            <w:tcW w:w="520" w:type="dxa"/>
            <w:vAlign w:val="bottom"/>
            <w:vMerge w:val="restart"/>
          </w:tcPr>
          <w:p>
            <w:pPr>
              <w:ind w:left="220"/>
              <w:spacing w:after="0"/>
              <w:rPr>
                <w:sz w:val="20"/>
                <w:szCs w:val="20"/>
                <w:color w:val="auto"/>
              </w:rPr>
            </w:pPr>
            <w:r>
              <w:rPr>
                <w:rFonts w:ascii="Arial" w:cs="Arial" w:eastAsia="Arial" w:hAnsi="Arial"/>
                <w:sz w:val="18"/>
                <w:szCs w:val="18"/>
                <w:color w:val="auto"/>
              </w:rPr>
              <w:t>o</w:t>
            </w:r>
          </w:p>
        </w:tc>
        <w:tc>
          <w:tcPr>
            <w:tcW w:w="9580" w:type="dxa"/>
            <w:vAlign w:val="bottom"/>
          </w:tcPr>
          <w:p>
            <w:pPr>
              <w:ind w:left="200"/>
              <w:spacing w:after="0"/>
              <w:rPr>
                <w:sz w:val="20"/>
                <w:szCs w:val="20"/>
                <w:color w:val="auto"/>
              </w:rPr>
            </w:pPr>
            <w:r>
              <w:rPr>
                <w:rFonts w:ascii="Arial" w:cs="Arial" w:eastAsia="Arial" w:hAnsi="Arial"/>
                <w:sz w:val="18"/>
                <w:szCs w:val="18"/>
                <w:color w:val="auto"/>
              </w:rPr>
              <w:t>Group, in accordance with § 240.13d–1(b)(1)(ii)(K). If filing as a non-U.S. institution in accordance with</w:t>
            </w:r>
          </w:p>
        </w:tc>
        <w:tc>
          <w:tcPr>
            <w:tcW w:w="0" w:type="dxa"/>
            <w:vAlign w:val="bottom"/>
          </w:tcPr>
          <w:p>
            <w:pPr>
              <w:spacing w:after="0"/>
              <w:rPr>
                <w:sz w:val="1"/>
                <w:szCs w:val="1"/>
                <w:color w:val="auto"/>
              </w:rPr>
            </w:pPr>
          </w:p>
        </w:tc>
      </w:tr>
      <w:tr>
        <w:trPr>
          <w:trHeight w:val="122"/>
        </w:trPr>
        <w:tc>
          <w:tcPr>
            <w:tcW w:w="13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580" w:type="dxa"/>
            <w:vAlign w:val="bottom"/>
            <w:vMerge w:val="restart"/>
          </w:tcPr>
          <w:p>
            <w:pPr>
              <w:ind w:left="200"/>
              <w:spacing w:after="0"/>
              <w:rPr>
                <w:sz w:val="20"/>
                <w:szCs w:val="20"/>
                <w:color w:val="auto"/>
              </w:rPr>
            </w:pPr>
            <w:r>
              <w:rPr>
                <w:rFonts w:ascii="Arial" w:cs="Arial" w:eastAsia="Arial" w:hAnsi="Arial"/>
                <w:sz w:val="18"/>
                <w:szCs w:val="18"/>
                <w:color w:val="auto"/>
              </w:rPr>
              <w:t>§ 240.13d–1(b)(1)(ii)(J), please specify the type of institution:____________________________</w:t>
            </w:r>
          </w:p>
        </w:tc>
        <w:tc>
          <w:tcPr>
            <w:tcW w:w="0" w:type="dxa"/>
            <w:vAlign w:val="bottom"/>
          </w:tcPr>
          <w:p>
            <w:pPr>
              <w:spacing w:after="0"/>
              <w:rPr>
                <w:sz w:val="1"/>
                <w:szCs w:val="1"/>
                <w:color w:val="auto"/>
              </w:rPr>
            </w:pPr>
          </w:p>
        </w:tc>
      </w:tr>
      <w:tr>
        <w:trPr>
          <w:trHeight w:val="108"/>
        </w:trPr>
        <w:tc>
          <w:tcPr>
            <w:tcW w:w="1320" w:type="dxa"/>
            <w:vAlign w:val="bottom"/>
          </w:tcPr>
          <w:p>
            <w:pPr>
              <w:spacing w:after="0"/>
              <w:rPr>
                <w:sz w:val="9"/>
                <w:szCs w:val="9"/>
                <w:color w:val="auto"/>
              </w:rPr>
            </w:pPr>
          </w:p>
        </w:tc>
        <w:tc>
          <w:tcPr>
            <w:tcW w:w="520" w:type="dxa"/>
            <w:vAlign w:val="bottom"/>
          </w:tcPr>
          <w:p>
            <w:pPr>
              <w:spacing w:after="0"/>
              <w:rPr>
                <w:sz w:val="9"/>
                <w:szCs w:val="9"/>
                <w:color w:val="auto"/>
              </w:rPr>
            </w:pPr>
          </w:p>
        </w:tc>
        <w:tc>
          <w:tcPr>
            <w:tcW w:w="9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05"/>
        </w:trPr>
        <w:tc>
          <w:tcPr>
            <w:tcW w:w="1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580" w:type="dxa"/>
            <w:vAlign w:val="bottom"/>
          </w:tcPr>
          <w:p>
            <w:pPr>
              <w:jc w:val="right"/>
              <w:ind w:right="557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50"/>
        </w:trPr>
        <w:tc>
          <w:tcPr>
            <w:tcW w:w="1320" w:type="dxa"/>
            <w:vAlign w:val="bottom"/>
            <w:tcBorders>
              <w:bottom w:val="single" w:sz="8" w:color="C0C0C0"/>
            </w:tcBorders>
          </w:tcPr>
          <w:p>
            <w:pPr>
              <w:spacing w:after="0"/>
              <w:rPr>
                <w:sz w:val="21"/>
                <w:szCs w:val="21"/>
                <w:color w:val="auto"/>
              </w:rPr>
            </w:pPr>
          </w:p>
        </w:tc>
        <w:tc>
          <w:tcPr>
            <w:tcW w:w="520" w:type="dxa"/>
            <w:vAlign w:val="bottom"/>
            <w:tcBorders>
              <w:bottom w:val="single" w:sz="8" w:color="C0C0C0"/>
            </w:tcBorders>
          </w:tcPr>
          <w:p>
            <w:pPr>
              <w:spacing w:after="0"/>
              <w:rPr>
                <w:sz w:val="21"/>
                <w:szCs w:val="21"/>
                <w:color w:val="auto"/>
              </w:rPr>
            </w:pPr>
          </w:p>
        </w:tc>
        <w:tc>
          <w:tcPr>
            <w:tcW w:w="9580" w:type="dxa"/>
            <w:vAlign w:val="bottom"/>
            <w:tcBorders>
              <w:bottom w:val="single" w:sz="8" w:color="C0C0C0"/>
            </w:tcBorders>
          </w:tcPr>
          <w:p>
            <w:pPr>
              <w:spacing w:after="0"/>
              <w:rPr>
                <w:sz w:val="21"/>
                <w:szCs w:val="21"/>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05" w:right="239" w:bottom="1440" w:gutter="0" w:footer="0" w:header="0"/>
        </w:sectPr>
      </w:pPr>
    </w:p>
    <w:bookmarkStart w:id="3" w:name="page4"/>
    <w:bookmarkEnd w:id="3"/>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225" w:lineRule="exact"/>
        <w:rPr>
          <w:sz w:val="20"/>
          <w:szCs w:val="20"/>
          <w:color w:val="auto"/>
        </w:rPr>
      </w:pPr>
    </w:p>
    <w:p>
      <w:pPr>
        <w:ind w:left="1500" w:right="7740" w:hanging="383"/>
        <w:spacing w:after="0" w:line="449" w:lineRule="auto"/>
        <w:tabs>
          <w:tab w:leader="none" w:pos="1500" w:val="left"/>
        </w:tabs>
        <w:numPr>
          <w:ilvl w:val="0"/>
          <w:numId w:val="8"/>
        </w:numPr>
        <w:rPr>
          <w:rFonts w:ascii="Arial" w:cs="Arial" w:eastAsia="Arial" w:hAnsi="Arial"/>
          <w:sz w:val="16"/>
          <w:szCs w:val="16"/>
          <w:color w:val="auto"/>
        </w:rPr>
      </w:pPr>
      <w:r>
        <w:rPr>
          <w:rFonts w:ascii="Arial" w:cs="Arial" w:eastAsia="Arial" w:hAnsi="Arial"/>
          <w:sz w:val="16"/>
          <w:szCs w:val="16"/>
          <w:color w:val="auto"/>
        </w:rPr>
        <w:t>Amount beneficially owned: See No. 9 on page 2.</w:t>
      </w:r>
    </w:p>
    <w:p>
      <w:pPr>
        <w:spacing w:after="0" w:line="13" w:lineRule="exact"/>
        <w:rPr>
          <w:rFonts w:ascii="Arial" w:cs="Arial" w:eastAsia="Arial" w:hAnsi="Arial"/>
          <w:sz w:val="16"/>
          <w:szCs w:val="16"/>
          <w:color w:val="auto"/>
        </w:rPr>
      </w:pPr>
    </w:p>
    <w:p>
      <w:pPr>
        <w:ind w:left="1500" w:hanging="388"/>
        <w:spacing w:after="0"/>
        <w:tabs>
          <w:tab w:leader="none" w:pos="1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103" w:lineRule="exact"/>
        <w:rPr>
          <w:rFonts w:ascii="Arial" w:cs="Arial" w:eastAsia="Arial" w:hAnsi="Arial"/>
          <w:sz w:val="18"/>
          <w:szCs w:val="18"/>
          <w:color w:val="auto"/>
        </w:rPr>
      </w:pPr>
    </w:p>
    <w:p>
      <w:pPr>
        <w:ind w:left="1500"/>
        <w:spacing w:after="0"/>
        <w:rPr>
          <w:rFonts w:ascii="Arial" w:cs="Arial" w:eastAsia="Arial" w:hAnsi="Arial"/>
          <w:sz w:val="18"/>
          <w:szCs w:val="18"/>
          <w:color w:val="auto"/>
        </w:rPr>
      </w:pPr>
      <w:r>
        <w:rPr>
          <w:rFonts w:ascii="Arial" w:cs="Arial" w:eastAsia="Arial" w:hAnsi="Arial"/>
          <w:sz w:val="18"/>
          <w:szCs w:val="18"/>
          <w:color w:val="auto"/>
        </w:rPr>
        <w:t>See No. 11 on page 2.</w:t>
      </w:r>
    </w:p>
    <w:p>
      <w:pPr>
        <w:spacing w:after="0" w:line="184" w:lineRule="exact"/>
        <w:rPr>
          <w:rFonts w:ascii="Arial" w:cs="Arial" w:eastAsia="Arial" w:hAnsi="Arial"/>
          <w:sz w:val="18"/>
          <w:szCs w:val="18"/>
          <w:color w:val="auto"/>
        </w:rPr>
      </w:pPr>
    </w:p>
    <w:p>
      <w:pPr>
        <w:ind w:left="1500" w:hanging="383"/>
        <w:spacing w:after="0"/>
        <w:tabs>
          <w:tab w:leader="none" w:pos="1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2080" w:right="6420" w:hanging="483"/>
        <w:spacing w:after="0" w:line="387" w:lineRule="auto"/>
        <w:tabs>
          <w:tab w:leader="none" w:pos="2080" w:val="left"/>
        </w:tabs>
        <w:numPr>
          <w:ilvl w:val="1"/>
          <w:numId w:val="8"/>
        </w:numPr>
        <w:rPr>
          <w:rFonts w:ascii="Arial" w:cs="Arial" w:eastAsia="Arial" w:hAnsi="Arial"/>
          <w:sz w:val="18"/>
          <w:szCs w:val="18"/>
          <w:color w:val="auto"/>
        </w:rPr>
      </w:pPr>
      <w:r>
        <w:rPr>
          <w:rFonts w:ascii="Arial" w:cs="Arial" w:eastAsia="Arial" w:hAnsi="Arial"/>
          <w:sz w:val="18"/>
          <w:szCs w:val="18"/>
          <w:color w:val="auto"/>
        </w:rPr>
        <w:t>Sole power to vote or to direct the vote See No. 5 on page 2.</w:t>
      </w:r>
    </w:p>
    <w:p>
      <w:pPr>
        <w:spacing w:after="0" w:line="34" w:lineRule="exact"/>
        <w:rPr>
          <w:rFonts w:ascii="Arial" w:cs="Arial" w:eastAsia="Arial" w:hAnsi="Arial"/>
          <w:sz w:val="18"/>
          <w:szCs w:val="18"/>
          <w:color w:val="auto"/>
        </w:rPr>
      </w:pPr>
    </w:p>
    <w:p>
      <w:pPr>
        <w:ind w:left="2080" w:right="6240" w:hanging="483"/>
        <w:spacing w:after="0" w:line="387" w:lineRule="auto"/>
        <w:tabs>
          <w:tab w:leader="none" w:pos="2080" w:val="left"/>
        </w:tabs>
        <w:numPr>
          <w:ilvl w:val="1"/>
          <w:numId w:val="8"/>
        </w:numPr>
        <w:rPr>
          <w:rFonts w:ascii="Arial" w:cs="Arial" w:eastAsia="Arial" w:hAnsi="Arial"/>
          <w:sz w:val="18"/>
          <w:szCs w:val="18"/>
          <w:color w:val="auto"/>
        </w:rPr>
      </w:pPr>
      <w:r>
        <w:rPr>
          <w:rFonts w:ascii="Arial" w:cs="Arial" w:eastAsia="Arial" w:hAnsi="Arial"/>
          <w:sz w:val="18"/>
          <w:szCs w:val="18"/>
          <w:color w:val="auto"/>
        </w:rPr>
        <w:t>Shared power to vote or to direct the vote See No. 6 on page 2.</w:t>
      </w:r>
    </w:p>
    <w:p>
      <w:pPr>
        <w:spacing w:after="0" w:line="34" w:lineRule="exact"/>
        <w:rPr>
          <w:rFonts w:ascii="Arial" w:cs="Arial" w:eastAsia="Arial" w:hAnsi="Arial"/>
          <w:sz w:val="18"/>
          <w:szCs w:val="18"/>
          <w:color w:val="auto"/>
        </w:rPr>
      </w:pPr>
    </w:p>
    <w:p>
      <w:pPr>
        <w:ind w:left="2080" w:right="5520" w:hanging="483"/>
        <w:spacing w:after="0" w:line="387" w:lineRule="auto"/>
        <w:tabs>
          <w:tab w:leader="none" w:pos="2080" w:val="left"/>
        </w:tabs>
        <w:numPr>
          <w:ilvl w:val="1"/>
          <w:numId w:val="8"/>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See No. 7 on page 2.</w:t>
      </w:r>
    </w:p>
    <w:p>
      <w:pPr>
        <w:spacing w:after="0" w:line="34" w:lineRule="exact"/>
        <w:rPr>
          <w:rFonts w:ascii="Arial" w:cs="Arial" w:eastAsia="Arial" w:hAnsi="Arial"/>
          <w:sz w:val="18"/>
          <w:szCs w:val="18"/>
          <w:color w:val="auto"/>
        </w:rPr>
      </w:pPr>
    </w:p>
    <w:p>
      <w:pPr>
        <w:ind w:left="2080" w:right="5340" w:hanging="483"/>
        <w:spacing w:after="0" w:line="387" w:lineRule="auto"/>
        <w:tabs>
          <w:tab w:leader="none" w:pos="2080" w:val="left"/>
        </w:tabs>
        <w:numPr>
          <w:ilvl w:val="1"/>
          <w:numId w:val="8"/>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See No. 8 on 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1316990</wp:posOffset>
            </wp:positionH>
            <wp:positionV relativeFrom="paragraph">
              <wp:posOffset>-27940</wp:posOffset>
            </wp:positionV>
            <wp:extent cx="593471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934710" cy="8890"/>
                    </a:xfrm>
                    <a:prstGeom prst="rect">
                      <a:avLst/>
                    </a:prstGeom>
                    <a:noFill/>
                  </pic:spPr>
                </pic:pic>
              </a:graphicData>
            </a:graphic>
          </wp:anchor>
        </w:drawing>
        <w:drawing>
          <wp:anchor simplePos="0" relativeHeight="251657728" behindDoc="1" locked="0" layoutInCell="0" allowOverlap="1">
            <wp:simplePos x="0" y="0"/>
            <wp:positionH relativeFrom="column">
              <wp:posOffset>1316990</wp:posOffset>
            </wp:positionH>
            <wp:positionV relativeFrom="paragraph">
              <wp:posOffset>-474345</wp:posOffset>
            </wp:positionV>
            <wp:extent cx="593471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934710" cy="8890"/>
                    </a:xfrm>
                    <a:prstGeom prst="rect">
                      <a:avLst/>
                    </a:prstGeom>
                    <a:noFill/>
                  </pic:spPr>
                </pic:pic>
              </a:graphicData>
            </a:graphic>
          </wp:anchor>
        </w:drawing>
        <w:drawing>
          <wp:anchor simplePos="0" relativeHeight="251657728" behindDoc="1" locked="0" layoutInCell="0" allowOverlap="1">
            <wp:simplePos x="0" y="0"/>
            <wp:positionH relativeFrom="column">
              <wp:posOffset>1316990</wp:posOffset>
            </wp:positionH>
            <wp:positionV relativeFrom="paragraph">
              <wp:posOffset>-920115</wp:posOffset>
            </wp:positionV>
            <wp:extent cx="593471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934710" cy="8890"/>
                    </a:xfrm>
                    <a:prstGeom prst="rect">
                      <a:avLst/>
                    </a:prstGeom>
                    <a:noFill/>
                  </pic:spPr>
                </pic:pic>
              </a:graphicData>
            </a:graphic>
          </wp:anchor>
        </w:drawing>
        <w:drawing>
          <wp:anchor simplePos="0" relativeHeight="251657728" behindDoc="1" locked="0" layoutInCell="0" allowOverlap="1">
            <wp:simplePos x="0" y="0"/>
            <wp:positionH relativeFrom="column">
              <wp:posOffset>1316990</wp:posOffset>
            </wp:positionH>
            <wp:positionV relativeFrom="paragraph">
              <wp:posOffset>-1365885</wp:posOffset>
            </wp:positionV>
            <wp:extent cx="593471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934710" cy="8890"/>
                    </a:xfrm>
                    <a:prstGeom prst="rect">
                      <a:avLst/>
                    </a:prstGeom>
                    <a:noFill/>
                  </pic:spPr>
                </pic:pic>
              </a:graphicData>
            </a:graphic>
          </wp:anchor>
        </w:drawing>
        <w:drawing>
          <wp:anchor simplePos="0" relativeHeight="251657728" behindDoc="1" locked="0" layoutInCell="0" allowOverlap="1">
            <wp:simplePos x="0" y="0"/>
            <wp:positionH relativeFrom="column">
              <wp:posOffset>956945</wp:posOffset>
            </wp:positionH>
            <wp:positionV relativeFrom="paragraph">
              <wp:posOffset>-1812290</wp:posOffset>
            </wp:positionV>
            <wp:extent cx="629475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294755" cy="8890"/>
                    </a:xfrm>
                    <a:prstGeom prst="rect">
                      <a:avLst/>
                    </a:prstGeom>
                    <a:noFill/>
                  </pic:spPr>
                </pic:pic>
              </a:graphicData>
            </a:graphic>
          </wp:anchor>
        </w:drawing>
        <w:drawing>
          <wp:anchor simplePos="0" relativeHeight="251657728" behindDoc="1" locked="0" layoutInCell="0" allowOverlap="1">
            <wp:simplePos x="0" y="0"/>
            <wp:positionH relativeFrom="column">
              <wp:posOffset>956945</wp:posOffset>
            </wp:positionH>
            <wp:positionV relativeFrom="paragraph">
              <wp:posOffset>-2197735</wp:posOffset>
            </wp:positionV>
            <wp:extent cx="629475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294755" cy="8890"/>
                    </a:xfrm>
                    <a:prstGeom prst="rect">
                      <a:avLst/>
                    </a:prstGeom>
                    <a:noFill/>
                  </pic:spPr>
                </pic:pic>
              </a:graphicData>
            </a:graphic>
          </wp:anchor>
        </w:drawing>
        <w:drawing>
          <wp:anchor simplePos="0" relativeHeight="251657728" behindDoc="1" locked="0" layoutInCell="0" allowOverlap="1">
            <wp:simplePos x="0" y="0"/>
            <wp:positionH relativeFrom="column">
              <wp:posOffset>956945</wp:posOffset>
            </wp:positionH>
            <wp:positionV relativeFrom="paragraph">
              <wp:posOffset>-2644140</wp:posOffset>
            </wp:positionV>
            <wp:extent cx="629475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294755" cy="8890"/>
                    </a:xfrm>
                    <a:prstGeom prst="rect">
                      <a:avLst/>
                    </a:prstGeom>
                    <a:noFill/>
                  </pic:spPr>
                </pic:pic>
              </a:graphicData>
            </a:graphic>
          </wp:anchor>
        </w:drawing>
      </w:r>
    </w:p>
    <w:p>
      <w:pPr>
        <w:spacing w:after="0" w:line="14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229"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Securities reported on this Schedule 13G as being beneficially owned by Lord, Abbett &amp; Co. LLC are held on behalf on investment advisory clients, which may include investment companies registered under the Investment Company Act, employee benefit plans, pension funds or other institutional clients.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ind w:left="920" w:right="20" w:hanging="917"/>
        <w:spacing w:after="0" w:line="282" w:lineRule="auto"/>
        <w:tabs>
          <w:tab w:leader="none" w:pos="9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19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342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300"/>
          </w:cols>
          <w:pgMar w:left="240" w:top="405" w:right="359" w:bottom="1440" w:gutter="0" w:footer="0" w:header="0"/>
        </w:sectPr>
      </w:pPr>
    </w:p>
    <w:bookmarkStart w:id="4" w:name="page5"/>
    <w:bookmarkEnd w:id="4"/>
    <w:p>
      <w:pPr>
        <w:spacing w:after="0"/>
        <w:tabs>
          <w:tab w:leader="none" w:pos="9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162"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48" w:lineRule="exact"/>
        <w:rPr>
          <w:sz w:val="20"/>
          <w:szCs w:val="20"/>
          <w:color w:val="auto"/>
        </w:rPr>
      </w:pPr>
    </w:p>
    <w:p>
      <w:pPr>
        <w:ind w:left="7900"/>
        <w:spacing w:after="0"/>
        <w:rPr>
          <w:sz w:val="20"/>
          <w:szCs w:val="20"/>
          <w:color w:val="auto"/>
        </w:rPr>
      </w:pPr>
      <w:r>
        <w:rPr>
          <w:rFonts w:ascii="Arial" w:cs="Arial" w:eastAsia="Arial" w:hAnsi="Arial"/>
          <w:sz w:val="18"/>
          <w:szCs w:val="18"/>
          <w:color w:val="auto"/>
        </w:rPr>
        <w:t>February 14, 2020</w:t>
      </w:r>
    </w:p>
    <w:p>
      <w:pPr>
        <w:spacing w:after="0" w:line="23" w:lineRule="exact"/>
        <w:rPr>
          <w:sz w:val="20"/>
          <w:szCs w:val="20"/>
          <w:color w:val="auto"/>
        </w:rPr>
      </w:pPr>
    </w:p>
    <w:p>
      <w:pPr>
        <w:ind w:left="8400"/>
        <w:spacing w:after="0"/>
        <w:rPr>
          <w:sz w:val="20"/>
          <w:szCs w:val="20"/>
          <w:color w:val="auto"/>
        </w:rPr>
      </w:pPr>
      <w:r>
        <w:rPr>
          <w:rFonts w:ascii="Arial" w:cs="Arial" w:eastAsia="Arial" w:hAnsi="Arial"/>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7820"/>
        <w:spacing w:after="0"/>
        <w:rPr>
          <w:sz w:val="20"/>
          <w:szCs w:val="20"/>
          <w:color w:val="auto"/>
        </w:rPr>
      </w:pPr>
      <w:r>
        <w:rPr>
          <w:rFonts w:ascii="Arial" w:cs="Arial" w:eastAsia="Arial" w:hAnsi="Arial"/>
          <w:sz w:val="18"/>
          <w:szCs w:val="18"/>
          <w:color w:val="auto"/>
        </w:rPr>
        <w:t>/s/ Joseph M. McGill</w:t>
      </w:r>
    </w:p>
    <w:p>
      <w:pPr>
        <w:spacing w:after="0" w:line="9" w:lineRule="exact"/>
        <w:rPr>
          <w:sz w:val="20"/>
          <w:szCs w:val="20"/>
          <w:color w:val="auto"/>
        </w:rPr>
      </w:pPr>
    </w:p>
    <w:p>
      <w:pPr>
        <w:ind w:left="822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jc w:val="center"/>
        <w:ind w:left="5720"/>
        <w:spacing w:after="0"/>
        <w:rPr>
          <w:sz w:val="20"/>
          <w:szCs w:val="20"/>
          <w:color w:val="auto"/>
        </w:rPr>
      </w:pPr>
      <w:r>
        <w:rPr>
          <w:rFonts w:ascii="Arial" w:cs="Arial" w:eastAsia="Arial" w:hAnsi="Arial"/>
          <w:sz w:val="18"/>
          <w:szCs w:val="18"/>
          <w:color w:val="auto"/>
        </w:rPr>
        <w:t>Joseph M. McGill / Chief Compliance Officer</w:t>
      </w:r>
    </w:p>
    <w:p>
      <w:pPr>
        <w:spacing w:after="0" w:line="9" w:lineRule="exact"/>
        <w:rPr>
          <w:sz w:val="20"/>
          <w:szCs w:val="20"/>
          <w:color w:val="auto"/>
        </w:rPr>
      </w:pPr>
    </w:p>
    <w:p>
      <w:pPr>
        <w:jc w:val="center"/>
        <w:ind w:left="5720"/>
        <w:spacing w:after="0"/>
        <w:rPr>
          <w:sz w:val="20"/>
          <w:szCs w:val="20"/>
          <w:color w:val="auto"/>
        </w:rPr>
      </w:pPr>
      <w:r>
        <w:rPr>
          <w:rFonts w:ascii="Arial" w:cs="Arial" w:eastAsia="Arial" w:hAnsi="Arial"/>
          <w:sz w:val="18"/>
          <w:szCs w:val="18"/>
          <w:color w:val="auto"/>
        </w:rPr>
        <w:t>Name/Title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17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342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260"/>
      </w:cols>
      <w:pgMar w:left="240" w:top="405"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1."/>
      <w:numFmt w:val="decimal"/>
      <w:start w:val="1"/>
    </w:lvl>
    <w:lvl w:ilvl="1">
      <w:lvlJc w:val="left"/>
      <w:lvlText w:val="(%2)"/>
      <w:numFmt w:val="lowerLetter"/>
      <w:start w:val="1"/>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2020-02-14T09:53:27Z</dcterms:created>
  <dcterms:modified xsi:type="dcterms:W3CDTF">2020-02-14T09:53:27Z</dcterms:modified>
</cp:coreProperties>
</file>