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3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-233680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1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23495</wp:posOffset>
            </wp:positionV>
            <wp:extent cx="7046595" cy="4831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83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17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4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  <w:vertAlign w:val="superscript"/>
              </w:rPr>
              <w:t>*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Shaw Kevin G.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 w:line="181" w:lineRule="exact"/>
              <w:rPr>
                <w:rFonts w:ascii="Times New Roman" w:cs="Times New Roman" w:eastAsia="Times New Roman" w:hAnsi="Times New Roman"/>
                <w:sz w:val="20"/>
                <w:szCs w:val="20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0"/>
                  <w:szCs w:val="20"/>
                  <w:color w:val="0000EE"/>
                </w:rPr>
                <w:t xml:space="preserve">NextCure, Inc. </w:t>
              </w:r>
            </w:hyperlink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0000FF"/>
              </w:rPr>
              <w:t>NXTC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C/O NEXTCURE, INC.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02/28/2023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9000 VIRGINIA MANOR ROAD, SUITE 200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right="620"/>
        <w:spacing w:after="0" w:line="25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9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Sr VP, Legal Affairs</w:t>
      </w: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80" w:space="60"/>
            <w:col w:w="3340"/>
          </w:cols>
          <w:pgMar w:left="460" w:top="217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80" w:type="dxa"/>
            <w:vAlign w:val="bottom"/>
            <w:gridSpan w:val="8"/>
          </w:tcPr>
          <w:p>
            <w:pPr>
              <w:jc w:val="center"/>
              <w:ind w:right="4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0"/>
          </w:tcPr>
          <w:p>
            <w:pPr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BELTSVILLE</w:t>
            </w: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20705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jc w:val="center"/>
              <w:ind w:lef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75,000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1.55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02/28/2023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75,000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02/27/2033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4"/>
              </w:rPr>
              <w:t>75,000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Buy)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One fourth of the option vests on February 28, 2024. The remainder vests in 36 monthly installments beginning on March 28, 2024.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Steven P. Cobourn,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-8890</wp:posOffset>
            </wp:positionV>
            <wp:extent cx="105854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 for Kevin G.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03/01/2023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18853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Shaw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23622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3600" w:firstLine="2"/>
        <w:spacing w:after="0" w:line="336" w:lineRule="auto"/>
        <w:tabs>
          <w:tab w:leader="none" w:pos="176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7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953666" TargetMode="External"/><Relationship Id="rId13" Type="http://schemas.openxmlformats.org/officeDocument/2006/relationships/hyperlink" Target="http://www.sec.gov/cgi-bin/browse-edgar?action=getcompany&amp;CIK=00016610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2023-03-01T20:19:46Z</dcterms:created>
  <dcterms:modified xsi:type="dcterms:W3CDTF">2023-03-01T20:19:46Z</dcterms:modified>
</cp:coreProperties>
</file>