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0428d1_8k.htm"/>
      <w:bookmarkStart w:id="1" w:name="kstm262042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71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July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NextCure,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165"/>
        <w:gridCol w:w="60"/>
        <w:gridCol w:w="2210"/>
        <w:gridCol w:w="60"/>
        <w:gridCol w:w="278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714"/>
            <w:bookmarkEnd w:id="6"/>
            <w:r>
              <w:rPr>
                <w:rFonts w:ascii="Times New Roman;Times;Serif" w:hAnsi="Times New Roman;Times;Serif"/>
                <w:b/>
                <w:i w:val="false"/>
                <w:caps w:val="false"/>
                <w:smallCaps w:val="false"/>
                <w:sz w:val="20"/>
              </w:rPr>
              <w:t>001-38905</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47-5231247</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9000 Virginia Manor Road, </w:t>
            </w:r>
            <w:bookmarkStart w:id="9" w:name="xdx_90F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Beltsville, </w:t>
            </w:r>
            <w:bookmarkStart w:id="11" w:name="xdx_901_edei--EntityAddressStateOrProvin"/>
            <w:bookmarkEnd w:id="11"/>
            <w:r>
              <w:rPr>
                <w:rFonts w:ascii="Times New Roman;Times;Serif" w:hAnsi="Times New Roman;Times;Serif"/>
                <w:b/>
                <w:i w:val="false"/>
                <w:caps w:val="false"/>
                <w:smallCaps w:val="false"/>
                <w:sz w:val="20"/>
              </w:rPr>
              <w:t xml:space="preserve">Maryland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20705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0714__20"/>
      <w:bookmarkEnd w:id="13"/>
      <w:r>
        <w:rPr>
          <w:rFonts w:ascii="Times New Roman;Times;Serif" w:hAnsi="Times New Roman;Times;Serif"/>
          <w:b/>
          <w:i w:val="false"/>
          <w:caps w:val="false"/>
          <w:smallCaps w:val="false"/>
          <w:sz w:val="20"/>
        </w:rPr>
        <w:t xml:space="preserve">240) </w:t>
      </w:r>
      <w:bookmarkStart w:id="14" w:name="xdx_906_edei--LocalPhoneNumber_c20260714"/>
      <w:bookmarkEnd w:id="14"/>
      <w:r>
        <w:rPr>
          <w:rFonts w:ascii="Times New Roman;Times;Serif" w:hAnsi="Times New Roman;Times;Serif"/>
          <w:b/>
          <w:i w:val="false"/>
          <w:caps w:val="false"/>
          <w:smallCaps w:val="false"/>
          <w:sz w:val="20"/>
        </w:rPr>
        <w:t>399-4900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rFonts w:ascii="Wingdings" w:hAnsi="Wingdings"/>
                <w:b w:val="false"/>
                <w:i w:val="false"/>
                <w:caps w:val="false"/>
                <w:smallCaps w:val="false"/>
                <w:sz w:val="20"/>
              </w:rPr>
            </w:pPr>
            <w:bookmarkStart w:id="15" w:name="xdx_907_edei--WrittenCommunications_c202"/>
            <w:bookmarkEnd w:id="15"/>
            <w:r>
              <w:rPr>
                <w:rFonts w:ascii="Wingdings" w:hAnsi="Wingdings"/>
                <w:b w:val="false"/>
                <w:i w:val="false"/>
                <w:caps w:val="false"/>
                <w:smallCaps w:val="false"/>
                <w:sz w:val="20"/>
              </w:rPr>
              <w:t>x</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4_edei--SolicitingMaterial_c202607"/>
            <w:bookmarkEnd w:id="16"/>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7230" w:type="dxa"/>
        <w:jc w:val="left"/>
        <w:tblInd w:w="-10" w:type="dxa"/>
        <w:tblLayout w:type="fixed"/>
        <w:tblCellMar>
          <w:top w:w="28" w:type="dxa"/>
          <w:left w:w="108" w:type="dxa"/>
          <w:bottom w:w="28" w:type="dxa"/>
          <w:right w:w="10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714"/>
            <w:bookmarkEnd w:id="19"/>
            <w:r>
              <w:rPr>
                <w:rFonts w:ascii="Times New Roman;Times;Serif" w:hAnsi="Times New Roman;Times;Serif"/>
                <w:b w:val="false"/>
                <w:i w:val="false"/>
                <w:caps w:val="false"/>
                <w:smallCaps w:val="false"/>
                <w:sz w:val="20"/>
              </w:rPr>
              <w:t>Common Stock, $0.001 par value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0714__2"/>
            <w:bookmarkEnd w:id="20"/>
            <w:r>
              <w:rPr>
                <w:rFonts w:ascii="Times New Roman;Times;Serif" w:hAnsi="Times New Roman;Times;Serif"/>
                <w:b w:val="false"/>
                <w:i w:val="false"/>
                <w:caps w:val="false"/>
                <w:smallCaps w:val="false"/>
                <w:sz w:val="20"/>
              </w:rPr>
              <w:t>NXTC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NextCure, Inc., a Delaware corporation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Neptune Merger Sub Corp., a Delaware corporation and a wholly owned subsidiary of NextCure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Neptune Second Merger Sub, LLC, a Delaware limited liability company and a wholly owned subsidiary of NextCure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and, together with First Merger Sub, the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and Avere Therapeutics, Inc., a Delaware corporation (“</w:t>
      </w:r>
      <w:r>
        <w:rPr>
          <w:rFonts w:ascii="Times New Roman;Times;Serif" w:hAnsi="Times New Roman;Times;Serif"/>
          <w:b w:val="false"/>
          <w:i w:val="false"/>
          <w:caps w:val="false"/>
          <w:smallCaps w:val="false"/>
          <w:sz w:val="20"/>
          <w:u w:val="single"/>
        </w:rPr>
        <w:t>Avere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and Reorganization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and as part of the same overall transaction as the First Merger, Avere will merge with and into Second Merger Sub, with Second Merger Sub continuing as the surviving entity and a wholly owned subsidiary of NextCure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The Merger is intended to qualify for federal income tax purposes as a tax-free reorganization under the provisions of Section 368(a) of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First Merger (the “</w:t>
      </w:r>
      <w:r>
        <w:rPr>
          <w:rFonts w:ascii="Times New Roman;Times;Serif" w:hAnsi="Times New Roman;Times;Serif"/>
          <w:b w:val="false"/>
          <w:i w:val="false"/>
          <w:caps w:val="false"/>
          <w:smallCaps w:val="false"/>
          <w:sz w:val="20"/>
          <w:u w:val="single"/>
        </w:rPr>
        <w:t>First Effective Time</w:t>
      </w:r>
      <w:r>
        <w:rPr>
          <w:rFonts w:ascii="Times New Roman;Times;Serif" w:hAnsi="Times New Roman;Times;Serif"/>
          <w:b w:val="false"/>
          <w:i w:val="false"/>
          <w:caps w:val="false"/>
          <w:smallCaps w:val="false"/>
          <w:sz w:val="20"/>
        </w:rPr>
        <w:t>”), (a) each then-outstanding share of Avere capital stock, including Avere common stock and Avere preferred stock and any shares of Avere capital stock issued pursuant to the Private Placement (as defined below), other than treasury shares and Dissenting Shares (as defined in the Merger Agreement), will be converted into the right to receive a number of shares of NextCure common stock equal to an exchange ratio calculated in accordance with the Merger Agreement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provided, that in the event the aggregate number of shares of NextCure common stock issuable to any holder of Avere capital stock would result in such holder, together with its affiliates, beneficially owning shares of NextCure common stock in excess of a specified percentage (not to exceed 19.99%) of the total outstanding shares of NextCure common stock (after giving effect to the issuance of the merger consideration) designated by such holder (or, if no percentage is timely designated, 9.99%) (such specified percentage, a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then NextCure will issue to any such holder (x) shares of NextCure common stock up to such holder’s Beneficial Ownership Limitation and (y) in lieu of any shares in excess of such holder’s Beneficial Ownership Limitation, pre-funded warrants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to purchase a number of shares of NextCure common stock upon exercise of such Pre-Funded Warrants equal to such excess shares, (b) each then-outstanding option to purchase shares of Avere capital stock will be assumed by NextCure and converted into an option to purchase shares of NextCure common stock, subject to adjustment as set forth in the Merger Agreement, (c) each then-outstanding restricted stock unit award for shares of Avere capital stock will be assumed by NextCure and converted into a restricted stock unit award for shares of NextCure common stock, subject to adjustment as set forth in the Merger Agreement and (d) each then-outstanding warrant to purchase shares of Avere capital stock, including any pre-funded warrant issued by Avere pursuant to the Private Placement, will be assumed by NextCure and converted into a warrant to purchase shares of NextCure common stock, subject to adjustment as set forth in the Merger Agreement. Under the terms of the Merger Agreement, prior to the Closing Date (as defined in the Merger Agreement), the board of directors of NextCure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will accelerate the vesting of all equity awards of NextCure then outstanding but not then vested or exercisable. Each option to acquire shares of NextCure common stock with an exercise price per share greater than the volume-weighted average closing trading price of a share of NextCure common stock on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for the five (5) consecutive trading days ending three (3) trading days immediately prior to the date on which NextCure delivers its net cash calculation pursuant to the Merger Agreement (which will be no later than five (5) business days before the date of the NextCure stockholder meeting) (the “</w:t>
      </w:r>
      <w:r>
        <w:rPr>
          <w:rFonts w:ascii="Times New Roman;Times;Serif" w:hAnsi="Times New Roman;Times;Serif"/>
          <w:b w:val="false"/>
          <w:i w:val="false"/>
          <w:caps w:val="false"/>
          <w:smallCaps w:val="false"/>
          <w:sz w:val="20"/>
          <w:u w:val="single"/>
        </w:rPr>
        <w:t>Parent Closing Price</w:t>
      </w:r>
      <w:r>
        <w:rPr>
          <w:rFonts w:ascii="Times New Roman;Times;Serif" w:hAnsi="Times New Roman;Times;Serif"/>
          <w:b w:val="false"/>
          <w:i w:val="false"/>
          <w:caps w:val="false"/>
          <w:smallCaps w:val="false"/>
          <w:sz w:val="20"/>
        </w:rPr>
        <w:t>”) will be cancelled at the First Effective Time for no consideration in accordance with the terms of the Merger Agreement. At the First Effective Time, each option to acquire shares of NextCure common stock with an exercise price less than or equal to the Parent Closing Price will be cancelled and converted into the right to receive an amount in cash without interest, less applicable tax withholding, equal to the product obtained by multiplying (i) the excess of the Parent Closing Price over the exercise price per share of the NextCure common stock underlying such option by (ii) the number of shares of NextCure common stock underlying such option. Pursuant to the Exchange Ratio formula, upon the closing of the Merger (and after giving effect to the financing transaction described below), on a pro forma basis and based upon the number of shares of NextCure common stock expected to be issued in the Merger or issuable upon exercise of Pre-Funded Warrants issued in lieu thereof, pre-Merger Avere stockholders will own approximately 98.11% of the combined company (including the holders of the PIPE Securities) and pre-Merger NextCure stockholders will own approximately 1.89% of the combined company (assuming no adjustment for Parent Net Cash (as defined in the Merger Agreement)). For purposes of calculating the Exchange Ratio, (i) shares of NextCure common stock underlying options to purchase shares of NextCure common stock with an exercise price less than or equal to the Parent Closing Price and other rights to receive shares of NextCure common stock (other than options to acquire shares of NextCure common stock with an exercise price greater than the Parent Closing Price, which will be cancelled for no consideration in accordance with the Merger Agreement) outstanding as of immediately prior to the closing of the Merger will be deemed to be outstanding (on a fully-diluted and as-converted to NextCure common stock basis), (ii) shares of NextCure common stock underlying any Parent Warrants (as defined in the Merger Agreement) outstanding as of immediately prior to the closing of the Merger will be deemed to be outstanding, and (iii) all shares of Avere capital stock underlying outstanding Avere stock options, restricted stock units, warrants and other rights to receive shares of Avere capital stock will be deemed to be outstanding (on a fully-diluted and as-converted to Avere common stock basis), except for certain stock options and other equity awards granted to directors, employees, consultants and other service providers of Avere following the date of the Merger Agreement and certain other exclusions set forth in the Merger Agreement. The Exchange Ratio will be adjusted to the extent that NextCure net cash at closing is less than the Parent Target Cash Amount (as defined in the Merger Agreement) and will be based on the amount of proceeds actually received by Avere in the financing transaction described below, as further described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NextCure will seek the approval of its stockholders to, among other things, (a) issue shares of NextCure common stock issuable in connection with the Merger and the financing described below under the rules of Nasdaq and (b) amend its certificate of incorporation to (i) effect a reverse stock split of NextCure common stock (to the extent applicable and necessary), (ii) increase the number of shares of NextCure common stock that NextCure is authorized to issue, (iii) redomicile NextCure from Delaware to such jurisdiction as may be designated by Avere, and (iv) make such other changes as are mutually agreeable to NextCure and Avere (the “</w:t>
      </w:r>
      <w:r>
        <w:rPr>
          <w:rFonts w:ascii="Times New Roman;Times;Serif" w:hAnsi="Times New Roman;Times;Serif"/>
          <w:b w:val="false"/>
          <w:i w:val="false"/>
          <w:caps w:val="false"/>
          <w:smallCaps w:val="false"/>
          <w:sz w:val="20"/>
          <w:u w:val="single"/>
        </w:rPr>
        <w:t>NextCure Voting Proposals</w:t>
      </w:r>
      <w:r>
        <w:rPr>
          <w:rFonts w:ascii="Times New Roman;Times;Serif" w:hAnsi="Times New Roman;Times;Serif"/>
          <w:b w:val="false"/>
          <w:i w:val="false"/>
          <w:caps w:val="false"/>
          <w:smallCaps w:val="false"/>
          <w:sz w:val="20"/>
        </w:rPr>
        <w:t>”). In addition, the Merger Agreement provides that the Certificate of Amendment to NextCure’s certificate of incorporation to be filed in connection with the closing of the Merger will change the name of NextCure to “Avere Therapeutics, Inc.” In connection with these matters, NextCure intends to file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on Form S-4 (the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which will include a proxy statement and other relevant materials relating to a meeting of NextCure stockholders to be held in connection with the NextCure Voting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NextCure and Avere has agreed to customary representations, warranties and covenants in the Merger Agreement, including, among others, covenants relating to (1) using commercially reasonable efforts to obtain the regulatory approvals required by applicable law, (2) nonsolicitation of alternative acquisition proposals, (3) the conduct of their respective businesses during the period between the date of signing the Merger Agreement and the closing of the Merger, (4) NextCure using commercially reasonable efforts to maintain the existing listing of the NextCure common stock on Nasdaq and to cause the shares of NextCure common stock to be issued in connection with the Merger to be approved for listing on Nasdaq prior to the closing of the Merger, and (5) NextCure filing with the SEC the Form S-4.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 is subject to certain closing conditions, including, among other things, (1) approval by the requisite NextCure stockholders of the NextCure Voting Proposals, (2) approval by the requisite Avere stockholders of the adoption and approval of the Merger Agreement and the transactions contemplated thereby, (3) Nasdaq’s approval of the listing application to be submitted in connection with the Merger, (4) NextCure’s Form S-4 becoming effective in accordance with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not being subject to any stop order or proceeding seeking a stop order, (5) the expiration or termination of any applicable waiting periods (or extensions thereof) under the Hart-Scott-Rodino Antitrust Improvements Act of 1976, as amended, and (6) the securities purchase agreement (described below) being in full force and effect and proceeds of not less than $150,000,000 (including any notes contributed as consideration in the financing transaction described below) having been received by Avere or to be received by Avere substantially concurrently with the closing of the Merger. Each party’s 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of each of NextCure and Avere. Upon termination of the Merger Agreement under specified circumstances, NextCure may be required to pay Avere a termination fee of $330,000 and Avere may be required to pay NextCure a termination fee of $2,000,000, plus reimbursement of certain NextCure transaction expenses in an amount not to exceed $750,000.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approved by the boards of directors of both companies and is expected to close in the third quarter of 2026, subject to certain closing conditions, including, among other things, approval by the stockholders of NextCure and the stockholders of Avere and the satisfaction of customary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Board is expected to consist of four members, all of whom will be designated by Avere. Upon the closing of the transaction, the combined company will be led by Avere’s president and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and delivery of the Merger Agreement, certain institutional and accredited investors have entered into a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Avere, pursuant to which they have agreed, subject to the terms and conditions of the Purchase Agreement, to purchase (including by contribution of Company Notes (as defined in the Merger Agreement)) immediately prior to the First Effective Time, shares of Avere capital stock and pre-funded warrants to purchase shares of Avere capital stock (together, the “</w:t>
      </w:r>
      <w:r>
        <w:rPr>
          <w:rFonts w:ascii="Times New Roman;Times;Serif" w:hAnsi="Times New Roman;Times;Serif"/>
          <w:b w:val="false"/>
          <w:i w:val="false"/>
          <w:caps w:val="false"/>
          <w:smallCaps w:val="false"/>
          <w:sz w:val="20"/>
          <w:u w:val="single"/>
        </w:rPr>
        <w:t>PIPE Securities</w:t>
      </w:r>
      <w:r>
        <w:rPr>
          <w:rFonts w:ascii="Times New Roman;Times;Serif" w:hAnsi="Times New Roman;Times;Serif"/>
          <w:b w:val="false"/>
          <w:i w:val="false"/>
          <w:caps w:val="false"/>
          <w:smallCaps w:val="false"/>
          <w:sz w:val="20"/>
        </w:rPr>
        <w:t>”) for an aggregate purchase price of approximately $320 million in a private placement (the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The closing of the Private Placement is conditioned on the satisfaction or waiver of the conditions set forth in the Merger Agreement (in addition to other customary closing conditions) and is expected to occur immediately prior to the First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of Avere, on the one hand, and the investors, on the other hand, and customary indemnification provisions. The Private Placement is also subject to approval of Avere’s stockholders, which is expected to be received at the same time as the approval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at the closing of the Private Placement, Avere will enter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with the purchasers of the PIPE Securities, which will provide for the registration and resale of the NextCure common stock issuable in exchange for the PIPE Securities upon closing of the Merger and the shares of NextCure common stock issuable upon exercise of the pre-funded warrants following the Merger, in accordance with the terms of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Avere capital stock and pre-funded warrants issued pursuant to this financing transaction will be converted into shares of NextCure common stock and pre-funded warrants to acquire shares of NextCure common stock, in accordance with the Exchange Ratio and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Contingent Value Rights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First Effective Time, NextCure will enter into a Contingent Value Rights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with a rights agent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pursuant to which NextCure’s pre-Merger stockholders will receive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for each outstanding share of NextCure common stock and NextCure preferred stock held by such stockholder as of the applicable record date, including shares of NextCure common stock issued in respect of restricted stock awards of NextCure accelerated in connection with the Merger. Each CVR will represent the contractual right to receive 90% of the gross proceeds, if any, derived from any consideration that is paid to NextCure during the CVR Term (as defined in the CVR Agreement) during a specified period as a result of the license, sale, assignment, transfer or other disposition of certain of NextCure’s pre-Merger legacy assets identified in the CVR Agreement, less permitted deductions set forth in the CVR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NextCure or any of its affiliates. No interest will accrue on any amounts payable in respect of the CVRs.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Support Agreements and Lock-Up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(i) certain stockholders of Avere (solely in their respective capacities as Avere stockholders) holding approximately 40% of the outstanding shares of Avere capital stock have entered into support agreements with NextCure and Avere to vote all of their shares of Avere capital stock in favor of the adoption and approval of the Merger Agreement and the transactions contemplated thereby and against any alternative acquisition proposals (the “</w:t>
      </w:r>
      <w:r>
        <w:rPr>
          <w:rFonts w:ascii="Times New Roman;Times;Serif" w:hAnsi="Times New Roman;Times;Serif"/>
          <w:b w:val="false"/>
          <w:i w:val="false"/>
          <w:caps w:val="false"/>
          <w:smallCaps w:val="false"/>
          <w:sz w:val="20"/>
          <w:u w:val="single"/>
        </w:rPr>
        <w:t>Avere Support Agreements</w:t>
      </w:r>
      <w:r>
        <w:rPr>
          <w:rFonts w:ascii="Times New Roman;Times;Serif" w:hAnsi="Times New Roman;Times;Serif"/>
          <w:b w:val="false"/>
          <w:i w:val="false"/>
          <w:caps w:val="false"/>
          <w:smallCaps w:val="false"/>
          <w:sz w:val="20"/>
        </w:rPr>
        <w:t xml:space="preserve">”) and (ii) certain directors and officers of NextCure holding approximately 12% of the outstanding shares of NextCure common stock have entered into support agreements with NextCure and Avere to vote all of their shares of NextCure common stock in favor of the NextCure Voting Proposals and against any alternative acquisition proposals (the “NextCure </w:t>
      </w:r>
      <w:r>
        <w:rPr>
          <w:rFonts w:ascii="Times New Roman;Times;Serif" w:hAnsi="Times New Roman;Times;Serif"/>
          <w:b w:val="false"/>
          <w:i w:val="false"/>
          <w:caps w:val="false"/>
          <w:smallCaps w:val="false"/>
          <w:sz w:val="20"/>
          <w:u w:val="single"/>
        </w:rPr>
        <w:t>Support Agreements</w:t>
      </w:r>
      <w:r>
        <w:rPr>
          <w:rFonts w:ascii="Times New Roman;Times;Serif" w:hAnsi="Times New Roman;Times;Serif"/>
          <w:b w:val="false"/>
          <w:i w:val="false"/>
          <w:caps w:val="false"/>
          <w:smallCaps w:val="false"/>
          <w:sz w:val="20"/>
        </w:rPr>
        <w:t>” and, together with the Avere Support Agreements, the “</w:t>
      </w:r>
      <w:r>
        <w:rPr>
          <w:rFonts w:ascii="Times New Roman;Times;Serif" w:hAnsi="Times New Roman;Times;Serif"/>
          <w:b w:val="false"/>
          <w:i w:val="false"/>
          <w:caps w:val="false"/>
          <w:smallCaps w:val="false"/>
          <w:sz w:val="20"/>
          <w:u w:val="single"/>
        </w:rPr>
        <w:t>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execution of the Merger Agreement, certain executive officers, directors and stockholders of Avere have entered into lock-up agreements (the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pursuant to which, subject to specified exceptions, they have agreed not to transfer their shares of NextCure common stock for the 180-day period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preceding summaries of the Merger Agreement, the Support Agreements, the CVR Agreement, the Purchase Agreement and the Lock-Up Agreements do not purport to be complete and are qualified in their entirety by reference to the Merger Agreement, the form of Avere Support Agreement, the form of NextCure Support Agreement, the form of Purchase Agreement, the form of Registration Rights Agreement, the form of Lock-Up Agreement and the form of CVR Agreement, which are filed as </w:t>
      </w:r>
      <w:r>
        <w:rPr>
          <w:rFonts w:ascii="Times New Roman;Times;Serif" w:hAnsi="Times New Roman;Times;Serif"/>
          <w:b w:val="false"/>
          <w:i w:val="false"/>
          <w:caps w:val="false"/>
          <w:smallCaps w:val="false"/>
          <w:sz w:val="20"/>
          <w:u w:val="single"/>
        </w:rPr>
        <w:t>Exhibits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Avere or NextCure or to modify or supplement any factual disclosures about NextCure in its public reports filed with the SEC. The Merger Agreement includes representations, warranties and covenants of Avere, NextCure and each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Avere, NextCure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96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2.05</w:t>
            </w:r>
          </w:p>
        </w:tc>
        <w:tc>
          <w:tcPr>
            <w:tcW w:w="4910" w:type="dxa"/>
            <w:tcBorders/>
            <w:vAlign w:val="center"/>
          </w:tcPr>
          <w:p>
            <w:pPr>
              <w:pStyle w:val="TableContents"/>
              <w:bidi w:val="0"/>
              <w:spacing w:before="0" w:after="283"/>
              <w:jc w:val="left"/>
              <w:rPr>
                <w:b/>
              </w:rPr>
            </w:pPr>
            <w:r>
              <w:rPr>
                <w:b/>
              </w:rPr>
              <w:t>Costs Associated with Exit or Disposal Activities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NextCure approved a restructuring and workforce reduction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intended to better align NextCure’s workforce and operations with the anticipated needs of its business pending the closing of the Merger. The Plan is expected to begin in July 2026 and result in a reduction in force affecting a substantial majority of NextCure’s workforce during the quarter ending September 30, 2026, in conjunction with the planned transition under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the Plan, NextCure expects to incur one-time charges and cash expenditures of approximately $1.9 million during the quarter ending September 30, 2026, primarily related to employee wages and severance payments, healthcare continuation and related termination costs. NextCure expects to incur these charges primarily during the third quarter of 2026 and payment of these charges is expected to be completed by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timing and amount of these charges may differ from NextCure’s current estimates due to a variety of factors, including the finalization of severance terms, jurisdiction-specific legal requirements, and the pace of transition activities. NextCure may also incur additional non-material charges in future periods related to the Plan.</w:t>
      </w:r>
    </w:p>
    <w:p>
      <w:pPr>
        <w:pStyle w:val="TextBody"/>
        <w:bidi w:val="0"/>
        <w:spacing w:before="0" w:after="0"/>
        <w:ind w:left="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965"/>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5.01</w:t>
            </w:r>
          </w:p>
        </w:tc>
        <w:tc>
          <w:tcPr>
            <w:tcW w:w="3410" w:type="dxa"/>
            <w:tcBorders/>
            <w:vAlign w:val="center"/>
          </w:tcPr>
          <w:p>
            <w:pPr>
              <w:pStyle w:val="TableContents"/>
              <w:bidi w:val="0"/>
              <w:spacing w:before="0" w:after="283"/>
              <w:jc w:val="both"/>
              <w:rPr>
                <w:b/>
              </w:rPr>
            </w:pPr>
            <w:r>
              <w:rPr>
                <w:b/>
              </w:rPr>
              <w:t>Changes in Control of Registrant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this Item, the information included in Item 1.01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3"/>
        <w:gridCol w:w="9404"/>
      </w:tblGrid>
      <w:tr>
        <w:trPr/>
        <w:tc>
          <w:tcPr>
            <w:tcW w:w="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b/>
              </w:rPr>
            </w:pPr>
            <w:r>
              <w:rPr>
                <w:b/>
              </w:rPr>
              <w:t>Item 5.02</w:t>
            </w:r>
          </w:p>
        </w:tc>
        <w:tc>
          <w:tcPr>
            <w:tcW w:w="9404"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this Item, the information included in Item 1.01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96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NextCure and Avere issued a joint press release announcing the entry into the Merger Agreement. The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 and incorporated herein by reference, except that the information contained on the websites referenced in the press release is not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in this Item 7.01, including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attached hereto,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SIM0505 Clinical Program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NextCure announced that it no longer intends to expand the clinical site footprint for SIM0505 into Europe and Canada. SIM0505 is a novel antibody drug conjugate (“</w:t>
      </w:r>
      <w:r>
        <w:rPr>
          <w:rFonts w:ascii="Times New Roman;Times;Serif" w:hAnsi="Times New Roman;Times;Serif"/>
          <w:b w:val="false"/>
          <w:i w:val="false"/>
          <w:caps w:val="false"/>
          <w:smallCaps w:val="false"/>
          <w:sz w:val="20"/>
          <w:u w:val="single"/>
        </w:rPr>
        <w:t>ADC</w:t>
      </w:r>
      <w:r>
        <w:rPr>
          <w:rFonts w:ascii="Times New Roman;Times;Serif" w:hAnsi="Times New Roman;Times;Serif"/>
          <w:b w:val="false"/>
          <w:i w:val="false"/>
          <w:caps w:val="false"/>
          <w:smallCaps w:val="false"/>
          <w:sz w:val="20"/>
        </w:rPr>
        <w:t>”) directed to cadherin-6 (or CDH6) and featuring a proprietary topoisomerase 1 inhibitor payload, which NextCure licensed from Simcere Zaiming Pharmaceutical Co., Ltd. (“</w:t>
      </w:r>
      <w:r>
        <w:rPr>
          <w:rFonts w:ascii="Times New Roman;Times;Serif" w:hAnsi="Times New Roman;Times;Serif"/>
          <w:b w:val="false"/>
          <w:i w:val="false"/>
          <w:caps w:val="false"/>
          <w:smallCaps w:val="false"/>
          <w:sz w:val="20"/>
          <w:u w:val="single"/>
        </w:rPr>
        <w:t>Simcere Zaiming</w:t>
      </w:r>
      <w:r>
        <w:rPr>
          <w:rFonts w:ascii="Times New Roman;Times;Serif" w:hAnsi="Times New Roman;Times;Serif"/>
          <w:b w:val="false"/>
          <w:i w:val="false"/>
          <w:caps w:val="false"/>
          <w:smallCaps w:val="false"/>
          <w:sz w:val="20"/>
        </w:rPr>
        <w:t>”). NextCure holds exclusive global rights to develop, manufacture and commercialize SIM0505, excluding China, Hong Kong, Macau and Taiwan, which are retained by Simcere Zaiming. SIM0505 is being evaluated in an open-label Phase 1 study, with patients being enrolled by Simcere Zaiming at sites in China, for the potential treatment of advanced solid tumors, including ovarian cancer, with an emphasis on platinum-resistant ovarian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has informed all U.S. clinical trial sites to stop screening, consenting, enrolling, and delivering first doses to new patients in the SIM0505 study. NextCure is working with clinical trial sites and principal investigators to develop and implement plans to cease treatment of patients currently on study and to transition such patients, as appropriate, to alternative therapies in accordance with applicable requirements. This program-specific decision is not based on any negative safety or efficacy finding or any dispute with Simcere Zaiming. Any strategic alternatives with respect to SIM0505 would be pursued in accordance with the terms of the parties’ existing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expects to seek opportunities to partner, license or otherwise monetize its rights to SIM0505, including in connection with the contingent value right arrangement described above, although there can be no assurance that any such transaction will be entered into or consummated or that any proceeds will become payable to holders of the contingent value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NextCure and Simcere Zaiming presented positive Phase 1 dose escalation data for SIM0505 in patients with gynecologic cancers at ASCO 2026, and NextCure continues to believe in the potential of SIM0505 based on the clinical activity and safety profile observed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LNCB74 Collaboration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NextCure entered into a Research and Collaboration and Co-Development Agreement (the “</w:t>
      </w:r>
      <w:r>
        <w:rPr>
          <w:rFonts w:ascii="Times New Roman;Times;Serif" w:hAnsi="Times New Roman;Times;Serif"/>
          <w:b w:val="false"/>
          <w:i w:val="false"/>
          <w:caps w:val="false"/>
          <w:smallCaps w:val="false"/>
          <w:sz w:val="20"/>
          <w:u w:val="single"/>
        </w:rPr>
        <w:t>LigaChem Agreement</w:t>
      </w:r>
      <w:r>
        <w:rPr>
          <w:rFonts w:ascii="Times New Roman;Times;Serif" w:hAnsi="Times New Roman;Times;Serif"/>
          <w:b w:val="false"/>
          <w:i w:val="false"/>
          <w:caps w:val="false"/>
          <w:smallCaps w:val="false"/>
          <w:sz w:val="20"/>
        </w:rPr>
        <w:t>”) with LigaChem Biosciences, Inc. (“</w:t>
      </w:r>
      <w:r>
        <w:rPr>
          <w:rFonts w:ascii="Times New Roman;Times;Serif" w:hAnsi="Times New Roman;Times;Serif"/>
          <w:b w:val="false"/>
          <w:i w:val="false"/>
          <w:caps w:val="false"/>
          <w:smallCaps w:val="false"/>
          <w:sz w:val="20"/>
          <w:u w:val="single"/>
        </w:rPr>
        <w:t>LigaChem</w:t>
      </w:r>
      <w:r>
        <w:rPr>
          <w:rFonts w:ascii="Times New Roman;Times;Serif" w:hAnsi="Times New Roman;Times;Serif"/>
          <w:b w:val="false"/>
          <w:i w:val="false"/>
          <w:caps w:val="false"/>
          <w:smallCaps w:val="false"/>
          <w:sz w:val="20"/>
        </w:rPr>
        <w:t>”), which established a collaboration wherein the parties equally share the costs of co-developing ADC molecules and profits on commercialized products arising from such co-development. Under the collaboration, the parties jointly developed LNCB74, the only product co-developed under the LigaChem Agreement. LNCB74 is a novel ADC directed to B7-H4 featuring a glucuronidase-cleavable, site-specific linker with MMAE payload designed for improved selective release of payload in tumor cells, and reduced payload release in non-tumor cells. LNCB74 is being evaluated in an open-label Phase 1 study for the potential treatment of advanced solid tumors, including breast, ovarian, and endometrial cancers. On July 14, 2026, NextCure announced that it has informed LigaChem that NextCure has opted-out of continued cost-sharing for LNCB74. NextCure’s specific decision with respect to LNCB74 is not based on any negative safety or efficacy finding or any dispute with LigaChem.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and LigaChem are in active discussions regarding potential continuation of the LNCB74 Phase 1 trial for an interim period at LigaChem’s cost and regarding whether LigaChem desires to continue the trial for and further development of LNCB74 as a Sole Developing Party (as defined by the LigaChem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contain forward-looking statements (including within the meaning of Section 21E of the Exchange Act and Section 27A of the Securities Act) concerning NextCure, Avere,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future operations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data and other clinical results; and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These forward-looking statements are based on current expectations and beliefs concerning future developments and their potential effects. There can be no assurance that future developments affecting NextCure, Avere or the proposed transaction will be those that have been anticipated.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substantial risks and uncertainties that could cause actual results to differ materially from those projected in any forward-looking statement. These risks and uncertainties include, but are not limited to, risks associated with the possible failure to satisfy the conditions to the closing or consummation of the Merger, including NextCure’s failure to obtain stockholder approval for the Merger, risks associated with the potential failure to complete the financing transaction in a timely manner or at all, risks associated with the uncertainty as to the timing of the consummation of the Merger and the ability of each of NextCure and Avere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international relations, tariffs, and other trade regulations between the U.S. and China; and the impact of current and future laws and regulations. More detailed information on these and additional factors that could affect NextCure’s actual results is described under the heading “Risk Factors” in NextCure’s most recent Annual Report on Form 10-K, Quarterly Report on Form 10-Q and in NextCure’s other filings with the Securities and Exchange Commission. You should not place undue reliance on any forward-looking statements. Forward-looking statements speak only as of the date of this Current Report on Form 8-K, and NextCure assumes no obligation to update any forward-looking statements, even if expectations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Offer or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CURRENT REPORT ON FORM 8-K AND THE EXHIBITS FILED OR FURNISHED HEREWITH ARE TRUTHFUL OR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Additional Information About the Proposed Transaction Will be Filed with the SEC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and the exhibits filed or furnished herewith are not substitutes for any other document that NextCure may file with the SEC in connection with the proposed transaction, including the registration statement on Form S-4 (the “Form S-4”) that will contain a proxy statement and prospectus. In connection with the proposed transaction between NextCure and Avere, NextCure intends to file relevant materials with the SEC, including the Form S-4. NEXTCURE URGES INVESTORS AND STOCKHOLDERS TO READ THE REGISTRATION STATEMENT,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In addition, investors and stockholders should note that NextCure communicates with investors and the public using its website (</w:t>
      </w:r>
      <w:r>
        <w:rPr>
          <w:rFonts w:ascii="Times New Roman;Times;Serif" w:hAnsi="Times New Roman;Times;Serif"/>
          <w:b w:val="false"/>
          <w:i/>
          <w:caps w:val="false"/>
          <w:smallCaps w:val="false"/>
          <w:sz w:val="20"/>
        </w:rPr>
        <w:t>https://www.nextcure.com</w:t>
      </w:r>
      <w:r>
        <w:rPr>
          <w:rFonts w:ascii="Times New Roman;Times;Serif" w:hAnsi="Times New Roman;Times;Serif"/>
          <w:b w:val="false"/>
          <w:i w:val="false"/>
          <w:caps w:val="false"/>
          <w:smallCaps w:val="false"/>
          <w:sz w:val="20"/>
        </w:rPr>
        <w:t>) and the investor relations website (</w:t>
      </w:r>
      <w:r>
        <w:rPr>
          <w:rFonts w:ascii="Times New Roman;Times;Serif" w:hAnsi="Times New Roman;Times;Serif"/>
          <w:b w:val="false"/>
          <w:i/>
          <w:caps w:val="false"/>
          <w:smallCaps w:val="false"/>
          <w:sz w:val="20"/>
        </w:rPr>
        <w:t>https://ir.nextcure.com/</w:t>
      </w:r>
      <w:r>
        <w:rPr>
          <w:rFonts w:ascii="Times New Roman;Times;Serif" w:hAnsi="Times New Roman;Times;Serif"/>
          <w:b w:val="false"/>
          <w:i w:val="false"/>
          <w:caps w:val="false"/>
          <w:smallCaps w:val="false"/>
          <w:sz w:val="20"/>
        </w:rPr>
        <w:t>) where anyone will be able to obtain free copies of the Registration Statement and included proxy statement/prospectus and other documents filed by NextCure with the SEC and stockholders are urged to read the Registration Statement and included proxy statement/prospectus and the other relevant materials when they become available before making any voting or investment decision with respect to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definitive proxy statement, as filed with the SEC on April 24, 2026.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2-1.htm">
              <w:r>
                <w:rPr>
                  <w:rStyle w:val="InternetLink"/>
                  <w:rFonts w:ascii="Times New Roman;Times;Serif" w:hAnsi="Times New Roman;Times;Serif"/>
                  <w:b w:val="false"/>
                  <w:i w:val="false"/>
                  <w:caps w:val="false"/>
                  <w:smallCaps w:val="false"/>
                  <w:sz w:val="20"/>
                </w:rPr>
                <w:t>2.1*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2-1.htm">
              <w:r>
                <w:rPr>
                  <w:rStyle w:val="InternetLink"/>
                  <w:rFonts w:ascii="Times New Roman;Times;Serif" w:hAnsi="Times New Roman;Times;Serif"/>
                  <w:b w:val="false"/>
                  <w:i w:val="false"/>
                  <w:caps w:val="false"/>
                  <w:smallCaps w:val="false"/>
                  <w:sz w:val="20"/>
                </w:rPr>
                <w:t xml:space="preserve">Agreement and Plan of Merger and Reorganization, dated as of July 14, 2026, by and among NextCure, Inc., Neptune Merger Sub Corp., Neptune Second Merger Sub, LLC and Avere Therapeutics, Inc.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1.htm">
              <w:r>
                <w:rPr>
                  <w:rStyle w:val="InternetLink"/>
                  <w:rFonts w:ascii="Times New Roman;Times;Serif" w:hAnsi="Times New Roman;Times;Serif"/>
                  <w:b w:val="false"/>
                  <w:i w:val="false"/>
                  <w:caps w:val="false"/>
                  <w:smallCaps w:val="false"/>
                  <w:sz w:val="20"/>
                </w:rPr>
                <w:t>10.1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1.htm">
              <w:r>
                <w:rPr>
                  <w:rStyle w:val="InternetLink"/>
                  <w:rFonts w:ascii="Times New Roman;Times;Serif" w:hAnsi="Times New Roman;Times;Serif"/>
                  <w:b w:val="false"/>
                  <w:i w:val="false"/>
                  <w:caps w:val="false"/>
                  <w:smallCaps w:val="false"/>
                  <w:sz w:val="20"/>
                </w:rPr>
                <w:t xml:space="preserve">Form of Avere Support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2.htm">
              <w:r>
                <w:rPr>
                  <w:rStyle w:val="InternetLink"/>
                  <w:rFonts w:ascii="Times New Roman;Times;Serif" w:hAnsi="Times New Roman;Times;Serif"/>
                  <w:b w:val="false"/>
                  <w:i w:val="false"/>
                  <w:caps w:val="false"/>
                  <w:smallCaps w:val="false"/>
                  <w:sz w:val="20"/>
                </w:rPr>
                <w:t>10.2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2.htm">
              <w:r>
                <w:rPr>
                  <w:rStyle w:val="InternetLink"/>
                  <w:rFonts w:ascii="Times New Roman;Times;Serif" w:hAnsi="Times New Roman;Times;Serif"/>
                  <w:b w:val="false"/>
                  <w:i w:val="false"/>
                  <w:caps w:val="false"/>
                  <w:smallCaps w:val="false"/>
                  <w:sz w:val="20"/>
                </w:rPr>
                <w:t xml:space="preserve">Form of NextCure Support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3.htm">
              <w:r>
                <w:rPr>
                  <w:rStyle w:val="InternetLink"/>
                  <w:rFonts w:ascii="Times New Roman;Times;Serif" w:hAnsi="Times New Roman;Times;Serif"/>
                  <w:b w:val="false"/>
                  <w:i w:val="false"/>
                  <w:caps w:val="false"/>
                  <w:smallCaps w:val="false"/>
                  <w:sz w:val="20"/>
                </w:rPr>
                <w:t>10.3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3.htm">
              <w:r>
                <w:rPr>
                  <w:rStyle w:val="InternetLink"/>
                  <w:rFonts w:ascii="Times New Roman;Times;Serif" w:hAnsi="Times New Roman;Times;Serif"/>
                  <w:b w:val="false"/>
                  <w:i w:val="false"/>
                  <w:caps w:val="false"/>
                  <w:smallCaps w:val="false"/>
                  <w:sz w:val="20"/>
                </w:rPr>
                <w:t xml:space="preserve">Form of Avere Securities Purchase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4.htm">
              <w:r>
                <w:rPr>
                  <w:rStyle w:val="InternetLink"/>
                  <w:rFonts w:ascii="Times New Roman;Times;Serif" w:hAnsi="Times New Roman;Times;Serif"/>
                  <w:b w:val="false"/>
                  <w:i w:val="false"/>
                  <w:caps w:val="false"/>
                  <w:smallCaps w:val="false"/>
                  <w:sz w:val="20"/>
                </w:rPr>
                <w:t>10.4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4.htm">
              <w:r>
                <w:rPr>
                  <w:rStyle w:val="InternetLink"/>
                  <w:rFonts w:ascii="Times New Roman;Times;Serif" w:hAnsi="Times New Roman;Times;Serif"/>
                  <w:b w:val="false"/>
                  <w:i w:val="false"/>
                  <w:caps w:val="false"/>
                  <w:smallCaps w:val="false"/>
                  <w:sz w:val="20"/>
                </w:rPr>
                <w:t xml:space="preserve">Form of Registration Rights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5.htm">
              <w:r>
                <w:rPr>
                  <w:rStyle w:val="InternetLink"/>
                  <w:rFonts w:ascii="Times New Roman;Times;Serif" w:hAnsi="Times New Roman;Times;Serif"/>
                  <w:b w:val="false"/>
                  <w:i w:val="false"/>
                  <w:caps w:val="false"/>
                  <w:smallCaps w:val="false"/>
                  <w:sz w:val="20"/>
                </w:rPr>
                <w:t>10.5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5.htm">
              <w:r>
                <w:rPr>
                  <w:rStyle w:val="InternetLink"/>
                  <w:rFonts w:ascii="Times New Roman;Times;Serif" w:hAnsi="Times New Roman;Times;Serif"/>
                  <w:b w:val="false"/>
                  <w:i w:val="false"/>
                  <w:caps w:val="false"/>
                  <w:smallCaps w:val="false"/>
                  <w:sz w:val="20"/>
                </w:rPr>
                <w:t xml:space="preserve">Form of Lock-Up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6.htm">
              <w:r>
                <w:rPr>
                  <w:rStyle w:val="InternetLink"/>
                  <w:rFonts w:ascii="Times New Roman;Times;Serif" w:hAnsi="Times New Roman;Times;Serif"/>
                  <w:b w:val="false"/>
                  <w:i w:val="false"/>
                  <w:caps w:val="false"/>
                  <w:smallCaps w:val="false"/>
                  <w:sz w:val="20"/>
                </w:rPr>
                <w:t>10.6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6.htm">
              <w:r>
                <w:rPr>
                  <w:rStyle w:val="InternetLink"/>
                  <w:rFonts w:ascii="Times New Roman;Times;Serif" w:hAnsi="Times New Roman;Times;Serif"/>
                  <w:b w:val="false"/>
                  <w:i w:val="false"/>
                  <w:caps w:val="false"/>
                  <w:smallCaps w:val="false"/>
                  <w:sz w:val="20"/>
                </w:rPr>
                <w:t xml:space="preserve">Form of CVR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99-1.htm">
              <w:r>
                <w:rPr>
                  <w:rStyle w:val="InternetLink"/>
                  <w:rFonts w:ascii="Times New Roman;Times;Serif" w:hAnsi="Times New Roman;Times;Serif"/>
                  <w:b w:val="false"/>
                  <w:i w:val="false"/>
                  <w:caps w:val="false"/>
                  <w:smallCaps w:val="false"/>
                  <w:sz w:val="20"/>
                </w:rPr>
                <w:t xml:space="preserve">Press Release, issued on July 14, 2026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have been omitted pursuant to Item 601(a)(5) of Regulation S-K. A copy of any omitted schedule and/or exhibit will be furnished to the SEC upon request.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730"/>
        <w:gridCol w:w="545"/>
        <w:gridCol w:w="2105"/>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14, 2026</w:t>
            </w:r>
          </w:p>
        </w:tc>
        <w:tc>
          <w:tcPr>
            <w:tcW w:w="2650" w:type="dxa"/>
            <w:gridSpan w:val="2"/>
            <w:tcBorders/>
            <w:vAlign w:val="center"/>
          </w:tcPr>
          <w:p>
            <w:pPr>
              <w:pStyle w:val="TableContents"/>
              <w:bidi w:val="0"/>
              <w:spacing w:before="0" w:after="283"/>
              <w:jc w:val="left"/>
              <w:rPr/>
            </w:pPr>
            <w:r>
              <w:rPr>
                <w:b/>
              </w:rPr>
              <w:t>NEXTCURE, INC.</w:t>
            </w:r>
            <w:r>
              <w:rPr/>
              <w:t xml:space="preserve">  </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By:</w:t>
            </w:r>
          </w:p>
        </w:tc>
        <w:tc>
          <w:tcPr>
            <w:tcW w:w="2105" w:type="dxa"/>
            <w:tcBorders>
              <w:bottom w:val="single" w:sz="8" w:space="0" w:color="000000"/>
            </w:tcBorders>
            <w:tcMar>
              <w:bottom w:w="28" w:type="dxa"/>
            </w:tcMar>
            <w:vAlign w:val="center"/>
          </w:tcPr>
          <w:p>
            <w:pPr>
              <w:pStyle w:val="TableContents"/>
              <w:bidi w:val="0"/>
              <w:spacing w:before="0" w:after="283"/>
              <w:jc w:val="left"/>
              <w:rPr/>
            </w:pPr>
            <w:r>
              <w:rPr/>
              <w:t>/s/ Steven P. Cobourn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P. Cobourn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620428d1_ex2-1.htm"/>
      <w:bookmarkStart w:id="24" w:name="kstm2620428d1_ex2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pBdr>
          <w:bottom w:val="single" w:sz="8" w:space="1" w:color="000000"/>
        </w:pBd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Avere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NEPTUNE MERGER SUB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NEPTUNE SECOND MERGER SUB, LLC;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NextCure,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14,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395"/>
        <w:gridCol w:w="6875"/>
        <w:gridCol w:w="245"/>
      </w:tblGrid>
      <w:tr>
        <w:trPr/>
        <w:tc>
          <w:tcPr>
            <w:tcW w:w="72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 Definitions and Interpretative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and Interpretative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2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 Description of Transaction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First Effective Time; Second Effective Time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 Directors and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Company, First Merger Sub and Second Merger Sub Equity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of the Company’s Transfer Books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Company Capital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of Parent Net Cash and Company Valuation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Value Right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Intended 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Appraisal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2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 Representations and Warranties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Leasehold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Contracts and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Permits; Restrictions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69" w:type="dxa"/>
        <w:jc w:val="left"/>
        <w:tblInd w:w="0" w:type="dxa"/>
        <w:tblLayout w:type="fixed"/>
        <w:tblCellMar>
          <w:top w:w="0" w:type="dxa"/>
          <w:left w:w="0" w:type="dxa"/>
          <w:bottom w:w="0" w:type="dxa"/>
          <w:right w:w="0" w:type="dxa"/>
        </w:tblCellMar>
      </w:tblPr>
      <w:tblGrid>
        <w:gridCol w:w="761"/>
        <w:gridCol w:w="6863"/>
        <w:gridCol w:w="245"/>
      </w:tblGrid>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Financial Advisors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Data Security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Control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Parent Capital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 Representations and Warranties of Parent, First Merger Sub and Second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Leasehold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Contracts and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Permits; Restrictions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Financial Advisors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 Issuance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Data Security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Control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60" w:type="dxa"/>
        <w:jc w:val="left"/>
        <w:tblInd w:w="0" w:type="dxa"/>
        <w:tblLayout w:type="fixed"/>
        <w:tblCellMar>
          <w:top w:w="0" w:type="dxa"/>
          <w:left w:w="0" w:type="dxa"/>
          <w:bottom w:w="0" w:type="dxa"/>
          <w:right w:w="0" w:type="dxa"/>
        </w:tblCellMar>
      </w:tblPr>
      <w:tblGrid>
        <w:gridCol w:w="395"/>
        <w:gridCol w:w="4820"/>
        <w:gridCol w:w="24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 Certain Covenants of the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Parent’s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the Company’s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Certain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 Additional Agreements of the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Proxy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Written Consent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Regulatory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Options; Company RSUs; Company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Officers and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and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Agreements and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6.16</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SEC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6.17</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6.18</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Pre-Closing Dividend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6.19</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6.20</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Pre-Closing Financing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Agreements; Wind-Down Activities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 Conditions Precedent to Obligations of Each Party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69" w:type="dxa"/>
        <w:jc w:val="left"/>
        <w:tblInd w:w="0" w:type="dxa"/>
        <w:tblLayout w:type="fixed"/>
        <w:tblCellMar>
          <w:top w:w="0" w:type="dxa"/>
          <w:left w:w="0" w:type="dxa"/>
          <w:bottom w:w="0" w:type="dxa"/>
          <w:right w:w="0" w:type="dxa"/>
        </w:tblCellMar>
      </w:tblPr>
      <w:tblGrid>
        <w:gridCol w:w="541"/>
        <w:gridCol w:w="6408"/>
        <w:gridCol w:w="320"/>
      </w:tblGrid>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 Additional Conditions Precedent to Obligations of Parent and Merger Subs</w:t>
            </w:r>
          </w:p>
        </w:tc>
        <w:tc>
          <w:tcPr>
            <w:tcW w:w="320" w:type="dxa"/>
            <w:tcBorders/>
            <w:vAlign w:val="center"/>
          </w:tcPr>
          <w:p>
            <w:pPr>
              <w:pStyle w:val="TableContents"/>
              <w:bidi w:val="0"/>
              <w:spacing w:before="0" w:after="283"/>
              <w:jc w:val="right"/>
              <w:rPr/>
            </w:pPr>
            <w:r>
              <w:rPr/>
              <w:t> </w:t>
            </w:r>
            <w:r>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Company Material Adverse Effect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Written Consent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Pre-Closing Financing</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 Additional Conditions Precedent to Obligation of the Company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Parent Material Adverse Effect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Pre-Closing Dividend</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Charter Amendment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Agreements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 Termination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Miscellaneous Provisions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Non-Survival of Representations and Warranties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Counterparts; Exchanges by Electronic Transmission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 Jurisdiction; WAIVER OF RIGHT TO TRIAL BY JURY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Assignability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11.8</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11.9</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11.10</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 Specific Performance</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Third-Party Beneficiaries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2"/>
        <w:gridCol w:w="9343"/>
      </w:tblGrid>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Parent Stockholder Support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Company Stockholder Support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Subscription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D-1</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 of Merger, including certificate of incorporation of the First Step Surviving Corporation attached as Exhibit A thereto, incorporated by reference into this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D-2</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 of Merger, incorporated by reference into this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CVR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and Reorganization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and entered into as of July 14, 2026, by and among </w:t>
      </w:r>
      <w:r>
        <w:rPr>
          <w:rFonts w:ascii="Times New Roman;Times;Serif" w:hAnsi="Times New Roman;Times;Serif"/>
          <w:b/>
          <w:i w:val="false"/>
          <w:smallCaps/>
          <w:sz w:val="20"/>
        </w:rPr>
        <w:t>NextCure,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Neptune Merger Sub Corp.</w:t>
      </w:r>
      <w:r>
        <w:rPr>
          <w:rFonts w:ascii="Times New Roman;Times;Serif" w:hAnsi="Times New Roman;Times;Serif"/>
          <w:b w:val="false"/>
          <w:i w:val="false"/>
          <w:caps w:val="false"/>
          <w:smallCaps w:val="false"/>
          <w:sz w:val="20"/>
        </w:rPr>
        <w:t>, a Delaware corporation and wholly owned subsidiary of Parent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Neptune Second Merger Sub, LLC</w:t>
      </w:r>
      <w:r>
        <w:rPr>
          <w:rFonts w:ascii="Times New Roman;Times;Serif" w:hAnsi="Times New Roman;Times;Serif"/>
          <w:b w:val="false"/>
          <w:i w:val="false"/>
          <w:caps w:val="false"/>
          <w:smallCaps w:val="false"/>
          <w:sz w:val="20"/>
        </w:rPr>
        <w:t>, a Delaware limited liability company and wholly owned subsidiary of Parent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together with First Merger Sub,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smallCaps/>
          <w:sz w:val="20"/>
        </w:rPr>
        <w:t>Avere Therapeutics, Inc.</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Certain capitalized terms used in this Agreement are defined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Company intend to effect a merger of First Merger Sub with and into the Company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in accordance with this Agreement and the DGCL. Upon consummation of the First Merger, First Merger Sub will cease to exist and the Company will become a wholly owned subsidiary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following the First Merger and as part of the same overall transaction as the First Merger, the Company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stockholders of Parent vote to approve this Agreement and thereby approve the Parent Stockholder Matters, including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Concurrently with the execution and delivery of this Agreement and as a condition and inducement to the Company’s willingness to enter into this Agreement, each of the officers and directors set forth on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Parent Disclosure Letter (solely in their capacity as stockholders of Parent) are executing support agreements in favor of the Company in substantially the form attached hereto as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Parent Stockholder Support Agreement</w:t>
      </w:r>
      <w:r>
        <w:rPr>
          <w:rFonts w:ascii="Times New Roman;Times;Serif" w:hAnsi="Times New Roman;Times;Serif"/>
          <w:b w:val="false"/>
          <w:i w:val="false"/>
          <w:caps w:val="false"/>
          <w:smallCaps w:val="false"/>
          <w:sz w:val="20"/>
        </w:rPr>
        <w:t>”),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certificate of incorporation and bylaws to effect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 Stockholder Support Agreement</w:t>
      </w:r>
      <w:r>
        <w:rPr>
          <w:rFonts w:ascii="Times New Roman;Times;Serif" w:hAnsi="Times New Roman;Times;Serif"/>
          <w:b w:val="false"/>
          <w:i w:val="false"/>
          <w:caps w:val="false"/>
          <w:smallCaps w:val="false"/>
          <w:sz w:val="20"/>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Times;Serif" w:hAnsi="Times New Roman;Times;Serif"/>
          <w:b w:val="false"/>
          <w:i w:val="false"/>
          <w:caps w:val="false"/>
          <w:smallCaps w:val="false"/>
          <w:sz w:val="20"/>
          <w:u w:val="single"/>
        </w:rPr>
        <w:t>Section B</w:t>
      </w:r>
      <w:r>
        <w:rPr>
          <w:rFonts w:ascii="Times New Roman;Times;Serif" w:hAnsi="Times New Roman;Times;Serif"/>
          <w:b w:val="false"/>
          <w:i w:val="false"/>
          <w:caps w:val="false"/>
          <w:smallCaps w:val="false"/>
          <w:sz w:val="20"/>
        </w:rPr>
        <w:t xml:space="preserve"> of the Company Disclosure Letter are executing lock-up agreements in substantially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Concurrently with the execution and delivery of this Agreement, certain investors have executed a Securities Purchase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among the Company and the Persons named therein (including as may be amended, restated and/or superseded from time to time, collectively,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pursuant to which such Persons have agreed to purchase (including by contribution of Company Notes and any associated interest, premiums and fees thereon), in the amounts set forth therein, shares of Company Common Stock and pre-funded warrants to purchase Company Common Stock immediately prior to the First Effective Time (the “</w:t>
      </w:r>
      <w:r>
        <w:rPr>
          <w:rFonts w:ascii="Times New Roman;Times;Serif" w:hAnsi="Times New Roman;Times;Serif"/>
          <w:b/>
          <w:i w:val="false"/>
          <w:caps w:val="false"/>
          <w:smallCaps w:val="false"/>
          <w:sz w:val="20"/>
        </w:rPr>
        <w:t>Company Pre-Closing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 and Interpretative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this Agreement (including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Accrued Pre-Closing Tax Amount</w:t>
      </w:r>
      <w:r>
        <w:rPr>
          <w:rFonts w:ascii="Times New Roman;Times;Serif" w:hAnsi="Times New Roman;Times;Serif"/>
          <w:b w:val="false"/>
          <w:i w:val="false"/>
          <w:caps w:val="false"/>
          <w:smallCaps w:val="false"/>
          <w:sz w:val="20"/>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Inquiry</w:t>
      </w:r>
      <w:r>
        <w:rPr>
          <w:rFonts w:ascii="Times New Roman;Times;Serif" w:hAnsi="Times New Roman;Times;Serif"/>
          <w:b w:val="false"/>
          <w:i w:val="false"/>
          <w:caps w:val="false"/>
          <w:smallCaps w:val="false"/>
          <w:sz w:val="20"/>
        </w:rPr>
        <w:t>”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(other than any Parent Legacy Transaction, the issuance of any Company Notes or the Company Pre-Closing Financing) involving: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have the meaning given to such term in Rule 145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Affordable Care Act</w:t>
      </w:r>
      <w:r>
        <w:rPr>
          <w:rFonts w:ascii="Times New Roman;Times;Serif" w:hAnsi="Times New Roman;Times;Serif"/>
          <w:b w:val="false"/>
          <w:i w:val="false"/>
          <w:caps w:val="false"/>
          <w:smallCaps w:val="false"/>
          <w:sz w:val="20"/>
        </w:rPr>
        <w:t>” means the Patient Protection and Affordable Care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Anticipated Closing Date</w:t>
      </w:r>
      <w:r>
        <w:rPr>
          <w:rFonts w:ascii="Times New Roman;Times;Serif" w:hAnsi="Times New Roman;Times;Serif"/>
          <w:b w:val="false"/>
          <w:i w:val="false"/>
          <w:caps w:val="false"/>
          <w:smallCaps w:val="false"/>
          <w:sz w:val="20"/>
        </w:rPr>
        <w:t>” means the anticipated Closing Date, as agreed upon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or (b) a day on which banks in the State of New York are authorized or obligated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means the Consolidated Omnibus Budget Reconciliation Act of 1985, as set forth in Section 4980B of the Code and Section 6 of Title I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Associate</w:t>
      </w:r>
      <w:r>
        <w:rPr>
          <w:rFonts w:ascii="Times New Roman;Times;Serif" w:hAnsi="Times New Roman;Times;Serif"/>
          <w:b w:val="false"/>
          <w:i w:val="false"/>
          <w:caps w:val="false"/>
          <w:smallCaps w:val="false"/>
          <w:sz w:val="20"/>
        </w:rPr>
        <w:t>” means any current employee, individual independent contractor, officer or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Capital Stock</w:t>
      </w:r>
      <w:r>
        <w:rPr>
          <w:rFonts w:ascii="Times New Roman;Times;Serif" w:hAnsi="Times New Roman;Times;Serif"/>
          <w:b w:val="false"/>
          <w:i w:val="false"/>
          <w:caps w:val="false"/>
          <w:smallCaps w:val="false"/>
          <w:sz w:val="20"/>
        </w:rPr>
        <w:t>” means the Company Common Stock and the Company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Capitalization Representations</w:t>
      </w:r>
      <w:r>
        <w:rPr>
          <w:rFonts w:ascii="Times New Roman;Times;Serif" w:hAnsi="Times New Roman;Times;Serif"/>
          <w:b w:val="false"/>
          <w:i w:val="false"/>
          <w:caps w:val="false"/>
          <w:smallCaps w:val="false"/>
          <w:sz w:val="20"/>
        </w:rPr>
        <w:t xml:space="preserve">” means the representations and warranties of the Company set forth in </w:t>
      </w:r>
      <w:r>
        <w:rPr>
          <w:rFonts w:ascii="Times New Roman;Times;Serif" w:hAnsi="Times New Roman;Times;Serif"/>
          <w:b w:val="false"/>
          <w:i w:val="false"/>
          <w:caps w:val="false"/>
          <w:smallCaps w:val="false"/>
          <w:sz w:val="20"/>
          <w:u w:val="single"/>
        </w:rPr>
        <w:t>Sections 3.6(a)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$0.0001 par value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Contract</w:t>
      </w:r>
      <w:r>
        <w:rPr>
          <w:rFonts w:ascii="Times New Roman;Times;Serif" w:hAnsi="Times New Roman;Times;Serif"/>
          <w:b w:val="false"/>
          <w:i w:val="false"/>
          <w:caps w:val="false"/>
          <w:smallCaps w:val="false"/>
          <w:sz w:val="20"/>
        </w:rPr>
        <w:t>” means any Contract: (a) to which the Company is a Party, (b) by which the Company is or may become bound or under which the Company has, or may become subject to, any obligation or (c) under which the Company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Employee Plan</w:t>
      </w:r>
      <w:r>
        <w:rPr>
          <w:rFonts w:ascii="Times New Roman;Times;Serif" w:hAnsi="Times New Roman;Times;Serif"/>
          <w:b w:val="false"/>
          <w:i w:val="false"/>
          <w:caps w:val="false"/>
          <w:smallCaps w:val="false"/>
          <w:sz w:val="20"/>
        </w:rPr>
        <w:t>”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Fundamental Representations</w:t>
      </w:r>
      <w:r>
        <w:rPr>
          <w:rFonts w:ascii="Times New Roman;Times;Serif" w:hAnsi="Times New Roman;Times;Serif"/>
          <w:b w:val="false"/>
          <w:i w:val="false"/>
          <w:caps w:val="false"/>
          <w:smallCaps w:val="false"/>
          <w:sz w:val="20"/>
        </w:rPr>
        <w:t xml:space="preserve">” means the representations and warranties of the Company set forth in </w:t>
      </w:r>
      <w:r>
        <w:rPr>
          <w:rFonts w:ascii="Times New Roman;Times;Serif" w:hAnsi="Times New Roman;Times;Serif"/>
          <w:b w:val="false"/>
          <w:i w:val="false"/>
          <w:caps w:val="false"/>
          <w:smallCaps w:val="false"/>
          <w:sz w:val="20"/>
          <w:u w:val="single"/>
        </w:rPr>
        <w:t>Sections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 Rights</w:t>
      </w:r>
      <w:r>
        <w:rPr>
          <w:rFonts w:ascii="Times New Roman;Times;Serif" w:hAnsi="Times New Roman;Times;Serif"/>
          <w:b w:val="false"/>
          <w:i w:val="false"/>
          <w:caps w:val="false"/>
          <w:smallCaps w:val="false"/>
          <w:sz w:val="20"/>
        </w:rPr>
        <w:t>” means all Intellectual Property rights that are owned or purported to be owned by, whether wholly or jointly with others, assigned to, exclusively licensed to, or controlled by the Company that are necessary for, or used or held for use in, the operation of the business of the Company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 Rights Agreement</w:t>
      </w:r>
      <w:r>
        <w:rPr>
          <w:rFonts w:ascii="Times New Roman;Times;Serif" w:hAnsi="Times New Roman;Times;Serif"/>
          <w:b w:val="false"/>
          <w:i w:val="false"/>
          <w:caps w:val="false"/>
          <w:smallCaps w:val="false"/>
          <w:sz w:val="20"/>
        </w:rPr>
        <w:t>” means any Contract governing, related to or pertaining to any Company IP Rights other than any confidential information provided under confidentiality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Key Employee</w:t>
      </w:r>
      <w:r>
        <w:rPr>
          <w:rFonts w:ascii="Times New Roman;Times;Serif" w:hAnsi="Times New Roman;Times;Serif"/>
          <w:b w:val="false"/>
          <w:i w:val="false"/>
          <w:caps w:val="false"/>
          <w:smallCaps w:val="false"/>
          <w:sz w:val="20"/>
        </w:rPr>
        <w:t>” means any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Company Material Adverse Effect: (a) the announcement of this Agreement or the pendency of the Contemplated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Merger Shares</w:t>
      </w:r>
      <w:r>
        <w:rPr>
          <w:rFonts w:ascii="Times New Roman;Times;Serif" w:hAnsi="Times New Roman;Times;Serif"/>
          <w:b w:val="false"/>
          <w:i w:val="false"/>
          <w:caps w:val="false"/>
          <w:smallCaps w:val="false"/>
          <w:sz w:val="20"/>
        </w:rPr>
        <w:t xml:space="preserve">” means the product determined by </w:t>
      </w:r>
      <w:r>
        <w:rPr>
          <w:rFonts w:ascii="Times New Roman;Times;Serif" w:hAnsi="Times New Roman;Times;Serif"/>
          <w:b w:val="false"/>
          <w:i/>
          <w:caps w:val="false"/>
          <w:smallCaps w:val="false"/>
          <w:sz w:val="20"/>
          <w:u w:val="single"/>
        </w:rPr>
        <w:t>multiplying</w:t>
      </w:r>
      <w:r>
        <w:rPr>
          <w:rFonts w:ascii="Times New Roman;Times;Serif" w:hAnsi="Times New Roman;Times;Serif"/>
          <w:b w:val="false"/>
          <w:i w:val="false"/>
          <w:caps w:val="false"/>
          <w:smallCaps w:val="false"/>
          <w:sz w:val="20"/>
        </w:rPr>
        <w:t xml:space="preserve"> (a) the Post-Closing Parent Shares </w:t>
      </w:r>
      <w:r>
        <w:rPr>
          <w:rFonts w:ascii="Times New Roman;Times;Serif" w:hAnsi="Times New Roman;Times;Serif"/>
          <w:b w:val="false"/>
          <w:i/>
          <w:caps w:val="false"/>
          <w:smallCaps w:val="false"/>
          <w:sz w:val="20"/>
          <w:u w:val="single"/>
        </w:rPr>
        <w:t>by</w:t>
      </w:r>
      <w:r>
        <w:rPr>
          <w:rFonts w:ascii="Times New Roman;Times;Serif" w:hAnsi="Times New Roman;Times;Serif"/>
          <w:b w:val="false"/>
          <w:i w:val="false"/>
          <w:caps w:val="false"/>
          <w:smallCaps w:val="false"/>
          <w:sz w:val="20"/>
        </w:rPr>
        <w:t xml:space="preserve"> (b) the Company Allocation Percentage, in which: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w:t>
            </w:r>
            <w:r>
              <w:rPr>
                <w:rFonts w:ascii="Times New Roman;Times;Serif" w:hAnsi="Times New Roman;Times;Serif"/>
                <w:b/>
              </w:rPr>
              <w:t>Aggregate Valuation</w:t>
            </w:r>
            <w:r>
              <w:rPr>
                <w:rFonts w:ascii="Times New Roman;Times;Serif" w:hAnsi="Times New Roman;Times;Serif"/>
              </w:rPr>
              <w:t xml:space="preserve">” means the sum of (i) the Company Valuation, </w:t>
            </w:r>
            <w:r>
              <w:rPr>
                <w:rFonts w:ascii="Times New Roman;Times;Serif" w:hAnsi="Times New Roman;Times;Serif"/>
                <w:i/>
                <w:u w:val="single"/>
              </w:rPr>
              <w:t>plus</w:t>
            </w:r>
            <w:r>
              <w:rPr>
                <w:rFonts w:ascii="Times New Roman;Times;Serif" w:hAnsi="Times New Roman;Times;Serif"/>
              </w:rPr>
              <w:t xml:space="preserve"> (ii) the Parent Valuation.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Company Allocation Percentage</w:t>
            </w:r>
            <w:r>
              <w:rPr>
                <w:rFonts w:ascii="Times New Roman;Times;Serif" w:hAnsi="Times New Roman;Times;Serif"/>
              </w:rPr>
              <w:t xml:space="preserve">” means the percentage (rounded to four decimal places) determined by </w:t>
            </w:r>
            <w:r>
              <w:rPr>
                <w:rFonts w:ascii="Times New Roman;Times;Serif" w:hAnsi="Times New Roman;Times;Serif"/>
                <w:i/>
                <w:u w:val="single"/>
              </w:rPr>
              <w:t>subtracting</w:t>
            </w:r>
            <w:r>
              <w:rPr>
                <w:rFonts w:ascii="Times New Roman;Times;Serif" w:hAnsi="Times New Roman;Times;Serif"/>
              </w:rPr>
              <w:t xml:space="preserve"> (i) the Parent Allocation Percentage </w:t>
            </w:r>
            <w:r>
              <w:rPr>
                <w:rFonts w:ascii="Times New Roman;Times;Serif" w:hAnsi="Times New Roman;Times;Serif"/>
                <w:i/>
                <w:u w:val="single"/>
              </w:rPr>
              <w:t>from</w:t>
            </w:r>
            <w:r>
              <w:rPr>
                <w:rFonts w:ascii="Times New Roman;Times;Serif" w:hAnsi="Times New Roman;Times;Serif"/>
              </w:rPr>
              <w:t xml:space="preserve"> (ii) 100 percent.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59"/>
        <w:gridCol w:w="9868"/>
      </w:tblGrid>
      <w:tr>
        <w:trPr/>
        <w:tc>
          <w:tcPr>
            <w:tcW w:w="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Symbol" w:hAnsi="Symbol"/>
              </w:rPr>
            </w:pPr>
            <w:r>
              <w:rPr>
                <w:rFonts w:ascii="Symbol" w:hAnsi="Symbol"/>
              </w:rPr>
              <w:t>·</w:t>
            </w:r>
          </w:p>
        </w:tc>
        <w:tc>
          <w:tcPr>
            <w:tcW w:w="9868" w:type="dxa"/>
            <w:tcBorders/>
            <w:vAlign w:val="center"/>
          </w:tcPr>
          <w:p>
            <w:pPr>
              <w:pStyle w:val="TableContents"/>
              <w:bidi w:val="0"/>
              <w:spacing w:before="0" w:after="283"/>
              <w:jc w:val="both"/>
              <w:rPr/>
            </w:pPr>
            <w:r>
              <w:rPr/>
              <w:t>“</w:t>
            </w:r>
            <w:r>
              <w:rPr>
                <w:rFonts w:ascii="Times New Roman;Times;Serif" w:hAnsi="Times New Roman;Times;Serif"/>
                <w:b/>
              </w:rPr>
              <w:t>Company Equity Value</w:t>
            </w:r>
            <w:r>
              <w:rPr>
                <w:rFonts w:ascii="Times New Roman;Times;Serif" w:hAnsi="Times New Roman;Times;Serif"/>
              </w:rPr>
              <w:t>” means $250,000,000.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Company Outstanding Shares</w:t>
            </w:r>
            <w:r>
              <w:rPr>
                <w:rFonts w:ascii="Times New Roman;Times;Serif" w:hAnsi="Times New Roman;Times;Serif"/>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including the Company Notes (and any associated interest, premiums and fees thereon)),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(i)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Times;Serif" w:hAnsi="Times New Roman;Times;Serif"/>
                <w:b/>
              </w:rPr>
              <w:t>Service Provider Grants</w:t>
            </w:r>
            <w:r>
              <w:rPr>
                <w:rFonts w:ascii="Times New Roman;Times;Serif" w:hAnsi="Times New Roman;Times;Serif"/>
              </w:rPr>
              <w:t>”), (ii) any shares of Company Common Stock underlying Company Notes that are to be contributed as consideration (including any associated interest, premiums and fees thereon) in the Company Pre-Closing Financing pursuant to the Subscription Agreement (to avoid double counting), and (iii) any shares of Company Capital Stock that are issued pursuant to, or issuable upon the exercise or conversion of securities issued pursuant to, any Company PIPE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Company Valuation</w:t>
            </w:r>
            <w:r>
              <w:rPr>
                <w:rFonts w:ascii="Times New Roman;Times;Serif" w:hAnsi="Times New Roman;Times;Serif"/>
              </w:rPr>
              <w:t xml:space="preserve">” means (i) the Company Equity Value, </w:t>
            </w:r>
            <w:r>
              <w:rPr>
                <w:rFonts w:ascii="Times New Roman;Times;Serif" w:hAnsi="Times New Roman;Times;Serif"/>
                <w:i/>
                <w:u w:val="single"/>
              </w:rPr>
              <w:t>plus</w:t>
            </w:r>
            <w:r>
              <w:rPr>
                <w:rFonts w:ascii="Times New Roman;Times;Serif" w:hAnsi="Times New Roman;Times;Serif"/>
              </w:rPr>
              <w:t xml:space="preserve"> (ii) the amount of proceeds actually received by the Company from the Company Pre-Closing Financing (including the proceeds actually received from any Company Notes (and any associated interest, premiums and fees thereon), contributed as consideration in the Company Pre-Closing Financing), excluding any proceeds received pursuant to any Company PIPE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Exchange Ratio</w:t>
            </w:r>
            <w:r>
              <w:rPr>
                <w:rFonts w:ascii="Times New Roman;Times;Serif" w:hAnsi="Times New Roman;Times;Serif"/>
              </w:rPr>
              <w:t xml:space="preserve">” means the ratio (rounded to four decimal places) equal to the quotient obtained by </w:t>
            </w:r>
            <w:r>
              <w:rPr>
                <w:rFonts w:ascii="Times New Roman;Times;Serif" w:hAnsi="Times New Roman;Times;Serif"/>
                <w:i/>
                <w:u w:val="single"/>
              </w:rPr>
              <w:t>dividing</w:t>
            </w:r>
            <w:r>
              <w:rPr>
                <w:rFonts w:ascii="Times New Roman;Times;Serif" w:hAnsi="Times New Roman;Times;Serif"/>
              </w:rPr>
              <w:t xml:space="preserve"> (i) the Company Merger Shares by (ii) the Company Outstanding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Allocation Percentage</w:t>
            </w:r>
            <w:r>
              <w:rPr>
                <w:rFonts w:ascii="Times New Roman;Times;Serif" w:hAnsi="Times New Roman;Times;Serif"/>
              </w:rPr>
              <w:t xml:space="preserve">” means the quotient (expressed as a percentage and rounded to four decimal places) determined by </w:t>
            </w:r>
            <w:r>
              <w:rPr>
                <w:rFonts w:ascii="Times New Roman;Times;Serif" w:hAnsi="Times New Roman;Times;Serif"/>
                <w:i/>
                <w:u w:val="single"/>
              </w:rPr>
              <w:t>dividing</w:t>
            </w:r>
            <w:r>
              <w:rPr>
                <w:rFonts w:ascii="Times New Roman;Times;Serif" w:hAnsi="Times New Roman;Times;Serif"/>
              </w:rPr>
              <w:t xml:space="preserve"> (i) the Parent Valuation </w:t>
            </w:r>
            <w:r>
              <w:rPr>
                <w:rFonts w:ascii="Times New Roman;Times;Serif" w:hAnsi="Times New Roman;Times;Serif"/>
                <w:i/>
                <w:u w:val="single"/>
              </w:rPr>
              <w:t>by</w:t>
            </w:r>
            <w:r>
              <w:rPr>
                <w:rFonts w:ascii="Times New Roman;Times;Serif" w:hAnsi="Times New Roman;Times;Serif"/>
              </w:rPr>
              <w:t xml:space="preserve"> (ii) the Aggregate Valuation.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Outstanding Shares</w:t>
            </w:r>
            <w:r>
              <w:rPr>
                <w:rFonts w:ascii="Times New Roman;Times;Serif" w:hAnsi="Times New Roman;Times;Serif"/>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Times;Serif" w:hAnsi="Times New Roman;Times;Serif"/>
                <w:u w:val="single"/>
              </w:rPr>
              <w:t>Section 6.6(e)</w:t>
            </w:r>
            <w:r>
              <w:rPr>
                <w:rFonts w:ascii="Times New Roman;Times;Serif" w:hAnsi="Times New Roman;Times;Serif"/>
              </w:rPr>
              <w:t>. Notwithstanding any of the foregoing, no Out of the Money Parent Options shall be included in the total number of shares of Parent Common Stock outstanding for purposes of determining the Parent Outstanding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Valuation</w:t>
            </w:r>
            <w:r>
              <w:rPr>
                <w:rFonts w:ascii="Times New Roman;Times;Serif" w:hAnsi="Times New Roman;Times;Serif"/>
              </w:rPr>
              <w:t xml:space="preserve">” means (i) $11,000,000, </w:t>
            </w:r>
            <w:r>
              <w:rPr>
                <w:rFonts w:ascii="Times New Roman;Times;Serif" w:hAnsi="Times New Roman;Times;Serif"/>
                <w:i/>
                <w:u w:val="single"/>
              </w:rPr>
              <w:t>minus</w:t>
            </w:r>
            <w:r>
              <w:rPr>
                <w:rFonts w:ascii="Times New Roman;Times;Serif" w:hAnsi="Times New Roman;Times;Serif"/>
              </w:rPr>
              <w:t xml:space="preserve"> (ii) the amount, if any, by which Parent Net Cash is less than the Parent Target Cash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Target Cash Amount</w:t>
            </w:r>
            <w:r>
              <w:rPr>
                <w:rFonts w:ascii="Times New Roman;Times;Serif" w:hAnsi="Times New Roman;Times;Serif"/>
              </w:rPr>
              <w:t xml:space="preserve">” means $0; </w:t>
            </w:r>
            <w:r>
              <w:rPr>
                <w:rFonts w:ascii="Times New Roman;Times;Serif" w:hAnsi="Times New Roman;Times;Serif"/>
                <w:u w:val="single"/>
              </w:rPr>
              <w:t>provided</w:t>
            </w:r>
            <w:r>
              <w:rPr>
                <w:rFonts w:ascii="Times New Roman;Times;Serif" w:hAnsi="Times New Roman;Times;Serif"/>
              </w:rPr>
              <w:t xml:space="preserve">, </w:t>
            </w:r>
            <w:r>
              <w:rPr>
                <w:rFonts w:ascii="Times New Roman;Times;Serif" w:hAnsi="Times New Roman;Times;Serif"/>
                <w:u w:val="single"/>
              </w:rPr>
              <w:t>however</w:t>
            </w:r>
            <w:r>
              <w:rPr>
                <w:rFonts w:ascii="Times New Roman;Times;Serif" w:hAnsi="Times New Roman;Times;Serif"/>
              </w:rPr>
              <w:t>, that this amount shall be reduced by $450,000 for each month following November 30, 2026 that the Closing has not occurred, prorated for any partial month based on the number of days elapsed in such month, so long as Parent is not in breach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Post-Closing Parent Shares</w:t>
            </w:r>
            <w:r>
              <w:rPr>
                <w:rFonts w:ascii="Times New Roman;Times;Serif" w:hAnsi="Times New Roman;Times;Serif"/>
              </w:rPr>
              <w:t xml:space="preserve">” means the quotient determined by </w:t>
            </w:r>
            <w:r>
              <w:rPr>
                <w:rFonts w:ascii="Times New Roman;Times;Serif" w:hAnsi="Times New Roman;Times;Serif"/>
                <w:i/>
                <w:u w:val="single"/>
              </w:rPr>
              <w:t>dividing</w:t>
            </w:r>
            <w:r>
              <w:rPr>
                <w:rFonts w:ascii="Times New Roman;Times;Serif" w:hAnsi="Times New Roman;Times;Serif"/>
              </w:rPr>
              <w:t xml:space="preserve"> (i) the Parent Outstanding Shares </w:t>
            </w:r>
            <w:r>
              <w:rPr>
                <w:rFonts w:ascii="Times New Roman;Times;Serif" w:hAnsi="Times New Roman;Times;Serif"/>
                <w:i/>
                <w:u w:val="single"/>
              </w:rPr>
              <w:t>by</w:t>
            </w:r>
            <w:r>
              <w:rPr>
                <w:rFonts w:ascii="Times New Roman;Times;Serif" w:hAnsi="Times New Roman;Times;Serif"/>
              </w:rPr>
              <w:t xml:space="preserve"> (ii) the Parent Allocation Percentage.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Notes</w:t>
      </w:r>
      <w:r>
        <w:rPr>
          <w:rFonts w:ascii="Times New Roman;Times;Serif" w:hAnsi="Times New Roman;Times;Serif"/>
          <w:b w:val="false"/>
          <w:i w:val="false"/>
          <w:caps w:val="false"/>
          <w:smallCaps w:val="false"/>
          <w:sz w:val="20"/>
        </w:rPr>
        <w:t>” means any convertible promissory notes that may be issued from time to time prior to the Closing, including pursuant to that certain Note Purchase Agreement, dated as of June 15, 2026, by and among the Company and the purchasers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Options</w:t>
      </w:r>
      <w:r>
        <w:rPr>
          <w:rFonts w:ascii="Times New Roman;Times;Serif" w:hAnsi="Times New Roman;Times;Serif"/>
          <w:b w:val="false"/>
          <w:i w:val="false"/>
          <w:caps w:val="false"/>
          <w:smallCaps w:val="false"/>
          <w:sz w:val="20"/>
        </w:rPr>
        <w:t>” means options or other rights to purchase shares of Company Capital Stock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PIPE Amendment</w:t>
      </w:r>
      <w:r>
        <w:rPr>
          <w:rFonts w:ascii="Times New Roman;Times;Serif" w:hAnsi="Times New Roman;Times;Serif"/>
          <w:b w:val="false"/>
          <w:i w:val="false"/>
          <w:caps w:val="false"/>
          <w:smallCaps w:val="false"/>
          <w:sz w:val="20"/>
        </w:rPr>
        <w:t>” means any amendment, amendment and restatement, joinder, supplement or other modification of the Subscription Agreement effected following the date of this Agreement that results in an increase to the amount of proceeds to be received by the Company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Preferred Stock</w:t>
      </w:r>
      <w:r>
        <w:rPr>
          <w:rFonts w:ascii="Times New Roman;Times;Serif" w:hAnsi="Times New Roman;Times;Serif"/>
          <w:b w:val="false"/>
          <w:i w:val="false"/>
          <w:caps w:val="false"/>
          <w:smallCaps w:val="false"/>
          <w:sz w:val="20"/>
        </w:rPr>
        <w:t>” means the shares of the Company’s capital stock designated as preferred stock, including the Company Series Seed Preferred Stock and Company Series Seed-1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Registered IP</w:t>
      </w:r>
      <w:r>
        <w:rPr>
          <w:rFonts w:ascii="Times New Roman;Times;Serif" w:hAnsi="Times New Roman;Times;Serif"/>
          <w:b w:val="false"/>
          <w:i w:val="false"/>
          <w:caps w:val="false"/>
          <w:smallCaps w:val="false"/>
          <w:sz w:val="20"/>
        </w:rPr>
        <w:t>” means all Company IP Rights that are owned or exclusively licensed (to the extent of such exclusive license) by the Company that are registered, filed or issued under the authority of, with or by any Governmental Authority, including all Patents, registered copyrights and registered trademarks and all applications and registrations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Series Seed Preferred Stock</w:t>
      </w:r>
      <w:r>
        <w:rPr>
          <w:rFonts w:ascii="Times New Roman;Times;Serif" w:hAnsi="Times New Roman;Times;Serif"/>
          <w:b w:val="false"/>
          <w:i w:val="false"/>
          <w:caps w:val="false"/>
          <w:smallCaps w:val="false"/>
          <w:sz w:val="20"/>
        </w:rPr>
        <w:t>” means a series of the Company’s preferred stock designated as Series Seed Preferred Stock, $0.0001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Series Seed-1 Preferred Stock</w:t>
      </w:r>
      <w:r>
        <w:rPr>
          <w:rFonts w:ascii="Times New Roman;Times;Serif" w:hAnsi="Times New Roman;Times;Serif"/>
          <w:b w:val="false"/>
          <w:i w:val="false"/>
          <w:caps w:val="false"/>
          <w:smallCaps w:val="false"/>
          <w:sz w:val="20"/>
        </w:rPr>
        <w:t>” means a series of the Company’s preferred stock designated as Series Seed-1 Preferred Stock, $0.0001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RSU</w:t>
      </w:r>
      <w:r>
        <w:rPr>
          <w:rFonts w:ascii="Times New Roman;Times;Serif" w:hAnsi="Times New Roman;Times;Serif"/>
          <w:b w:val="false"/>
          <w:i w:val="false"/>
          <w:caps w:val="false"/>
          <w:smallCaps w:val="false"/>
          <w:sz w:val="20"/>
        </w:rPr>
        <w:t>” means each restricted stock unit award for shares of Company Capital Stock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 Plan</w:t>
      </w:r>
      <w:r>
        <w:rPr>
          <w:rFonts w:ascii="Times New Roman;Times;Serif" w:hAnsi="Times New Roman;Times;Serif"/>
          <w:b w:val="false"/>
          <w:i w:val="false"/>
          <w:caps w:val="false"/>
          <w:smallCaps w:val="false"/>
          <w:sz w:val="20"/>
        </w:rPr>
        <w:t>” means the Company’s 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Triggering Event</w:t>
      </w:r>
      <w:r>
        <w:rPr>
          <w:rFonts w:ascii="Times New Roman;Times;Serif" w:hAnsi="Times New Roman;Times;Serif"/>
          <w:b w:val="false"/>
          <w:i w:val="false"/>
          <w:caps w:val="false"/>
          <w:smallCaps w:val="false"/>
          <w:sz w:val="20"/>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means warrants (including any pre-funded warrants) to purchase shares of Company Capital Stock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mutual non-disclosure agreement dated as of June 17, 2026, between Fairmont Funds Management LLC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Contemplated Transactions</w:t>
      </w:r>
      <w:r>
        <w:rPr>
          <w:rFonts w:ascii="Times New Roman;Times;Serif" w:hAnsi="Times New Roman;Times;Serif"/>
          <w:b w:val="false"/>
          <w:i w:val="false"/>
          <w:caps w:val="false"/>
          <w:smallCaps w:val="false"/>
          <w:sz w:val="20"/>
        </w:rPr>
        <w:t>” means the Merger and the other transactions contemplated by this Agreement (other than any Parent Legacy Transaction and the Parent Charter Amendment), including the CVR Agreement, the Company Pre-Closing Financing and the Nasdaq Reverse Split (to the extent applicable and deemed necessary or advisable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Delisting Event</w:t>
      </w:r>
      <w:r>
        <w:rPr>
          <w:rFonts w:ascii="Times New Roman;Times;Serif" w:hAnsi="Times New Roman;Times;Serif"/>
          <w:b w:val="false"/>
          <w:i w:val="false"/>
          <w:caps w:val="false"/>
          <w:smallCaps w:val="false"/>
          <w:sz w:val="20"/>
        </w:rPr>
        <w:t>” means (i) the filing of a Form 25 with respect to the shares of Parent Common Stock by Parent or Nasdaq with the SEC, (ii) 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DLLCA</w:t>
      </w:r>
      <w:r>
        <w:rPr>
          <w:rFonts w:ascii="Times New Roman;Times;Serif" w:hAnsi="Times New Roman;Times;Serif"/>
          <w:b w:val="false"/>
          <w:i w:val="false"/>
          <w:caps w:val="false"/>
          <w:smallCaps w:val="false"/>
          <w:sz w:val="20"/>
        </w:rPr>
        <w:t>” means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means any effect, change, event, circumstance, or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means the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Entity</w:t>
      </w:r>
      <w:r>
        <w:rPr>
          <w:rFonts w:ascii="Times New Roman;Times;Serif" w:hAnsi="Times New Roman;Times;Serif"/>
          <w:b w:val="false"/>
          <w:i w:val="false"/>
          <w:caps w:val="false"/>
          <w:smallCaps w:val="false"/>
          <w:sz w:val="20"/>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with respect to any Entity, any other Person that would be treated as a single employer with such Entity or part of the same “controlled group” as such Entity under Sections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Merger Sub Board</w:t>
      </w:r>
      <w:r>
        <w:rPr>
          <w:rFonts w:ascii="Times New Roman;Times;Serif" w:hAnsi="Times New Roman;Times;Serif"/>
          <w:b w:val="false"/>
          <w:i w:val="false"/>
          <w:caps w:val="false"/>
          <w:smallCaps w:val="false"/>
          <w:sz w:val="20"/>
        </w:rPr>
        <w:t>” means the board of directors of First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means any: (a) permit, license, certificate, franchise, permission, variance, exception, exemption,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U.S. Hart-Scott-Rodino Antitrust Improvements Act of 1976,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 the Money Parent Option</w:t>
      </w:r>
      <w:r>
        <w:rPr>
          <w:rFonts w:ascii="Times New Roman;Times;Serif" w:hAnsi="Times New Roman;Times;Serif"/>
          <w:b w:val="false"/>
          <w:i w:val="false"/>
          <w:caps w:val="false"/>
          <w:smallCaps w:val="false"/>
          <w:sz w:val="20"/>
        </w:rPr>
        <w:t>” shall mean Parent Options with an exercise price equal to or less than the Parent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(b) trademarks, service marks, trade names, domain names, corporate names, brand names, URLs, trade dress, logos and other source identifiers, including registrations and applications for registration thereof and goodwill associated therewith, (c) works of authorship (whether or not copyrightable),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(d) software, including all source code, object code, firmware, development tools files, records and data, all media on which any of the foregoing is recorded, and all related documentation, (e) inventions, invention disclosures, improvements, formulae, customer lists, trade secrets (including those trade secrets defined in the Uniform Trade Secrets Act and under corresponding foreign statutory and common law), know-how, technology, technical data, databases, data collections, confidential information and other proprietary rights and intellectual property, whether patentable or not, and all documentation relating to any of the foregoing in any jurisdiction, and (f) all United States and foreign rights arising under or associated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Concurrent Investment Amount</w:t>
      </w:r>
      <w:r>
        <w:rPr>
          <w:rFonts w:ascii="Times New Roman;Times;Serif" w:hAnsi="Times New Roman;Times;Serif"/>
          <w:b w:val="false"/>
          <w:i w:val="false"/>
          <w:caps w:val="false"/>
          <w:smallCaps w:val="false"/>
          <w:sz w:val="20"/>
        </w:rPr>
        <w:t>” means $150,000,000.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as defined in Section 3(37) or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Multiple Employer Plan</w:t>
      </w:r>
      <w:r>
        <w:rPr>
          <w:rFonts w:ascii="Times New Roman;Times;Serif" w:hAnsi="Times New Roman;Times;Serif"/>
          <w:b w:val="false"/>
          <w:i w:val="false"/>
          <w:caps w:val="false"/>
          <w:smallCaps w:val="false"/>
          <w:sz w:val="20"/>
        </w:rPr>
        <w:t>” means a “multiple employer plan” within the meaning of Section 413(c) of the Code or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Multiple Employer Welfare Arrangement</w:t>
      </w:r>
      <w:r>
        <w:rPr>
          <w:rFonts w:ascii="Times New Roman;Times;Serif" w:hAnsi="Times New Roman;Times;Serif"/>
          <w:b w:val="false"/>
          <w:i w:val="false"/>
          <w:caps w:val="false"/>
          <w:smallCaps w:val="false"/>
          <w:sz w:val="20"/>
        </w:rPr>
        <w:t>” means a “multiple employer welfare arrangement” within the meaning of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 of the Money Parent Options</w:t>
      </w:r>
      <w:r>
        <w:rPr>
          <w:rFonts w:ascii="Times New Roman;Times;Serif" w:hAnsi="Times New Roman;Times;Serif"/>
          <w:b w:val="false"/>
          <w:i w:val="false"/>
          <w:caps w:val="false"/>
          <w:smallCaps w:val="false"/>
          <w:sz w:val="20"/>
        </w:rPr>
        <w:t>” shall mean Parent Options with an exercise price greater than the Parent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Associate</w:t>
      </w:r>
      <w:r>
        <w:rPr>
          <w:rFonts w:ascii="Times New Roman;Times;Serif" w:hAnsi="Times New Roman;Times;Serif"/>
          <w:b w:val="false"/>
          <w:i w:val="false"/>
          <w:caps w:val="false"/>
          <w:smallCaps w:val="false"/>
          <w:sz w:val="20"/>
        </w:rPr>
        <w:t>” means any current employee, independent contractor, officer or director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Balance Sheet</w:t>
      </w:r>
      <w:r>
        <w:rPr>
          <w:rFonts w:ascii="Times New Roman;Times;Serif" w:hAnsi="Times New Roman;Times;Serif"/>
          <w:b w:val="false"/>
          <w:i w:val="false"/>
          <w:caps w:val="false"/>
          <w:smallCaps w:val="false"/>
          <w:sz w:val="20"/>
        </w:rPr>
        <w:t>” means the unaudited balance sheet of Parent as of March 31, 2026, included in Parent’s Report on Form 10-Q for the three months ended March 31, 2026,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Board</w:t>
      </w:r>
      <w:r>
        <w:rPr>
          <w:rFonts w:ascii="Times New Roman;Times;Serif" w:hAnsi="Times New Roman;Times;Serif"/>
          <w:b w:val="false"/>
          <w:i w:val="false"/>
          <w:caps w:val="false"/>
          <w:smallCaps w:val="false"/>
          <w:sz w:val="20"/>
        </w:rPr>
        <w:t>” means the board of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Capital Stock</w:t>
      </w:r>
      <w:r>
        <w:rPr>
          <w:rFonts w:ascii="Times New Roman;Times;Serif" w:hAnsi="Times New Roman;Times;Serif"/>
          <w:b w:val="false"/>
          <w:i w:val="false"/>
          <w:caps w:val="false"/>
          <w:smallCaps w:val="false"/>
          <w:sz w:val="20"/>
        </w:rPr>
        <w:t>” means the Parent Common Stock and the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Capitalization Representations</w:t>
      </w:r>
      <w:r>
        <w:rPr>
          <w:rFonts w:ascii="Times New Roman;Times;Serif" w:hAnsi="Times New Roman;Times;Serif"/>
          <w:b w:val="false"/>
          <w:i w:val="false"/>
          <w:caps w:val="false"/>
          <w:smallCaps w:val="false"/>
          <w:sz w:val="20"/>
        </w:rPr>
        <w:t xml:space="preserve">” means the representations and warranties of Parent and Merger Subs set forth in </w:t>
      </w:r>
      <w:r>
        <w:rPr>
          <w:rFonts w:ascii="Times New Roman;Times;Serif" w:hAnsi="Times New Roman;Times;Serif"/>
          <w:b w:val="false"/>
          <w:i w:val="false"/>
          <w:caps w:val="false"/>
          <w:smallCaps w:val="false"/>
          <w:sz w:val="20"/>
          <w:u w:val="single"/>
        </w:rPr>
        <w:t>Sections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Closing Price</w:t>
      </w:r>
      <w:r>
        <w:rPr>
          <w:rFonts w:ascii="Times New Roman;Times;Serif" w:hAnsi="Times New Roman;Times;Serif"/>
          <w:b w:val="false"/>
          <w:i w:val="false"/>
          <w:caps w:val="false"/>
          <w:smallCaps w:val="false"/>
          <w:sz w:val="20"/>
        </w:rPr>
        <w:t>” means the volume weighted average closing trading price of a share of Parent Common Stock on Nasdaq for the five (5) consecutive trading days ending three (3) trading days immediately prior to the Calculation Date as reported by Bloomberg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means the common stock, $0.001 par value per share,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Contract</w:t>
      </w:r>
      <w:r>
        <w:rPr>
          <w:rFonts w:ascii="Times New Roman;Times;Serif" w:hAnsi="Times New Roman;Times;Serif"/>
          <w:b w:val="false"/>
          <w:i w:val="false"/>
          <w:caps w:val="false"/>
          <w:smallCaps w:val="false"/>
          <w:sz w:val="20"/>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Employee Plan</w:t>
      </w:r>
      <w:r>
        <w:rPr>
          <w:rFonts w:ascii="Times New Roman;Times;Serif" w:hAnsi="Times New Roman;Times;Serif"/>
          <w:b w:val="false"/>
          <w:i w:val="false"/>
          <w:caps w:val="false"/>
          <w:smallCaps w:val="false"/>
          <w:sz w:val="20"/>
        </w:rPr>
        <w:t>”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Fundamental Representations</w:t>
      </w:r>
      <w:r>
        <w:rPr>
          <w:rFonts w:ascii="Times New Roman;Times;Serif" w:hAnsi="Times New Roman;Times;Serif"/>
          <w:b w:val="false"/>
          <w:i w:val="false"/>
          <w:caps w:val="false"/>
          <w:smallCaps w:val="false"/>
          <w:sz w:val="20"/>
        </w:rPr>
        <w:t xml:space="preserve">” means the representations and warranties of Parent and Merger Subs set forth in </w:t>
      </w:r>
      <w:r>
        <w:rPr>
          <w:rFonts w:ascii="Times New Roman;Times;Serif" w:hAnsi="Times New Roman;Times;Serif"/>
          <w:b w:val="false"/>
          <w:i w:val="false"/>
          <w:caps w:val="false"/>
          <w:smallCaps w:val="false"/>
          <w:sz w:val="20"/>
          <w:u w:val="single"/>
        </w:rPr>
        <w:t>Sections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IP Rights Agreement</w:t>
      </w:r>
      <w:r>
        <w:rPr>
          <w:rFonts w:ascii="Times New Roman;Times;Serif" w:hAnsi="Times New Roman;Times;Serif"/>
          <w:b w:val="false"/>
          <w:i w:val="false"/>
          <w:caps w:val="false"/>
          <w:smallCaps w:val="false"/>
          <w:sz w:val="20"/>
        </w:rPr>
        <w:t>” means any Contract governing, related or pertaining to any Parent IP Rights other than any confidential information provided under confidentiality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IP Rights</w:t>
      </w:r>
      <w:r>
        <w:rPr>
          <w:rFonts w:ascii="Times New Roman;Times;Serif" w:hAnsi="Times New Roman;Times;Serif"/>
          <w:b w:val="false"/>
          <w:i w:val="false"/>
          <w:caps w:val="false"/>
          <w:smallCaps w:val="false"/>
          <w:sz w:val="20"/>
        </w:rPr>
        <w:t>” means all Intellectual Property rights that are owned or purported to be owned by, whether wholly or jointly with others, assigned to, exclusively licensed to or controlled by Parent that are necessary for, or used or held for use in, the operation of the business of Parent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Key Employee</w:t>
      </w:r>
      <w:r>
        <w:rPr>
          <w:rFonts w:ascii="Times New Roman;Times;Serif" w:hAnsi="Times New Roman;Times;Serif"/>
          <w:b w:val="false"/>
          <w:i w:val="false"/>
          <w:caps w:val="false"/>
          <w:smallCaps w:val="false"/>
          <w:sz w:val="20"/>
        </w:rPr>
        <w:t>” means (i) an executive officer of Parent; and (ii) any employee of Parent that reports directly to the Parent Board or to an executive officer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Legacy Business</w:t>
      </w:r>
      <w:r>
        <w:rPr>
          <w:rFonts w:ascii="Times New Roman;Times;Serif" w:hAnsi="Times New Roman;Times;Serif"/>
          <w:b w:val="false"/>
          <w:i w:val="false"/>
          <w:caps w:val="false"/>
          <w:smallCaps w:val="false"/>
          <w:sz w:val="20"/>
        </w:rPr>
        <w:t xml:space="preserve">” means the business of Parent as conducted at any time prior to the date of this Agreement, including but not limited to business related to the assets listed on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Parent Material Adverse Effect: (a) the announcement of this Agreement or the pendency of the Contemplated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Net Cash</w:t>
      </w:r>
      <w:r>
        <w:rPr>
          <w:rFonts w:ascii="Times New Roman;Times;Serif" w:hAnsi="Times New Roman;Times;Serif"/>
          <w:b w:val="false"/>
          <w:i w:val="false"/>
          <w:caps w:val="false"/>
          <w:smallCaps w:val="false"/>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prepaid expenses set forth on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Parent Disclosure Letter to the extent outstanding as of the First Effective Time, if any,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(c) the sum of unpaid consolidated short-term and long-term contractual commitments and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other than any Registration Statement Preparation Expenses (as defined below), any fees and expenses of legal counsel, accountants, financial advisors, investment bankers, brokers, consultants, tax advisors, and other professional advisors of Parent in connection with the Contemplated Transactions or any Parent Legacy Transaction; (ii) to the extent not captured by subclause (i), any legal and accounting costs incurred in connection with the preparation and filing of the Registration Statement and any amendments and supplements thereto, (iii) 50% of the fees paid to the SEC in connection with filing the Registration Statement and any amendments and supplements thereto (the “</w:t>
      </w:r>
      <w:r>
        <w:rPr>
          <w:rFonts w:ascii="Times New Roman;Times;Serif" w:hAnsi="Times New Roman;Times;Serif"/>
          <w:b/>
          <w:i w:val="false"/>
          <w:caps w:val="false"/>
          <w:smallCaps w:val="false"/>
          <w:sz w:val="20"/>
        </w:rPr>
        <w:t>Registration Statement Preparation Expenses</w:t>
      </w:r>
      <w:r>
        <w:rPr>
          <w:rFonts w:ascii="Times New Roman;Times;Serif" w:hAnsi="Times New Roman;Times;Serif"/>
          <w:b w:val="false"/>
          <w:i w:val="false"/>
          <w:caps w:val="false"/>
          <w:smallCaps w:val="false"/>
          <w:sz w:val="20"/>
        </w:rPr>
        <w:t xml:space="preserve">”), with the SEC; (iv) 50% of the fees and expenses incurred in connection with the printing, mailing and distribution of the Proxy Statement and any amendments and supplements thereto, (v) 50% of all Antitrust Fees, (vi) 50% of any Nasdaq Fees, (vii) any CVR Fees,(viii)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(ix) the costs associated with obtaining the “D&amp;O tail policy” pursuant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and (x) all costs and expenses associated with any dividend of any excess Parent Net Cash, in each case, to the extent unpaid as of the First Effective Time,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(e) all remaining rent payments and fees and expenses associated with terminating the Parent Real Estate Leases,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(f) the Accrued Pre-Closing Tax Amount,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(g) all costs and expenses relating to the winding down of Parent Legacy Business, including the sale, license or other disposition (including by way of dividend or other distribution)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(h) the Parent Stock Option Cash Consideration,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 to the extent not declared and paid prior to delivery of the Parent Net Cash Schedule, the Parent Pre-Closing Dividend Amount (if any). For avoidance of doubt, the calculation of Parent Net Cash may result in a number below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Options</w:t>
      </w:r>
      <w:r>
        <w:rPr>
          <w:rFonts w:ascii="Times New Roman;Times;Serif" w:hAnsi="Times New Roman;Times;Serif"/>
          <w:b w:val="false"/>
          <w:i w:val="false"/>
          <w:caps w:val="false"/>
          <w:smallCaps w:val="false"/>
          <w:sz w:val="20"/>
        </w:rPr>
        <w:t>” means options or other rights to purchase shares of Parent Common Stock, including those granted by Parent pursuant to any Parent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means the shares of Parent Capital Stock designated as preferred stock,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Registered IP</w:t>
      </w:r>
      <w:r>
        <w:rPr>
          <w:rFonts w:ascii="Times New Roman;Times;Serif" w:hAnsi="Times New Roman;Times;Serif"/>
          <w:b w:val="false"/>
          <w:i w:val="false"/>
          <w:caps w:val="false"/>
          <w:smallCaps w:val="false"/>
          <w:sz w:val="20"/>
        </w:rPr>
        <w:t>” means all Parent IP Rights that are owned or exclusively licensed (to the extent of such exclusive license) by the Parent that are registered, filed or issued under the authority of, with or by any Governmental Authority, including all Patents, registered copyrights and registered trademarks and all applications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Restricted Stock Award</w:t>
      </w:r>
      <w:r>
        <w:rPr>
          <w:rFonts w:ascii="Times New Roman;Times;Serif" w:hAnsi="Times New Roman;Times;Serif"/>
          <w:b w:val="false"/>
          <w:i w:val="false"/>
          <w:caps w:val="false"/>
          <w:smallCaps w:val="false"/>
          <w:sz w:val="20"/>
        </w:rPr>
        <w:t>” means an award of restricted shares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Triggering Event</w:t>
      </w:r>
      <w:r>
        <w:rPr>
          <w:rFonts w:ascii="Times New Roman;Times;Serif" w:hAnsi="Times New Roman;Times;Serif"/>
          <w:b w:val="false"/>
          <w:i w:val="false"/>
          <w:caps w:val="false"/>
          <w:smallCaps w:val="false"/>
          <w:sz w:val="20"/>
        </w:rPr>
        <w:t xml:space="preserve">” shall be deemed to have occurred if, prior to the approval of this Agreement and the Contemplated Transactions by Parent’s shareholders and subject to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Warrant</w:t>
      </w:r>
      <w:r>
        <w:rPr>
          <w:rFonts w:ascii="Times New Roman;Times;Serif" w:hAnsi="Times New Roman;Times;Serif"/>
          <w:b w:val="false"/>
          <w:i w:val="false"/>
          <w:caps w:val="false"/>
          <w:smallCaps w:val="false"/>
          <w:sz w:val="20"/>
        </w:rPr>
        <w:t>” means any warrant to purchase shares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the Company, Merger Sub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Alternative Agreement</w:t>
      </w:r>
      <w:r>
        <w:rPr>
          <w:rFonts w:ascii="Times New Roman;Times;Serif" w:hAnsi="Times New Roman;Times;Serif"/>
          <w:b w:val="false"/>
          <w:i w:val="false"/>
          <w:caps w:val="false"/>
          <w:smallCaps w:val="false"/>
          <w:sz w:val="20"/>
        </w:rPr>
        <w:t>” means a definitive agreement that contemplates or otherwise relates to an Acquisition Transaction that constitutes a Superior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w:t>
      </w:r>
      <w:r>
        <w:rPr>
          <w:rFonts w:ascii="Times New Roman;Times;Serif" w:hAnsi="Times New Roman;Times;Serif"/>
          <w:b w:val="false"/>
          <w:i w:val="false"/>
          <w:caps w:val="false"/>
          <w:smallCaps w:val="false"/>
          <w:sz w:val="20"/>
        </w:rPr>
        <w:t>”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Entity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such Person’s directors, officers, employees, agents, attorneys, accountants, investment bankers, advisors and other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Subsequent Transaction</w:t>
      </w:r>
      <w:r>
        <w:rPr>
          <w:rFonts w:ascii="Times New Roman;Times;Serif" w:hAnsi="Times New Roman;Times;Serif"/>
          <w:b w:val="false"/>
          <w:i w:val="false"/>
          <w:caps w:val="false"/>
          <w:smallCaps w:val="false"/>
          <w:sz w:val="20"/>
        </w:rPr>
        <w:t>” means any Acquisition Transaction (with all references to 20% in the definition of Acquisition Transaction being treated as references to 50%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Offer</w:t>
      </w:r>
      <w:r>
        <w:rPr>
          <w:rFonts w:ascii="Times New Roman;Times;Serif" w:hAnsi="Times New Roman;Times;Serif"/>
          <w:b w:val="false"/>
          <w:i w:val="false"/>
          <w:caps w:val="false"/>
          <w:smallCaps w:val="false"/>
          <w:sz w:val="20"/>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U.S. federal, state, local, or non-U.S. tax, including any gross or net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United States Treasury regulations promulgated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5085" w:type="dxa"/>
        <w:jc w:val="center"/>
        <w:tblInd w:w="0" w:type="dxa"/>
        <w:tblLayout w:type="fixed"/>
        <w:tblCellMar>
          <w:top w:w="0" w:type="dxa"/>
          <w:left w:w="0" w:type="dxa"/>
          <w:bottom w:w="28" w:type="dxa"/>
          <w:right w:w="0" w:type="dxa"/>
        </w:tblCellMar>
      </w:tblPr>
      <w:tblGrid>
        <w:gridCol w:w="4235"/>
        <w:gridCol w:w="65"/>
        <w:gridCol w:w="785"/>
      </w:tblGrid>
      <w:tr>
        <w:trPr/>
        <w:tc>
          <w:tcPr>
            <w:tcW w:w="42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401(k) Plan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6.6(c)</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2.8(f)</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Firm</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2.8(f)</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Certificate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6.15</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Antitrust Fees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6.4(b)</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Option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6.5(a)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RSU Award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6.5(b)</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Warrant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6.5(c)</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3.7(a)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Limitation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2.5(h)</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4.6(a)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Merger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4.7(a)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409A Plan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3.17(j)</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Audited Financial Statements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Adverse Recommendation Change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6.2(d)</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Recommendation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6.2(c)</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Letter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Financial Statements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Interim Financial Statements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Intervening Event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6.2(d)</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Material Contract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3.13(a)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Material Contracts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3.13(a)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Owned IP Rights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Permits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3.14(b)</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65" w:type="dxa"/>
        <w:jc w:val="center"/>
        <w:tblInd w:w="0" w:type="dxa"/>
        <w:tblLayout w:type="fixed"/>
        <w:tblCellMar>
          <w:top w:w="0" w:type="dxa"/>
          <w:left w:w="0" w:type="dxa"/>
          <w:bottom w:w="0" w:type="dxa"/>
          <w:right w:w="0" w:type="dxa"/>
        </w:tblCellMar>
      </w:tblPr>
      <w:tblGrid>
        <w:gridCol w:w="3815"/>
        <w:gridCol w:w="65"/>
        <w:gridCol w:w="785"/>
      </w:tblGrid>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Product Candidates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3.14(d)</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Real Estate Leases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3.11</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Regulatory Permits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3.14(d)</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Required S-4 Information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6.1(d)</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Stockholder Consent Review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Stockholder Support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Stockholder Written Consents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Termination Fee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10.3(b)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Calculation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Delivery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Determination Time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Dispute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Response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Schedule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6.7(a)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 Fees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D&amp;O Indemnified Parties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6.7(a)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2.13(a)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Drug/Device Regulatory Agency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Employment-Related Laws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3.17(k)</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10.1(b)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Agent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2.7(a)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FDCA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 of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Effective Time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Step Surviving Corporation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Intended Tax Treatment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2.11</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3.9</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2.5(a)(ii)</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Fees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6.9</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Application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00" w:type="dxa"/>
        <w:jc w:val="center"/>
        <w:tblInd w:w="0" w:type="dxa"/>
        <w:tblLayout w:type="fixed"/>
        <w:tblCellMar>
          <w:top w:w="0" w:type="dxa"/>
          <w:left w:w="0" w:type="dxa"/>
          <w:bottom w:w="0" w:type="dxa"/>
          <w:right w:w="0" w:type="dxa"/>
        </w:tblCellMar>
      </w:tblPr>
      <w:tblGrid>
        <w:gridCol w:w="3950"/>
        <w:gridCol w:w="65"/>
        <w:gridCol w:w="785"/>
      </w:tblGrid>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6.2(d)</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Course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3.16(g)</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409A Plan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4.17(j)</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Charter Amendment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2.4(b)(ii)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Board Adverse Recommendation Change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Board Recommendation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Payment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2.5(a)(ii)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Disclosure Letter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Intervening Event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Legacy Transaction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5.1(c)(i)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Material Contract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4.13(a)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Net Cash Calculation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Net Cash Schedule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Notice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Permits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4.14(b)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Owned IP Rights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3.12(e)</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Pre-Closing Dividend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5.1(c)(ii)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Pre-Closing Dividend Amount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5.1(c)(ii)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Product Candidates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4.14(d)</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Real Estate Leases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4.11</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Regulatory Permits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4.14(d)</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SEC Documents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4.7(a)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Matters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6.3(a)</w:t>
            </w:r>
          </w:p>
        </w:tc>
      </w:tr>
      <w:tr>
        <w:trPr/>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Support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Plans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4.6(c)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PHSA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Welfare Plan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6.6(b)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5.1(a)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2.5(a)(ii)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Policies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3.22</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Entitlement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2.5(a)(ii)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Company Stockholder Vote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3.4</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Stockholder Vote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4.4</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Response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6.16</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 of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Effective Time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2.5(g)</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Entity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Certificates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6.10(c)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Litigation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6.4(c)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 Act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3.17(k)</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Definitional and Interpretative Provisions</w:t>
      </w:r>
      <w:r>
        <w:rPr>
          <w:rFonts w:ascii="Times New Roman;Times;Serif" w:hAnsi="Times New Roman;Times;Serif"/>
          <w:b w:val="false"/>
          <w:i w:val="false"/>
          <w:caps w:val="false"/>
          <w:smallCaps w:val="false"/>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(including Exhibit A to such Exhibit) and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respectively. The disclosures in any section or subsection of the Company Disclosure Letter or the Parent Disclosure Letter shall qualify other sections and subsections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Description of 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Times;Serif" w:hAnsi="Times New Roman;Times;Serif"/>
          <w:b/>
          <w:i w:val="false"/>
          <w:caps w:val="false"/>
          <w:smallCaps w:val="false"/>
          <w:sz w:val="20"/>
        </w:rPr>
        <w:t>First Step Surviving Corporation</w:t>
      </w:r>
      <w:r>
        <w:rPr>
          <w:rFonts w:ascii="Times New Roman;Times;Serif" w:hAnsi="Times New Roman;Times;Serif"/>
          <w:b w:val="false"/>
          <w:i w:val="false"/>
          <w:caps w:val="false"/>
          <w:smallCaps w:val="false"/>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First Effective Time; Second Effective Time</w:t>
      </w:r>
      <w:r>
        <w:rPr>
          <w:rFonts w:ascii="Times New Roman;Times;Serif" w:hAnsi="Times New Roman;Times;Serif"/>
          <w:b w:val="false"/>
          <w:i w:val="false"/>
          <w:caps w:val="false"/>
          <w:smallCaps w:val="false"/>
          <w:sz w:val="20"/>
        </w:rPr>
        <w:t xml:space="preserve">. Unless this Agreement is earlier terminated pursuant to the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subject to the satisfaction or waiver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and incorporated herein by reference (the “</w:t>
      </w:r>
      <w:r>
        <w:rPr>
          <w:rFonts w:ascii="Times New Roman;Times;Serif" w:hAnsi="Times New Roman;Times;Serif"/>
          <w:b/>
          <w:i w:val="false"/>
          <w:caps w:val="false"/>
          <w:smallCaps w:val="false"/>
          <w:sz w:val="20"/>
        </w:rPr>
        <w:t>First Certificate of Merger</w:t>
      </w:r>
      <w:r>
        <w:rPr>
          <w:rFonts w:ascii="Times New Roman;Times;Serif" w:hAnsi="Times New Roman;Times;Serif"/>
          <w:b w:val="false"/>
          <w:i w:val="false"/>
          <w:caps w:val="false"/>
          <w:smallCaps w:val="false"/>
          <w:sz w:val="20"/>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and incorporated herein by reference (the “</w:t>
      </w:r>
      <w:r>
        <w:rPr>
          <w:rFonts w:ascii="Times New Roman;Times;Serif" w:hAnsi="Times New Roman;Times;Serif"/>
          <w:b/>
          <w:i w:val="false"/>
          <w:caps w:val="false"/>
          <w:smallCaps w:val="false"/>
          <w:sz w:val="20"/>
        </w:rPr>
        <w:t>Second Certificate of Merger</w:t>
      </w:r>
      <w:r>
        <w:rPr>
          <w:rFonts w:ascii="Times New Roman;Times;Serif" w:hAnsi="Times New Roman;Times;Serif"/>
          <w:b w:val="false"/>
          <w:i w:val="false"/>
          <w:caps w:val="false"/>
          <w:smallCaps w:val="false"/>
          <w:sz w:val="20"/>
        </w:rPr>
        <w:t>” and together with the First Certificate of Merger,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Times;Serif" w:hAnsi="Times New Roman;Times;Serif"/>
          <w:b/>
          <w:i w:val="false"/>
          <w:caps w:val="false"/>
          <w:smallCaps w:val="false"/>
          <w:sz w:val="20"/>
        </w:rPr>
        <w:t>First Effective Time</w:t>
      </w:r>
      <w:r>
        <w:rPr>
          <w:rFonts w:ascii="Times New Roman;Times;Serif" w:hAnsi="Times New Roman;Times;Serif"/>
          <w:b w:val="false"/>
          <w:i w:val="false"/>
          <w:caps w:val="false"/>
          <w:smallCaps w:val="false"/>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Times;Serif" w:hAnsi="Times New Roman;Times;Serif"/>
          <w:b/>
          <w:i w:val="false"/>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Organizational Documents;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certificate of incorporation of the First Step Surviving Corporation shall be amended and restated in the Merger to read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First Certificate of Merger, until thereafter amended as provided by the DGCL and such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bylaws of the First Step Surviving Corporation shall be identical to the bylaws of the Company as in effect immediately prior to the First Effective Time, until thereafter amended as provided by the DGCL and such bylaws;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directors and officers of the First Step Surviving Corporation, each to hold office in accordance with the certificate of incorporation and bylaws of the First Step Surviving Corporation, shall be such persons as are set forth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unless otherwise designated by the Company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Second Effective Time (as part of the Second Certificate of Merger), the certificate of formation shall be amended to (A) change the name of the Surviving Entity to “Avere Therapeutics Operating Company LLC,” and (B) make such other changes as are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following the Second Effective Time (but as soon thereafter as practicable), the limited liability company agreement shall be amended to change the name of the Surviving Entity to “Avere Therapeutics Operating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certificate of incorporation of Parent shall be identical to the certificate of incorporation of Parent immediately prior to the Second Effective Time, until thereafter amended as provided by the DGCL and such certificate of incorporation;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Second Effective Time, Parent shall file an amendment to its certificate of incorporation to (i) change the name of Parent to “Avere Therapeutics, Inc.”, (ii) effect the Nasdaq Reverse Split (to the extent applicable and necessary), (iii) increase the number of shares of Parent Common Stock that Parent is authorized to issue to a number mutually agreed between Parent and the Company, (iv) redomicile Parent from the State of Delaware to such jurisdiction as may be designated by the Company, and (v) make such other changes as are mutually agreeable to Parent and the Company (such amendment, the “</w:t>
      </w:r>
      <w:r>
        <w:rPr>
          <w:rFonts w:ascii="Times New Roman;Times;Serif" w:hAnsi="Times New Roman;Times;Serif"/>
          <w:b/>
          <w:i w:val="false"/>
          <w:caps w:val="false"/>
          <w:smallCaps w:val="false"/>
          <w:sz w:val="20"/>
        </w:rPr>
        <w:t>Parent Charter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directors and officers of Parent, each to hold office in accordance with the certificate of incorporation and bylaws of Parent, shall be as set forth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directors and officers of Surviving Entity, each to hold office in accordance with the certificate of formation and limited liability company agreement of Second Merger Sub, shall be as set forth in Section ‎6.12 after giving effect to the provisions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or such other persons as shall be designated by the Company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Conversion of Company, First Merger Sub and Second Merger Sub Equity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 by virtue of the Merger and without any further action on the part of Parent, Merger Subs, the Company or any stockholder of the Company or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of Company Capital Stock held as treasury stock immediately prior to the First Effective Time shall be canceled and retired and shall cease to exist, and no consideration shall be delivered in exchange therefor;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Times;Serif" w:hAnsi="Times New Roman;Times;Serif"/>
          <w:b w:val="false"/>
          <w:i w:val="false"/>
          <w:caps w:val="false"/>
          <w:smallCaps w:val="false"/>
          <w:sz w:val="20"/>
          <w:u w:val="single"/>
        </w:rPr>
        <w:t>Section 2.5(a)(i)</w:t>
      </w:r>
      <w:r>
        <w:rPr>
          <w:rFonts w:ascii="Times New Roman;Times;Serif" w:hAnsi="Times New Roman;Times;Serif"/>
          <w:b w:val="false"/>
          <w:i w:val="false"/>
          <w:caps w:val="false"/>
          <w:smallCaps w:val="false"/>
          <w:sz w:val="20"/>
        </w:rPr>
        <w:t> and excluding Dissenting Shares) shall be converted solely into the right to receive a number of shares of Parent Common Stock equal to the Exchange Ratio (the “</w:t>
      </w:r>
      <w:r>
        <w:rPr>
          <w:rFonts w:ascii="Times New Roman;Times;Serif" w:hAnsi="Times New Roman;Times;Serif"/>
          <w:b/>
          <w:i w:val="false"/>
          <w:caps w:val="false"/>
          <w:smallCaps w:val="false"/>
          <w:sz w:val="20"/>
        </w:rPr>
        <w:t>Parent Common Stock Payment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aggregate number of shares of Parent Common Stock issuable to any holder of Company 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Times;Serif" w:hAnsi="Times New Roman;Times;Serif"/>
          <w:b/>
          <w:i w:val="false"/>
          <w:caps w:val="false"/>
          <w:smallCaps w:val="false"/>
          <w:sz w:val="20"/>
        </w:rPr>
        <w:t>Remaining Entitlement</w:t>
      </w:r>
      <w:r>
        <w:rPr>
          <w:rFonts w:ascii="Times New Roman;Times;Serif" w:hAnsi="Times New Roman;Times;Serif"/>
          <w:b w:val="false"/>
          <w:i w:val="false"/>
          <w:caps w:val="false"/>
          <w:smallCaps w:val="false"/>
          <w:sz w:val="20"/>
        </w:rPr>
        <w:t xml:space="preserve">”), pre-funded warrants, substantially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together with the Parent Common Stock Payment Shares,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to purchase a number of shares of Parent Common Stock upon exercise of such Pre-Funded Warrants equal to the Remaining Entitlement, in such manner to provide any such holder of Company Capital Stock with the same economic effect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any accompanying documents as required therein, rounded up to the nearest whole share of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Company Options (including any Service Provider Grants)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All Company Warrants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 All Company RSUs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will be construed to permit the Company or Parent to take any action with respect to Company Capital Stock or Parent Capital Stock, respectively, that is prohibited or not expressly permitted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Agreement,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provided that such percentage shall be set at 9.99% for any holder of Company Capital Stock that does not make such designation to the Company at least ten (10) 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Times;Serif" w:hAnsi="Times New Roman;Times;Serif"/>
          <w:b w:val="false"/>
          <w:i w:val="false"/>
          <w:caps w:val="false"/>
          <w:smallCaps w:val="false"/>
          <w:sz w:val="20"/>
          <w:u w:val="single"/>
        </w:rPr>
        <w:t>Section ‎2.5(h)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Closing of the Company’s Transfer Books</w:t>
      </w:r>
      <w:r>
        <w:rPr>
          <w:rFonts w:ascii="Times New Roman;Times;Serif" w:hAnsi="Times New Roman;Times;Serif"/>
          <w:b w:val="false"/>
          <w:i w:val="false"/>
          <w:caps w:val="false"/>
          <w:smallCaps w:val="false"/>
          <w:sz w:val="20"/>
        </w:rPr>
        <w:t xml:space="preserve">. At the First Effective Time: (a) all Company Capital Stock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Surrender of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Parent and the Company shall jointly select a reputable bank, transfer agent or trust company to act as exchange agent in the Merger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xml:space="preserve">”). At the First Effective Time, Parent shall deposit with the Exchange Agent evidence of book-entry shares representing the shares of Parent Capital Stock issuable pursuant to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in exchange for Company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Times;Serif" w:hAnsi="Times New Roman;Times;Serif"/>
          <w:b/>
          <w:i w:val="false"/>
          <w:caps w:val="false"/>
          <w:smallCaps w:val="false"/>
          <w:sz w:val="20"/>
        </w:rPr>
        <w:t>Company Stock Certificates</w:t>
      </w:r>
      <w:r>
        <w:rPr>
          <w:rFonts w:ascii="Times New Roman;Times;Serif" w:hAnsi="Times New Roman;Times;Serif"/>
          <w:b w:val="false"/>
          <w:i w:val="false"/>
          <w:caps w:val="false"/>
          <w:smallCaps w:val="false"/>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and (B) the Company Stock Certificate or uncertificated shares of Company Capital Stock so surrendered shall be canceled. Until surrendered as contemplated by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(at which time such holder shall be entitled, subject to the effect of applicable abandoned property, escheat or similar Laws, to receive all such dividends and distributions,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thereafter look only to Parent for satisfaction of their claims for Parent Capital Stock and any dividends or distributions with respect to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Calculation of Parent Net Cash and Company Valuation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five (5) Business Days before the date of the Parent Stockholder Meeting set forth in the Proxy Statement (the “</w:t>
      </w:r>
      <w:r>
        <w:rPr>
          <w:rFonts w:ascii="Times New Roman;Times;Serif" w:hAnsi="Times New Roman;Times;Serif"/>
          <w:b/>
          <w:i w:val="false"/>
          <w:caps w:val="false"/>
          <w:smallCaps w:val="false"/>
          <w:sz w:val="20"/>
        </w:rPr>
        <w:t>Calculation Date</w:t>
      </w:r>
      <w:r>
        <w:rPr>
          <w:rFonts w:ascii="Times New Roman;Times;Serif" w:hAnsi="Times New Roman;Times;Serif"/>
          <w:b w:val="false"/>
          <w:i w:val="false"/>
          <w:caps w:val="false"/>
          <w:smallCaps w:val="false"/>
          <w:sz w:val="20"/>
        </w:rPr>
        <w:t>”), Parent will deliver to the Company a schedule (the “</w:t>
      </w:r>
      <w:r>
        <w:rPr>
          <w:rFonts w:ascii="Times New Roman;Times;Serif" w:hAnsi="Times New Roman;Times;Serif"/>
          <w:b/>
          <w:i w:val="false"/>
          <w:caps w:val="false"/>
          <w:smallCaps w:val="false"/>
          <w:sz w:val="20"/>
        </w:rPr>
        <w:t>Parent Net Cash Schedule</w:t>
      </w:r>
      <w:r>
        <w:rPr>
          <w:rFonts w:ascii="Times New Roman;Times;Serif" w:hAnsi="Times New Roman;Times;Serif"/>
          <w:b w:val="false"/>
          <w:i w:val="false"/>
          <w:caps w:val="false"/>
          <w:smallCaps w:val="false"/>
          <w:sz w:val="20"/>
        </w:rPr>
        <w:t>”) setting forth, in reasonable detail, Parent’s good faith, estimated calculation of the components of Parent Net Cash (the “</w:t>
      </w:r>
      <w:r>
        <w:rPr>
          <w:rFonts w:ascii="Times New Roman;Times;Serif" w:hAnsi="Times New Roman;Times;Serif"/>
          <w:b/>
          <w:i w:val="false"/>
          <w:caps w:val="false"/>
          <w:smallCaps w:val="false"/>
          <w:sz w:val="20"/>
        </w:rPr>
        <w:t>Parent Net Cash Calculation</w:t>
      </w:r>
      <w:r>
        <w:rPr>
          <w:rFonts w:ascii="Times New Roman;Times;Serif" w:hAnsi="Times New Roman;Times;Serif"/>
          <w:b w:val="false"/>
          <w:i w:val="false"/>
          <w:caps w:val="false"/>
          <w:smallCaps w:val="false"/>
          <w:sz w:val="20"/>
        </w:rPr>
        <w:t>,” and the date of delivery of such schedule being the “</w:t>
      </w:r>
      <w:r>
        <w:rPr>
          <w:rFonts w:ascii="Times New Roman;Times;Serif" w:hAnsi="Times New Roman;Times;Serif"/>
          <w:b/>
          <w:i w:val="false"/>
          <w:caps w:val="false"/>
          <w:smallCaps w:val="false"/>
          <w:sz w:val="20"/>
        </w:rPr>
        <w:t>Parent Net Cash Schedule Delivery Date</w:t>
      </w:r>
      <w:r>
        <w:rPr>
          <w:rFonts w:ascii="Times New Roman;Times;Serif" w:hAnsi="Times New Roman;Times;Serif"/>
          <w:b w:val="false"/>
          <w:i w:val="false"/>
          <w:caps w:val="false"/>
          <w:smallCaps w:val="false"/>
          <w:sz w:val="20"/>
        </w:rPr>
        <w:t>”) as of 11:59 p.m. on the Business Day prior to the Anticipated Closing Date (the “</w:t>
      </w:r>
      <w:r>
        <w:rPr>
          <w:rFonts w:ascii="Times New Roman;Times;Serif" w:hAnsi="Times New Roman;Times;Serif"/>
          <w:b/>
          <w:i w:val="false"/>
          <w:caps w:val="false"/>
          <w:smallCaps w:val="false"/>
          <w:sz w:val="20"/>
        </w:rPr>
        <w:t>Cash Determination Time</w:t>
      </w:r>
      <w:r>
        <w:rPr>
          <w:rFonts w:ascii="Times New Roman;Times;Serif" w:hAnsi="Times New Roman;Times;Serif"/>
          <w:b w:val="false"/>
          <w:i w:val="false"/>
          <w:caps w:val="false"/>
          <w:smallCaps w:val="false"/>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during Parent’s normal business hours and upon reasonably advanced written notice. The Parent Net Cash Calculation shall include Parent’s determination, as of the Cash Determination Time, of the defined terms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the Calculation Date, the Company will deliver to Parent a schedule (the “</w:t>
      </w:r>
      <w:r>
        <w:rPr>
          <w:rFonts w:ascii="Times New Roman;Times;Serif" w:hAnsi="Times New Roman;Times;Serif"/>
          <w:b/>
          <w:i w:val="false"/>
          <w:caps w:val="false"/>
          <w:smallCaps w:val="false"/>
          <w:sz w:val="20"/>
        </w:rPr>
        <w:t>Company Valuation Schedule</w:t>
      </w:r>
      <w:r>
        <w:rPr>
          <w:rFonts w:ascii="Times New Roman;Times;Serif" w:hAnsi="Times New Roman;Times;Serif"/>
          <w:b w:val="false"/>
          <w:i w:val="false"/>
          <w:caps w:val="false"/>
          <w:smallCaps w:val="false"/>
          <w:sz w:val="20"/>
        </w:rPr>
        <w:t>”) setting forth, in reasonable detail, the Company’s good faith, estimated calculations of the components of the Company Valuation (the “</w:t>
      </w:r>
      <w:r>
        <w:rPr>
          <w:rFonts w:ascii="Times New Roman;Times;Serif" w:hAnsi="Times New Roman;Times;Serif"/>
          <w:b/>
          <w:i w:val="false"/>
          <w:caps w:val="false"/>
          <w:smallCaps w:val="false"/>
          <w:sz w:val="20"/>
        </w:rPr>
        <w:t>Company Valuation Calculation</w:t>
      </w:r>
      <w:r>
        <w:rPr>
          <w:rFonts w:ascii="Times New Roman;Times;Serif" w:hAnsi="Times New Roman;Times;Serif"/>
          <w:b w:val="false"/>
          <w:i w:val="false"/>
          <w:caps w:val="false"/>
          <w:smallCaps w:val="false"/>
          <w:sz w:val="20"/>
        </w:rPr>
        <w:t>,” and the date of delivery of such schedule being the “</w:t>
      </w:r>
      <w:r>
        <w:rPr>
          <w:rFonts w:ascii="Times New Roman;Times;Serif" w:hAnsi="Times New Roman;Times;Serif"/>
          <w:b/>
          <w:i w:val="false"/>
          <w:caps w:val="false"/>
          <w:smallCaps w:val="false"/>
          <w:sz w:val="20"/>
        </w:rPr>
        <w:t>Company Valuation Delivery Date</w:t>
      </w:r>
      <w:r>
        <w:rPr>
          <w:rFonts w:ascii="Times New Roman;Times;Serif" w:hAnsi="Times New Roman;Times;Serif"/>
          <w:b w:val="false"/>
          <w:i w:val="false"/>
          <w:caps w:val="false"/>
          <w:smallCaps w:val="false"/>
          <w:sz w:val="20"/>
        </w:rPr>
        <w:t>”) as of 11:59 p.m. on the last Business Day prior to the Anticipated Closing Date (the “</w:t>
      </w:r>
      <w:r>
        <w:rPr>
          <w:rFonts w:ascii="Times New Roman;Times;Serif" w:hAnsi="Times New Roman;Times;Serif"/>
          <w:b/>
          <w:i w:val="false"/>
          <w:caps w:val="false"/>
          <w:smallCaps w:val="false"/>
          <w:sz w:val="20"/>
        </w:rPr>
        <w:t>Company Valuation Determination Time</w:t>
      </w:r>
      <w:r>
        <w:rPr>
          <w:rFonts w:ascii="Times New Roman;Times;Serif" w:hAnsi="Times New Roman;Times;Serif"/>
          <w:b w:val="false"/>
          <w:i w:val="false"/>
          <w:caps w:val="false"/>
          <w:smallCaps w:val="false"/>
          <w:sz w:val="20"/>
        </w:rPr>
        <w:t xml:space="preserve">”)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shall in no way limit or otherwise affect the Parent’s remedies under this Agreement or otherwise, or constitute an acknowledgement by Parent of the accuracy of the amounts reflected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later than three (3) Business Days after the Parent Net Cash Schedule Delivery Date (the last day of such period, the “</w:t>
      </w:r>
      <w:r>
        <w:rPr>
          <w:rFonts w:ascii="Times New Roman;Times;Serif" w:hAnsi="Times New Roman;Times;Serif"/>
          <w:b/>
          <w:i w:val="false"/>
          <w:caps w:val="false"/>
          <w:smallCaps w:val="false"/>
          <w:sz w:val="20"/>
        </w:rPr>
        <w:t>Response Date</w:t>
      </w:r>
      <w:r>
        <w:rPr>
          <w:rFonts w:ascii="Times New Roman;Times;Serif" w:hAnsi="Times New Roman;Times;Serif"/>
          <w:b w:val="false"/>
          <w:i w:val="false"/>
          <w:caps w:val="false"/>
          <w:smallCaps w:val="false"/>
          <w:sz w:val="20"/>
        </w:rPr>
        <w:t>”), the Company shall have the right to dispute any part of the Parent Net Cash Calculation by delivering a written notice to that effect to Parent (a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Any Dispute Notice shall identify in reasonable detail and to the extent known the nature and amounts of any proposed revisions to the Parent Net Cash Calculation and will be accompanied by reasonably detailed materials supporting the basis for such revisions.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later than three (3) Business Days after the Company Valuation Delivery Date (the last day of such period, the “</w:t>
      </w:r>
      <w:r>
        <w:rPr>
          <w:rFonts w:ascii="Times New Roman;Times;Serif" w:hAnsi="Times New Roman;Times;Serif"/>
          <w:b/>
          <w:i w:val="false"/>
          <w:caps w:val="false"/>
          <w:smallCaps w:val="false"/>
          <w:sz w:val="20"/>
        </w:rPr>
        <w:t>Company Valuation Response Date</w:t>
      </w:r>
      <w:r>
        <w:rPr>
          <w:rFonts w:ascii="Times New Roman;Times;Serif" w:hAnsi="Times New Roman;Times;Serif"/>
          <w:b w:val="false"/>
          <w:i w:val="false"/>
          <w:caps w:val="false"/>
          <w:smallCaps w:val="false"/>
          <w:sz w:val="20"/>
        </w:rPr>
        <w:t>”), Parent shall have the right to dispute any part of the Company Valuation Calculation by delivering a written notice to that effect to the Company (a “</w:t>
      </w:r>
      <w:r>
        <w:rPr>
          <w:rFonts w:ascii="Times New Roman;Times;Serif" w:hAnsi="Times New Roman;Times;Serif"/>
          <w:b/>
          <w:i w:val="false"/>
          <w:caps w:val="false"/>
          <w:smallCaps w:val="false"/>
          <w:sz w:val="20"/>
        </w:rPr>
        <w:t>Company Valuation Dispute Notice</w:t>
      </w:r>
      <w:r>
        <w:rPr>
          <w:rFonts w:ascii="Times New Roman;Times;Serif" w:hAnsi="Times New Roman;Times;Serif"/>
          <w:b w:val="false"/>
          <w:i w:val="false"/>
          <w:caps w:val="false"/>
          <w:smallCaps w:val="false"/>
          <w:sz w:val="20"/>
        </w:rPr>
        <w:t>”)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on or prior to the Response Date, the Company notifies Parent in writing that it has no objections to the Parent Net Cash Calculation or, if on the Response Date, the Company fails to deliver a Dispute Notice as provided in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then the Parent Net Cash Calculation as set forth in the Parent Net Cash Schedule shall be deemed to have been finally determined for purposes of this Agreement and to represent the Parent Net Cash at the Cash Determination Time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Times;Serif" w:hAnsi="Times New Roman;Times;Serif"/>
          <w:b w:val="false"/>
          <w:i w:val="false"/>
          <w:caps w:val="false"/>
          <w:smallCaps w:val="false"/>
          <w:sz w:val="20"/>
          <w:u w:val="single"/>
        </w:rPr>
        <w:t>Section 2.8(d)</w:t>
      </w:r>
      <w:r>
        <w:rPr>
          <w:rFonts w:ascii="Times New Roman;Times;Serif" w:hAnsi="Times New Roman;Times;Serif"/>
          <w:b w:val="false"/>
          <w:i w:val="false"/>
          <w:caps w:val="false"/>
          <w:smallCaps w:val="false"/>
          <w:sz w:val="20"/>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Representatives of Parent and the Company are unable to negotiate an agreed-upon determination of Parent Net Cash as of the Cash Determination Time or the components of Company Valuation as of the Company Valuation Determination Time, in each case pursuant to </w:t>
      </w:r>
      <w:r>
        <w:rPr>
          <w:rFonts w:ascii="Times New Roman;Times;Serif" w:hAnsi="Times New Roman;Times;Serif"/>
          <w:b w:val="false"/>
          <w:i w:val="false"/>
          <w:caps w:val="false"/>
          <w:smallCaps w:val="false"/>
          <w:sz w:val="20"/>
          <w:u w:val="single"/>
        </w:rPr>
        <w:t>Section ‎2.8(g)</w:t>
      </w:r>
      <w:r>
        <w:rPr>
          <w:rFonts w:ascii="Times New Roman;Times;Serif" w:hAnsi="Times New Roman;Times;Serif"/>
          <w:b w:val="false"/>
          <w:i w:val="false"/>
          <w:caps w:val="false"/>
          <w:smallCaps w:val="false"/>
          <w:sz w:val="20"/>
        </w:rPr>
        <w:t>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Times;Serif" w:hAnsi="Times New Roman;Times;Serif"/>
          <w:b/>
          <w:i w:val="false"/>
          <w:caps w:val="false"/>
          <w:smallCaps w:val="false"/>
          <w:sz w:val="20"/>
        </w:rPr>
        <w:t>AAA</w:t>
      </w:r>
      <w:r>
        <w:rPr>
          <w:rFonts w:ascii="Times New Roman;Times;Serif" w:hAnsi="Times New Roman;Times;Serif"/>
          <w:b w:val="false"/>
          <w:i w:val="false"/>
          <w:caps w:val="false"/>
          <w:smallCaps w:val="false"/>
          <w:sz w:val="20"/>
        </w:rPr>
        <w:t>”) make such selection (either the independent auditor jointly selected by both parties or such independent auditor selected by the AAA, the “</w:t>
      </w:r>
      <w:r>
        <w:rPr>
          <w:rFonts w:ascii="Times New Roman;Times;Serif" w:hAnsi="Times New Roman;Times;Serif"/>
          <w:b/>
          <w:i w:val="false"/>
          <w:caps w:val="false"/>
          <w:smallCaps w:val="false"/>
          <w:sz w:val="20"/>
        </w:rPr>
        <w:t>Accounting Firm</w:t>
      </w:r>
      <w:r>
        <w:rPr>
          <w:rFonts w:ascii="Times New Roman;Times;Serif" w:hAnsi="Times New Roman;Times;Serif"/>
          <w:b w:val="false"/>
          <w:i w:val="false"/>
          <w:caps w:val="false"/>
          <w:smallCaps w:val="false"/>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the Parties shall not be required to determine Parent Net Cash or the Company Valuation again even though the Closing may occur later than the Anticipated Closing Date, except that either Parent or the Company may request a redetermination of Parent Net Cash or the Company Valuation if the Closing Date is more than thirty (30) days after the Anticipated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Contingent Value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First Effective Time, Parent shall declare a distribution (the “</w:t>
      </w:r>
      <w:r>
        <w:rPr>
          <w:rFonts w:ascii="Times New Roman;Times;Serif" w:hAnsi="Times New Roman;Times;Serif"/>
          <w:b/>
          <w:i w:val="false"/>
          <w:caps w:val="false"/>
          <w:smallCaps w:val="false"/>
          <w:sz w:val="20"/>
        </w:rPr>
        <w:t>Closing Distribution</w:t>
      </w:r>
      <w:r>
        <w:rPr>
          <w:rFonts w:ascii="Times New Roman;Times;Serif" w:hAnsi="Times New Roman;Times;Serif"/>
          <w:b w:val="false"/>
          <w:i w:val="false"/>
          <w:caps w:val="false"/>
          <w:smallCaps w:val="false"/>
          <w:sz w:val="20"/>
        </w:rPr>
        <w:t xml:space="preserve">”) to holders of Parent Common Stock and Parent Preferred Stock of record as of immediately prior to the First Effective Time (excluding, for the avoidance of doubt, any Merger Consideration issuable hereunder but including, for the avoidance of doubt, those shares of Parent Common Stock with respect to Parent Restricted Stock Awards accelerated pursuant to </w:t>
      </w:r>
      <w:r>
        <w:rPr>
          <w:rFonts w:ascii="Times New Roman;Times;Serif" w:hAnsi="Times New Roman;Times;Serif"/>
          <w:b w:val="false"/>
          <w:i w:val="false"/>
          <w:caps w:val="false"/>
          <w:smallCaps w:val="false"/>
          <w:sz w:val="20"/>
          <w:u w:val="single"/>
        </w:rPr>
        <w:t>Section 6.6(e)</w:t>
      </w:r>
      <w:r>
        <w:rPr>
          <w:rFonts w:ascii="Times New Roman;Times;Serif" w:hAnsi="Times New Roman;Times;Serif"/>
          <w:b w:val="false"/>
          <w:i w:val="false"/>
          <w:caps w:val="false"/>
          <w:smallCaps w:val="false"/>
          <w:sz w:val="20"/>
        </w:rPr>
        <w:t>) of the right to receive one contingent value right (each, a “</w:t>
      </w:r>
      <w:r>
        <w:rPr>
          <w:rFonts w:ascii="Times New Roman;Times;Serif" w:hAnsi="Times New Roman;Times;Serif"/>
          <w:b/>
          <w:i w:val="false"/>
          <w:caps w:val="false"/>
          <w:smallCaps w:val="false"/>
          <w:sz w:val="20"/>
        </w:rPr>
        <w:t>CVR</w:t>
      </w:r>
      <w:r>
        <w:rPr>
          <w:rFonts w:ascii="Times New Roman;Times;Serif" w:hAnsi="Times New Roman;Times;Serif"/>
          <w:b w:val="false"/>
          <w:i w:val="false"/>
          <w:caps w:val="false"/>
          <w:smallCaps w:val="false"/>
          <w:sz w:val="20"/>
        </w:rPr>
        <w:t xml:space="preserve">”)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CVR Agreement</w:t>
      </w:r>
      <w:r>
        <w:rPr>
          <w:rFonts w:ascii="Times New Roman;Times;Serif" w:hAnsi="Times New Roman;Times;Serif"/>
          <w:b w:val="false"/>
          <w:i w:val="false"/>
          <w:caps w:val="false"/>
          <w:smallCaps w:val="false"/>
          <w:sz w:val="20"/>
        </w:rPr>
        <w:t>”). The record date for the Closing Distribution shall be the close of business on the third Business Day prior to the date on which the First Effective Time occurs and the payment date for such Closing Distribution shall be one Business Day prior to the First Effective Time; provided that the payment of such distribution may be conditioned upon the occurrence of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pay all costs and fees associated with any action contemplated by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CVR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Parent Net Cash after giving effect to the Parent Pre-Closing Dividend is greater than the Parent Target Cash Amount, then the Parties acknowledge and agree that the form of CVR Agreement will be amended to provide for the distribution of the amount by which Parent Net Cash is greater than the Parent Target Cash Amount to holders of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The Parties adopt this Agreement as a “plan of reorganization” within the meaning of Treasury Regulations Sections 1.368-2(g) and 1.368-3(a).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Appraisal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Times;Serif" w:hAnsi="Times New Roman;Times;Serif"/>
          <w:b/>
          <w:i w:val="false"/>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or represent the right to receive the Merger Consideration described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Times;Serif" w:hAnsi="Times New Roman;Times;Serif"/>
          <w:b w:val="false"/>
          <w:i w:val="false"/>
          <w:caps w:val="false"/>
          <w:smallCaps w:val="false"/>
          <w:sz w:val="20"/>
          <w:u w:val="single"/>
        </w:rPr>
        <w:t>Sections ‎2.5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give Parent prompt written notice of any demands by dissenting stockholders or beneficial owners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written disclosure document delivered by the Company to Parent (the “</w:t>
      </w:r>
      <w:r>
        <w:rPr>
          <w:rFonts w:ascii="Times New Roman;Times;Serif" w:hAnsi="Times New Roman;Times;Serif"/>
          <w:b/>
          <w:i w:val="false"/>
          <w:caps w:val="false"/>
          <w:smallCaps w:val="false"/>
          <w:sz w:val="20"/>
        </w:rPr>
        <w:t>Company Disclosure Letter</w:t>
      </w:r>
      <w:r>
        <w:rPr>
          <w:rFonts w:ascii="Times New Roman;Times;Serif" w:hAnsi="Times New Roman;Times;Serif"/>
          <w:b w:val="false"/>
          <w:i w:val="false"/>
          <w:caps w:val="false"/>
          <w:smallCaps w:val="false"/>
          <w:sz w:val="20"/>
        </w:rPr>
        <w:t>”) concurrently with the execution of this Agreement, the Company represents and warrants to Parent and Merger Subs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The Company has delivered to Parent accurate and complete copies of the Organizational Documents of the Company. The Company is not in breach or violation of its Organizational Documents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affirmative vote (or written consent) of the holders of (a) a majority of the shares of Company Capital Stock outstanding on the record date, voting as a single class on 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Times;Serif" w:hAnsi="Times New Roman;Times;Serif"/>
          <w:b/>
          <w:i w:val="false"/>
          <w:caps w:val="false"/>
          <w:smallCaps w:val="false"/>
          <w:sz w:val="20"/>
        </w:rPr>
        <w:t>Required Company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Assuming the accuracy of representations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hereof, except (i) as set forth in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of the Company Disclosure Letter, (ii) the Required Company Stockholder Vote, (iii) compliance with any applicable requirements of the HSR Act (if applicable) and (iv) the filing of the Certificate of Merger required by the DGCL or DLLCA, neither (x) the execution, delivery or performance of this Agreement by the Company, nor (y) the consummation of the Contemplated Transactions, will directly or indirectly (with or without notice or lapse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contravene, conflict with or result in a violation of any of the provisions of the Company’s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result in the imposition or creation of any Encumbrance upon or with respect to any asset owned or used by the Company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(i) the Required Company Stockholder Vote, (ii) the filing of the Certificate of Merger with the Secretary of State of the State of Delaware pursuant to the DGCL or DLLCA,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state takeover statute or similar Law applies or purports to apply to the Merger, this Agreement, the Company Stockholder Support Agreements or any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the Company consists of (i) 56,270,040 shares of Company Common Stock of which 194,445 shares have been issued and are outstanding as of the date hereof, and (ii) 25,291,667 shares of Company Preferred Stock of which 25,291,667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Company Capital Stock as set out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has reserved 2,222,222 shares of Company Common Stock for issuance to officers, directors, employees and consultants of the Company pursuant to the Company Stock Plan. As of the date hereof, 2,027,778 shares of Company Common Stock remain available for issuance pursuant to the Company Stock Plan. Except for the Company Stock Plan and as set forth on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xml:space="preserve"> of the Company Disclosure Letter, the Company does not have any stock option plan or any other plan, program, agreement or arrangement providing for any equity-based compensation for any Person.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Capital Stock are uncertificated.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Closing, the Company has delivered to Parent accurate and complete copies of (i) the audited balance sheet of the Company as at December 31, 2025, and the related audited statements of operations, changes in stockholders’ equity and cash flows of the Company, together with all related notes and schedules thereto, accompanied by the reports thereon of the Company’s independent auditors, and (ii) the unaudited balance sheet of the Company as at March 31, 2026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and the related unaudited statements of income and cash flows of the Company, together with all related notes and schedules thereto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of this Agreement had such action, event or occurrence taken place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Since the Balance Sheet Date, the Company does not have any liability, indebtedness, obligation, expense, claim, deficiency, guaranty or endorsement of any kind, whether accrued, absolute, contingent, matured, unmatured or otherwise (each a “</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xml:space="preserve">”), except for: (a) Liabilities disclosed, reflected or reserved against (or to be disclosed, reflected or reserved against) in the Company Financial Statements,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Real Property; Leasehold</w:t>
      </w:r>
      <w:r>
        <w:rPr>
          <w:rFonts w:ascii="Times New Roman;Times;Serif" w:hAnsi="Times New Roman;Times;Serif"/>
          <w:b w:val="false"/>
          <w:i w:val="false"/>
          <w:caps w:val="false"/>
          <w:smallCaps w:val="false"/>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Times;Serif" w:hAnsi="Times New Roman;Times;Serif"/>
          <w:b/>
          <w:i w:val="false"/>
          <w:caps w:val="false"/>
          <w:smallCaps w:val="false"/>
          <w:sz w:val="20"/>
        </w:rPr>
        <w:t>Company Real Estate Leases</w:t>
      </w:r>
      <w:r>
        <w:rPr>
          <w:rFonts w:ascii="Times New Roman;Times;Serif" w:hAnsi="Times New Roman;Times;Serif"/>
          <w:b w:val="false"/>
          <w:i w:val="false"/>
          <w:caps w:val="false"/>
          <w:smallCaps w:val="false"/>
          <w:sz w:val="20"/>
        </w:rPr>
        <w:t>”), each of which is in full force and effect, with no existing material default thereunder by the Company or to the Company’s Knowledge, the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of the Company Disclosure Letter is an accurate, true and complete listing of all Company Registered IP. All Company Registered IP is subsisting and in full force and effect and, to Company’s Knowledge, all Company Registered IP (other than pending applications) is valid and enforceable. All fees due to, and all documents, powers and other filings required to be filed with, a Governmental Authority with respect to any such Company Registered IP have been fully and timely paid and filed as necessary for the filing, prosecuting, obtaining grant of and maintaining such item of Company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‎3.12(b)</w:t>
      </w:r>
      <w:r>
        <w:rPr>
          <w:rFonts w:ascii="Times New Roman;Times;Serif" w:hAnsi="Times New Roman;Times;Serif"/>
          <w:b w:val="false"/>
          <w:i w:val="false"/>
          <w:caps w:val="false"/>
          <w:smallCaps w:val="false"/>
          <w:sz w:val="20"/>
        </w:rPr>
        <w:t> of the Company Disclosure Letter is an accurate, true and complete listing of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of the Company Disclosure Letter is an accurate, true and complete listing of each Company Contract pursuant to which any Person has been granted any license, sublicense, option or covenant not to sue under, or otherwise has received or acquired any right (whether or not currently exercisable) or interest in, any Company IP Rights, including coexistence agreements, prior rights agreements, rights of first refusal, rights of last refusal, immunities from suit and rights to indemnification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The Company exclusively owns all right, title and interest to and in Company IP Rights (other than (A) Company IP Rights licensed to the Company, or co-owned rights each as identified in </w:t>
      </w:r>
      <w:r>
        <w:rPr>
          <w:rFonts w:ascii="Times New Roman;Times;Serif" w:hAnsi="Times New Roman;Times;Serif"/>
          <w:b w:val="false"/>
          <w:i w:val="false"/>
          <w:caps w:val="false"/>
          <w:smallCaps w:val="false"/>
          <w:sz w:val="20"/>
          <w:u w:val="single"/>
        </w:rPr>
        <w:t>Section ‎3.12(e)</w:t>
      </w:r>
      <w:r>
        <w:rPr>
          <w:rFonts w:ascii="Times New Roman;Times;Serif" w:hAnsi="Times New Roman;Times;Serif"/>
          <w:b w:val="false"/>
          <w:i w:val="false"/>
          <w:caps w:val="false"/>
          <w:smallCaps w:val="false"/>
          <w:sz w:val="20"/>
        </w:rPr>
        <w:t> of the Company Disclosure Letter, (B) any non-customized software that (1) is licensed to the Company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and (C) any Intellectual Property licensed on a non-exclusive basis ancillary to the purchase or use of services, equipment, reagents or other materials) (“</w:t>
      </w:r>
      <w:r>
        <w:rPr>
          <w:rFonts w:ascii="Times New Roman;Times;Serif" w:hAnsi="Times New Roman;Times;Serif"/>
          <w:b/>
          <w:i w:val="false"/>
          <w:caps w:val="false"/>
          <w:smallCaps w:val="false"/>
          <w:sz w:val="20"/>
        </w:rPr>
        <w:t>Company Owned IP Rights</w:t>
      </w:r>
      <w:r>
        <w:rPr>
          <w:rFonts w:ascii="Times New Roman;Times;Serif" w:hAnsi="Times New Roman;Times;Serif"/>
          <w:b w:val="false"/>
          <w:i w:val="false"/>
          <w:caps w:val="false"/>
          <w:smallCaps w:val="false"/>
          <w:sz w:val="20"/>
        </w:rPr>
        <w:t>”), (ii) all Company Owned IP Rights and, to the Knowledge of Company, other Company IP Rights that are exclusively licensed to Parent are free and clear of any Encumbrances (other than Permitted Encumbrances), and (iii) Company owns, or has a valid and enforceable right pursuant to a binding written Contract to use, all material Company IP Rights currently used or practiced by Company.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Company, all documents and instruments necessary to register or apply for or renew registration of Company Registered IP have been validly executed, delivered and filed in a timely manner with the appropriate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instances that would not reasonably be expected to have, individually or in the aggregate, a Company Material Adverse Effect, to the Knowledge of Company,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taken reasonable steps to maintain the confidentiality of and otherwise protect and enforce its rights in all proprietary information that the Company holds, or purports to hold, as confidential or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has not assigned or otherwise transferred ownership of, or agreed to assign or otherwise transfer ownership of, any Company IP Rights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conduct of the business of the Company as has been conducted in the past three (3) years and as is currently being conducted, including the manufacture, marketing, offering for sale, sale, importation, use or intended use or other disposal of any product as currently sold or under development by the Company (i) has not violated and does not presently violate any license or agreement between the Company and any other Person, and, (ii) to the Knowledge of the Company, has not infringed, misappropriated or otherwise violated and does not presently infringe, misappropriate or otherwise violate any valid and issued Patent right or other Intellectual Property of any other Person, which infringement, misappropriation or violation would reasonably be expected to have a Company Material Adverse Effect. To the Knowledge of the Company, during the past three (3) years, no Person has engaged in the unauthorized use of, or has infringed, misappropriated or otherwise violated any Patents within the Company IP Rights, or otherwise violating any Company IP Rights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of this Agreement, and during the past three (3) years, Company is not, nor has been, a party to any, or is the subject of any pending or, to the Company’s Knowledge, threatened,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set forth in </w:t>
      </w:r>
      <w:r>
        <w:rPr>
          <w:rFonts w:ascii="Times New Roman;Times;Serif" w:hAnsi="Times New Roman;Times;Serif"/>
          <w:b w:val="false"/>
          <w:i w:val="false"/>
          <w:caps w:val="false"/>
          <w:smallCaps w:val="false"/>
          <w:sz w:val="20"/>
          <w:u w:val="single"/>
        </w:rPr>
        <w:t>Sections 3.12(b), ‎3.12(c)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‎3.12(k)</w:t>
      </w:r>
      <w:r>
        <w:rPr>
          <w:rFonts w:ascii="Times New Roman;Times;Serif" w:hAnsi="Times New Roman;Times;Serif"/>
          <w:b w:val="false"/>
          <w:i w:val="false"/>
          <w:caps w:val="false"/>
          <w:smallCaps w:val="false"/>
          <w:sz w:val="20"/>
        </w:rPr>
        <w:t>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None of the execution and delivery of this Agreement, the consummation of the transactions contemplated hereby or the performance by Company of its obligations hereunder conflict or will conflict with, alter or impair any of Company’s rights in, to and under any material Company IP Rights or the validity, enforceability, priority, scope or duration of any material Company IP Rights. Without limiting the foregoing, to the Knowledge of Company,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 of the Company Disclosure Letter lists the following Company Contracts in effect as of the date of this Agreement other than the Subscription Agreement (each,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Company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Company Contract relating to any agreement of indemnification or guaranty not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Company Contract (A) pursuant to which any Person granted the Company an exclusive license under any Intellectual Property, or (B) pursuant to which the Company granted any Person an exclusive license under any Company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Company Contract relating to capital expenditures and requiring payments after the date of this Agreement in excess of $250,000 pursuant to its express terms and not cancelable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Company Contract containing any royalty, dividend or similar arrangement based on the revenues or profits of the Company or of a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Company Contract relating to the disposition or acquisition of material assets or any ownership interest in any Entity, in each case, involving payments in excess of $250,000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$250,000 pursuant to its express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Company Contract to which the Company is a party or by which any of its assets and properties is currently bound, which involves annual obligations of payment by, or annual payments to, the Company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Company Contract entered into in settlement of any Legal Proceeding or other dispute pursuant to which the Company has outstanding obligations to pay consideration in excess of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Company Real Estate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Compliance; Permits;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matters regarding the U.S. Food and Drug Administration (or any successor agency thereto)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other comparable Governmental Authority responsible for regulation of the development, testing, manufacturing, processing, storage, labeling, sale, marketing, advertising, promotion, warehousing, distribution and importation or exportation of drug, biologics or medical device products (“</w:t>
      </w:r>
      <w:r>
        <w:rPr>
          <w:rFonts w:ascii="Times New Roman;Times;Serif" w:hAnsi="Times New Roman;Times;Serif"/>
          <w:b/>
          <w:i w:val="false"/>
          <w:caps w:val="false"/>
          <w:smallCaps w:val="false"/>
          <w:sz w:val="20"/>
        </w:rPr>
        <w:t>Drug/Device Regulatory Agency</w:t>
      </w:r>
      <w:r>
        <w:rPr>
          <w:rFonts w:ascii="Times New Roman;Times;Serif" w:hAnsi="Times New Roman;Times;Serif"/>
          <w:b w:val="false"/>
          <w:i w:val="false"/>
          <w:caps w:val="false"/>
          <w:smallCaps w:val="false"/>
          <w:sz w:val="20"/>
        </w:rPr>
        <w:t>”), the Company holds all required Governmental Authorizations for the operation of the business of the Company as currently conducted (the “</w:t>
      </w:r>
      <w:r>
        <w:rPr>
          <w:rFonts w:ascii="Times New Roman;Times;Serif" w:hAnsi="Times New Roman;Times;Serif"/>
          <w:b/>
          <w:i w:val="false"/>
          <w:caps w:val="false"/>
          <w:smallCaps w:val="false"/>
          <w:sz w:val="20"/>
        </w:rPr>
        <w:t>Company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Legal Proceedings pending or, to the Knowledge of the Company, threatened with respect to an alleged violation by the Company of the Federal Food, Drug, and Cosmetic Act (“</w:t>
      </w:r>
      <w:r>
        <w:rPr>
          <w:rFonts w:ascii="Times New Roman;Times;Serif" w:hAnsi="Times New Roman;Times;Serif"/>
          <w:b/>
          <w:i w:val="false"/>
          <w:caps w:val="false"/>
          <w:smallCaps w:val="false"/>
          <w:sz w:val="20"/>
        </w:rPr>
        <w:t>FDCA</w:t>
      </w:r>
      <w:r>
        <w:rPr>
          <w:rFonts w:ascii="Times New Roman;Times;Serif" w:hAnsi="Times New Roman;Times;Serif"/>
          <w:b w:val="false"/>
          <w:i w:val="false"/>
          <w:caps w:val="false"/>
          <w:smallCaps w:val="false"/>
          <w:sz w:val="20"/>
        </w:rPr>
        <w:t>”), the Public Health Service Act (“</w:t>
      </w:r>
      <w:r>
        <w:rPr>
          <w:rFonts w:ascii="Times New Roman;Times;Serif" w:hAnsi="Times New Roman;Times;Serif"/>
          <w:b/>
          <w:i w:val="false"/>
          <w:caps w:val="false"/>
          <w:smallCaps w:val="false"/>
          <w:sz w:val="20"/>
        </w:rPr>
        <w:t>PHSA</w:t>
      </w:r>
      <w:r>
        <w:rPr>
          <w:rFonts w:ascii="Times New Roman;Times;Serif" w:hAnsi="Times New Roman;Times;Serif"/>
          <w:b w:val="false"/>
          <w:i w:val="false"/>
          <w:caps w:val="false"/>
          <w:smallCaps w:val="false"/>
          <w:sz w:val="20"/>
        </w:rPr>
        <w:t>”), FDA regulations adopted thereunder, the Controlled Substances Act or any other similar Law promulgated by a Drug/Device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promotion, warehousing, distribution and importation or exportation, as currently conducted, of any of its products or product candidates (the “</w:t>
      </w:r>
      <w:r>
        <w:rPr>
          <w:rFonts w:ascii="Times New Roman;Times;Serif" w:hAnsi="Times New Roman;Times;Serif"/>
          <w:b/>
          <w:i w:val="false"/>
          <w:caps w:val="false"/>
          <w:smallCaps w:val="false"/>
          <w:sz w:val="20"/>
        </w:rPr>
        <w:t>Company Product Candidates</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Company Regulatory Permits</w:t>
      </w:r>
      <w:r>
        <w:rPr>
          <w:rFonts w:ascii="Times New Roman;Times;Serif" w:hAnsi="Times New Roman;Times;Serif"/>
          <w:b w:val="false"/>
          <w:i w:val="false"/>
          <w:caps w:val="false"/>
          <w:smallCaps w:val="false"/>
          <w:sz w:val="20"/>
        </w:rPr>
        <w:t xml:space="preserve">”), and no such Company Regulatory Permit has been (i) revoked, withdrawn, suspended, cancelled or terminated or (ii) modified in any adverse manner, other than immaterial modifications. </w:t>
      </w:r>
      <w:r>
        <w:rPr>
          <w:rFonts w:ascii="Times New Roman;Times;Serif" w:hAnsi="Times New Roman;Times;Serif"/>
          <w:b w:val="false"/>
          <w:i w:val="false"/>
          <w:caps w:val="false"/>
          <w:smallCaps w:val="false"/>
          <w:sz w:val="20"/>
          <w:u w:val="single"/>
        </w:rPr>
        <w:t>Section 3.14(d)</w:t>
      </w:r>
      <w:r>
        <w:rPr>
          <w:rFonts w:ascii="Times New Roman;Times;Serif" w:hAnsi="Times New Roman;Times;Serif"/>
          <w:b w:val="false"/>
          <w:i w:val="false"/>
          <w:caps w:val="false"/>
          <w:smallCaps w:val="false"/>
          <w:sz w:val="20"/>
        </w:rPr>
        <w:t>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material information in the Company’s possession or control relating to material Company Product Candidates and the development, testing, manufacturing, processing, storage, labeling, sale, marketing, advertising, promotion, warehousing,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or inspectional findings, untitled letters, warning letters, It Has Come To Our Attention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clinical, preclinical and other studies and tests conducted by or on behalf of, or sponsored by, the Company, or, to the knowledge of the Company,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or entities conducting studies on behalf of the Company have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to the knowledge of the Company, in which the Company or its current products or product candidates, including the Company Product Candidates, have participated. All clinical studies conducted by or on behalf of, or sponsored by, the Company, or, to the knowledge of the Company, in which the Company or its current products or product candidates, including the Company Product Candidates, have participated, have not been withdrawn, materially delayed, terminated or subject to a clinical hold and no information exists that a clinical trial will be withdrawn, materially delayed, terminated or subject to a clinical hold.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officers, directors, employees and agents are not, and, to the Knowledge of the Company, no contract manufacturer with respect to any Company Product Candidate is, the subject of any pending or, to the Knowledge of the Company, threatened investigation in respect of the Company’s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and its officers, directors, employees and agents have not, and to the Knowledge of the Company, no contract manufacturer, nor their respective officers, directors,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its officers, directors, employees and agents, and to the Knowledge of the Company, any contract manufacturer with respect to any Company Product Candidate, or any of their respective officers, directors,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its officers, directors, employees and agents, and to the Knowledge of the Company, any contract manufacturer with respect to any Company Product Candidate, or any of their respective officers,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820 and the respective counterparts thereof promulgated by Governmental Authorities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the Company (whether or not shown on any Tax Return) have been timely paid (taking into account any applicable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withheld and paid to the appropriate Governmental Authority all material Taxes required to have been withheld and paid in connection with any amounts paid or owing to any employee, independent contractor, creditor, stockholder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a material amount of Taxes (other than Encumbrances described in clause (a) of the definition of “Permitted Encumbrances”) upon any of the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been a United States real property holding corporation within the meaning of Section 897(c)(2) of the Code in the last five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Times;Serif" w:hAnsi="Times New Roman;Times;Serif"/>
          <w:b/>
          <w:i w:val="false"/>
          <w:caps w:val="false"/>
          <w:smallCaps w:val="false"/>
          <w:sz w:val="20"/>
        </w:rPr>
        <w:t>Ordinary Course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distributed stock of another Person, or has had its stock distributed by another Person, in a transaction that was purported or intended to be governed in whole or in part by Section 355 of the Code or Section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has not entered into any transaction identified as a “listed transaction” for purposes of Treasury Regulations Sections 1.6011-4(b)(2) or 301.6111-2(b)(2).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not aware of any facts or circumstances and has not taken or agreed to take any action, in each case, that would reasonably be expected to prevent or impede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made available to Parent a list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setting forth, for each Company Associate who is an individual independent contractor engaged by the Company, such contractor’s rate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accurate and complete copies of all employee manuals and handbooks, to the extent currently effective and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Section ‎3.17(d)</w:t>
      </w:r>
      <w:r>
        <w:rPr>
          <w:rFonts w:ascii="Times New Roman;Times;Serif" w:hAnsi="Times New Roman;Times;Serif"/>
          <w:b w:val="false"/>
          <w:i w:val="false"/>
          <w:caps w:val="false"/>
          <w:smallCaps w:val="false"/>
          <w:sz w:val="20"/>
        </w:rPr>
        <w:t> of the Company Disclosure Letter lists all material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in each case, except as would not be material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in the past six (6) years incurred any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Employee Plan provides for, and the Company has not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Company Employee Plan is subject to any law of a foreign jurisdiction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Company Employee Plan that constitutes in any part a “nonqualified deferred compensation plan” (as such term is defined under Section 409A(d)(1) of the Code and the guidance thereunder) (each, a “</w:t>
      </w:r>
      <w:r>
        <w:rPr>
          <w:rFonts w:ascii="Times New Roman;Times;Serif" w:hAnsi="Times New Roman;Times;Serif"/>
          <w:b/>
          <w:i w:val="false"/>
          <w:caps w:val="false"/>
          <w:smallCaps w:val="false"/>
          <w:sz w:val="20"/>
        </w:rPr>
        <w:t>Company 409A Plan</w:t>
      </w:r>
      <w:r>
        <w:rPr>
          <w:rFonts w:ascii="Times New Roman;Times;Serif" w:hAnsi="Times New Roman;Times;Serif"/>
          <w:b w:val="false"/>
          <w:i w:val="false"/>
          <w:caps w:val="false"/>
          <w:smallCaps w:val="false"/>
          <w:sz w:val="20"/>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can reasonably be expected to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labor practices or disputes, restrictive covenants, employment agreements, workers’ compensation and long-term disability policies, leaves of absence and worker privacy (collectively, “</w:t>
      </w:r>
      <w:r>
        <w:rPr>
          <w:rFonts w:ascii="Times New Roman;Times;Serif" w:hAnsi="Times New Roman;Times;Serif"/>
          <w:b/>
          <w:i w:val="false"/>
          <w:caps w:val="false"/>
          <w:smallCaps w:val="false"/>
          <w:sz w:val="20"/>
        </w:rPr>
        <w:t>Employment-Related Laws</w:t>
      </w:r>
      <w:r>
        <w:rPr>
          <w:rFonts w:ascii="Times New Roman;Times;Serif" w:hAnsi="Times New Roman;Times;Serif"/>
          <w:b w:val="false"/>
          <w:i w:val="false"/>
          <w:caps w:val="false"/>
          <w:smallCaps w:val="false"/>
          <w:sz w:val="20"/>
        </w:rPr>
        <w:t>”), and in each case, with respect to employees of the Company: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is no contract, agreement, plan or arrangement to which the Company is a party or by which it is bound to compensate any of its employees or other service providers for any income or excise taxes paid pursuant to Section 4999 or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not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Times;Serif" w:hAnsi="Times New Roman;Times;Serif"/>
          <w:b/>
          <w:i w:val="false"/>
          <w:caps w:val="false"/>
          <w:smallCaps w:val="false"/>
          <w:sz w:val="20"/>
        </w:rPr>
        <w:t>Privacy Policies</w:t>
      </w:r>
      <w:r>
        <w:rPr>
          <w:rFonts w:ascii="Times New Roman;Times;Serif" w:hAnsi="Times New Roman;Times;Serif"/>
          <w:b w:val="false"/>
          <w:i w:val="false"/>
          <w:caps w:val="false"/>
          <w:smallCaps w:val="false"/>
          <w:sz w:val="20"/>
        </w:rPr>
        <w:t>”)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Since the Company’s incorporation, the Company has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Times;Serif" w:hAnsi="Times New Roman;Times;Serif"/>
          <w:b/>
          <w:i w:val="false"/>
          <w:caps w:val="false"/>
          <w:smallCaps w:val="false"/>
          <w:sz w:val="20"/>
        </w:rPr>
        <w:t>Trade Laws</w:t>
      </w:r>
      <w:r>
        <w:rPr>
          <w:rFonts w:ascii="Times New Roman;Times;Serif" w:hAnsi="Times New Roman;Times;Serif"/>
          <w:b w:val="false"/>
          <w:i w:val="false"/>
          <w:caps w:val="false"/>
          <w:smallCaps w:val="false"/>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Times;Serif" w:hAnsi="Times New Roman;Times;Serif"/>
          <w:b/>
          <w:i w:val="false"/>
          <w:caps w:val="false"/>
          <w:smallCaps w:val="false"/>
          <w:sz w:val="20"/>
        </w:rPr>
        <w:t>Trade Approvals</w:t>
      </w:r>
      <w:r>
        <w:rPr>
          <w:rFonts w:ascii="Times New Roman;Times;Serif" w:hAnsi="Times New Roman;Times;Serif"/>
          <w:b w:val="false"/>
          <w:i w:val="false"/>
          <w:caps w:val="false"/>
          <w:smallCaps w:val="false"/>
          <w:sz w:val="20"/>
        </w:rPr>
        <w:t>”). There are no pending or threatened claims against the Company, nor any actions, conditions, facts, or circumstances that would reasonably be expected to give rise to any material future claims with respect to the Trade Laws or Trade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Ownership of Parent Capital Stock</w:t>
      </w:r>
      <w:r>
        <w:rPr>
          <w:rFonts w:ascii="Times New Roman;Times;Serif" w:hAnsi="Times New Roman;Times;Serif"/>
          <w:b w:val="false"/>
          <w:i w:val="false"/>
          <w:caps w:val="false"/>
          <w:smallCaps w:val="false"/>
          <w:sz w:val="20"/>
        </w:rPr>
        <w:t>.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 each case as qualified and limited by the Parent Disclosure Letter)) none of the Company, or any of its Representatives or stockholders, has relied on any such information (including the accuracy or completeness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Representations and Warranties of Parent, First Merger Sub and Second Merger Sub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 as set forth in the written disclosure document delivered by Parent to the Company (the “</w:t>
      </w:r>
      <w:r>
        <w:rPr>
          <w:rFonts w:ascii="Times New Roman;Times;Serif" w:hAnsi="Times New Roman;Times;Serif"/>
          <w:b/>
          <w:i w:val="false"/>
          <w:caps w:val="false"/>
          <w:smallCaps w:val="false"/>
          <w:sz w:val="20"/>
        </w:rPr>
        <w:t>Parent Disclosure Letter</w:t>
      </w:r>
      <w:r>
        <w:rPr>
          <w:rFonts w:ascii="Times New Roman;Times;Serif" w:hAnsi="Times New Roman;Times;Serif"/>
          <w:b w:val="false"/>
          <w:i w:val="false"/>
          <w:caps w:val="false"/>
          <w:smallCaps w:val="false"/>
          <w:sz w:val="20"/>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Each of First Merger Sub and Second Merger Sub is a corporation or limited liability company, as applicable, duly incorporated or formed, as applicable, validly existing and in good standing under the Laws of the State of Delaware, and has all necessary corporate or limited liability company, as applicable,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or formation, as applicable, Merger Subs have not engaged in any activities other than in connection with or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From the beginning of Parent’s most recently completed fiscal year until immediately prior to the Effective Time, neither Parent nor any of its Subsidiaries has had, and as of the Effective Time, neither Parent nor any of its Subsidiaries have, in each case, any material assets, operations or income in or from China (including Hong Kong, Macau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Parent has delivered to the Company accurate and complete copies of Parent’s Organizational Documents. Parent is not in breach or violation of its Organizational Documents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xml:space="preserve">. Parent and each Merger Sub have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Parent to (i) change the name of Parent to “Avere Therapeutics,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constitutes the legal, valid and binding obligation of Parent and Merger Subs, enforceable against each of Parent and Merger Subs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xml:space="preserve">. Assuming the accuracy of the representations set forth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(b) clauses (ii) through (vi) of the definition of “Parent Charter Amendment” (collectively, the “</w:t>
      </w:r>
      <w:r>
        <w:rPr>
          <w:rFonts w:ascii="Times New Roman;Times;Serif" w:hAnsi="Times New Roman;Times;Serif"/>
          <w:b/>
          <w:i w:val="false"/>
          <w:caps w:val="false"/>
          <w:smallCaps w:val="false"/>
          <w:sz w:val="20"/>
        </w:rPr>
        <w:t>Required 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obtaining the Required Parent Stockholder Vote, compliance with any applicable requirements of the HSR Act (if applicable) and the filing of the Certificate of Merger required by the DGCL or DLLCA, and assuming the accuracy of the representations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hereof, neither (x) the execution, delivery or performance of this Agreement by Parent or Merger Subs, nor (y) the consummation of the Contemplated Transactions, will directly or indirectly (with or without notice or lapse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contravene, conflict with or result in a violation of any of the provisions of the Organizational Documents of Parent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result in the imposition or creation of any Encumbrance upon or with respect to any asset owned or used by Parent or its Subsidiaries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(i) any Consent set forth on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of the Parent Disclosure Letter under any Parent Contract, (ii) the Required Parent Stockholder Vote, (iii) the filing of the Certificate of Merger with the Secretary of State of the State of Delaware pursuant to the DGCL or DLLCA, (iv) 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Board and the First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Parent Capital Stock consists of (i) 100,000,000 shares of Parent Common Stock, $0.001 par value per share, of which 4,068,951 shares have been issued and are outstanding as of June 30,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and (ii) 10,000,000 shares of Parent Preferred Stock, $0.001 par value per share, of which none are issued and outstanding as of the Capitalization Date. Parent does not hold any shares of Parent Capital Stock in its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2015 Omnibus Incentive Plan and 2019 Omnibus Incentive Plan (as may be amended from time to time, the “</w:t>
      </w:r>
      <w:r>
        <w:rPr>
          <w:rFonts w:ascii="Times New Roman;Times;Serif" w:hAnsi="Times New Roman;Times;Serif"/>
          <w:b/>
          <w:i w:val="false"/>
          <w:caps w:val="false"/>
          <w:smallCaps w:val="false"/>
          <w:sz w:val="20"/>
        </w:rPr>
        <w:t>Parent Stock Plans</w:t>
      </w:r>
      <w:r>
        <w:rPr>
          <w:rFonts w:ascii="Times New Roman;Times;Serif" w:hAnsi="Times New Roman;Times;Serif"/>
          <w:b w:val="false"/>
          <w:i w:val="false"/>
          <w:caps w:val="false"/>
          <w:smallCaps w:val="false"/>
          <w:sz w:val="20"/>
        </w:rPr>
        <w:t>”), the Parent 2019 Employee Stock Purchase Plan and except as set forth on Section </w:t>
      </w:r>
      <w:r>
        <w:rPr>
          <w:rFonts w:ascii="Times New Roman;Times;Serif" w:hAnsi="Times New Roman;Times;Serif"/>
          <w:b w:val="false"/>
          <w:i w:val="false"/>
          <w:caps w:val="false"/>
          <w:smallCaps w:val="false"/>
          <w:sz w:val="20"/>
          <w:u w:val="single"/>
        </w:rPr>
        <w:t>4.6(c)</w:t>
      </w:r>
      <w:r>
        <w:rPr>
          <w:rFonts w:ascii="Times New Roman;Times;Serif" w:hAnsi="Times New Roman;Times;Serif"/>
          <w:b w:val="false"/>
          <w:i w:val="false"/>
          <w:caps w:val="false"/>
          <w:smallCaps w:val="false"/>
          <w:sz w:val="20"/>
        </w:rPr>
        <w:t xml:space="preserve"> of the Parent Disclosure Letter, Parent does not have any stock option plan or any other plan, program, agreement or arrangement providing for any equity-based compensation for any Person. As of the Capitalization Date, Parent has reserved 1,154,518 shares of Parent Common Stock for issuance under the Parent Stock Plans, 1,015,018 shares have been reserved for issuance upon exercise or settlement of Parent Options, as applicable, granted under the Parent Stock Plans, and 139,500 shares remain available for future issuance pursuant to the Parent Stock Plans. As of the Capitalization Date, Parent has reserved 80,461 shares of Parent Common Stock for future issuance pursuant to the Parent 2019 Employee Stock Purchase Plan.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 (iv) 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outstanding shares of (x) Parent Preferred Stock, (y) Parent Options or Parent Restricted Stock Awards, or (z) as set forth on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of the Parent Disclosure Letter, there are no outstanding or authorized stock appreciation, phantom stock, profit participation or other similar rights with respect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“Parent Grant Date”)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authorized capital stock of First Merger Sub consists of 1,000 shares of common stock, par value $0.001 per share, of which 1,000 shares are issued and outstanding, all of which are beneficially owned by Parent. All of the issued and outstanding membership interests of Second Merger Sub are beneficially owned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Times;Serif" w:hAnsi="Times New Roman;Times;Serif"/>
          <w:b/>
          <w:i w:val="false"/>
          <w:caps w:val="false"/>
          <w:smallCaps w:val="false"/>
          <w:sz w:val="20"/>
        </w:rPr>
        <w:t>Certifications</w:t>
      </w:r>
      <w:r>
        <w:rPr>
          <w:rFonts w:ascii="Times New Roman;Times;Serif" w:hAnsi="Times New Roman;Times;Serif"/>
          <w:b w:val="false"/>
          <w:i w:val="false"/>
          <w:caps w:val="false"/>
          <w:smallCaps w:val="false"/>
          <w:sz w:val="20"/>
        </w:rPr>
        <w:t xml:space="preserve">”) are accurate and complete and comply as to form and content with all applicable Laws. As used in this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the term “file” and variations thereof shall be broadly construed to include any manner in which a document or information is furnished, supplied or otherwise made available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4.7(d)</w:t>
      </w:r>
      <w:r>
        <w:rPr>
          <w:rFonts w:ascii="Times New Roman;Times;Serif" w:hAnsi="Times New Roman;Times;Serif"/>
          <w:b w:val="false"/>
          <w:i w:val="false"/>
          <w:caps w:val="false"/>
          <w:smallCaps w:val="false"/>
          <w:sz w:val="20"/>
        </w:rPr>
        <w:t> of the Parent Disclosure Letter (“</w:t>
      </w:r>
      <w:r>
        <w:rPr>
          <w:rFonts w:ascii="Times New Roman;Times;Serif" w:hAnsi="Times New Roman;Times;Serif"/>
          <w:b/>
          <w:i w:val="false"/>
          <w:caps w:val="false"/>
          <w:smallCaps w:val="false"/>
          <w:sz w:val="20"/>
        </w:rPr>
        <w:t>Prior Nasdaq Notice</w:t>
      </w:r>
      <w:r>
        <w:rPr>
          <w:rFonts w:ascii="Times New Roman;Times;Serif" w:hAnsi="Times New Roman;Times;Serif"/>
          <w:b w:val="false"/>
          <w:i w:val="false"/>
          <w:caps w:val="false"/>
          <w:smallCaps w:val="false"/>
          <w:sz w:val="20"/>
        </w:rPr>
        <w:t>”),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is in compliance in all material respects with the applicable provisions of the Sarbanes-Oxley Act, the Exchange Act and the applicable listing and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of this Agreement had such action, event or occurrence taken place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xml:space="preserve">. Since the Balance Sheet Date, neither Parent nor any of its Subsidiaries has any Liability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and (e) Liabilities described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Real Property; Leasehold</w:t>
      </w:r>
      <w:r>
        <w:rPr>
          <w:rFonts w:ascii="Times New Roman;Times;Serif" w:hAnsi="Times New Roman;Times;Serif"/>
          <w:b w:val="false"/>
          <w:i w:val="false"/>
          <w:caps w:val="false"/>
          <w:smallCaps w:val="false"/>
          <w:sz w:val="20"/>
        </w:rPr>
        <w:t>.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Times;Serif" w:hAnsi="Times New Roman;Times;Serif"/>
          <w:b/>
          <w:i w:val="false"/>
          <w:caps w:val="false"/>
          <w:smallCaps w:val="false"/>
          <w:sz w:val="20"/>
        </w:rPr>
        <w:t>Parent Real Estate Leases</w:t>
      </w:r>
      <w:r>
        <w:rPr>
          <w:rFonts w:ascii="Times New Roman;Times;Serif" w:hAnsi="Times New Roman;Times;Serif"/>
          <w:b w:val="false"/>
          <w:i w:val="false"/>
          <w:caps w:val="false"/>
          <w:smallCaps w:val="false"/>
          <w:sz w:val="20"/>
        </w:rPr>
        <w:t>”), each of which is in full force and effect, with no existing material default thereunder by Parent or its Subsidiaries or, to Parent’s Knowledge, the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of the Parent Disclosure Letter is an accurate, true and complete listing of all Parent Registered IP. All Parent Registered IP is subsisting and in full force and effect and, to Parent’s Knowledge, all Parent Registered IP (other than pending applications) is valid and enforceable. All fees due to, and all documents, powers and other filings required to be filed with, a Governmental Authority with respect to any such Parent Registered IP have been fully and timely paid and filed as necessary for the filing, prosecuting, obtaining grant of and maintaining such item of Parent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of the Parent Disclosure Letter is an accurate, true and complete listing of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Parent’s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4.12(c)</w:t>
      </w:r>
      <w:r>
        <w:rPr>
          <w:rFonts w:ascii="Times New Roman;Times;Serif" w:hAnsi="Times New Roman;Times;Serif"/>
          <w:b w:val="false"/>
          <w:i w:val="false"/>
          <w:caps w:val="false"/>
          <w:smallCaps w:val="false"/>
          <w:sz w:val="20"/>
        </w:rPr>
        <w:t> of the Parent Disclosure Letter is an accurate, true and complete listing of each Parent Contract pursuant to which any Person has been granted any license, sublicense, option or covenant not to sue under, or otherwise has received or acquired any right (whether or not currently exercisable) or interest in, any Parent IP Rights, including coexistence agreements, prior rights agreements, rights of first refusal, rights of last refusal, immunities from suit and rights to indemnification (other than (i) any confidential information provided under confidentiality agreements, (ii) any Parent IP Rights non-exclusively licensed to academic collaborators, suppliers or service providers for the sole purpose of enabling such academic collaborator, supplier or service providers to provide services for Parent’s benefit and (iii) any non-exclusive, non-transferable license or other right granted to use any Parent IP Rights pursuant to any sponsored research agreement, clinical trial agreement, clinical site agreement or similar agreement entered into in the Ordinary Course of Business for research, development or patient treatment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Parent or one of its Subsidiaries exclusively owns all right, title, and interest to and in the Parent IP Rights (other than (A) Parent IP Rights licensed to Parent, or co-owned rights each as identified in </w:t>
      </w:r>
      <w:r>
        <w:rPr>
          <w:rFonts w:ascii="Times New Roman;Times;Serif" w:hAnsi="Times New Roman;Times;Serif"/>
          <w:b w:val="false"/>
          <w:i w:val="false"/>
          <w:caps w:val="false"/>
          <w:smallCaps w:val="false"/>
          <w:sz w:val="20"/>
          <w:u w:val="single"/>
        </w:rPr>
        <w:t>Section ‎4.12(e)</w:t>
      </w:r>
      <w:r>
        <w:rPr>
          <w:rFonts w:ascii="Times New Roman;Times;Serif" w:hAnsi="Times New Roman;Times;Serif"/>
          <w:b w:val="false"/>
          <w:i w:val="false"/>
          <w:caps w:val="false"/>
          <w:smallCaps w:val="false"/>
          <w:sz w:val="20"/>
        </w:rPr>
        <w:t> of the Parent Disclosure Letter, (B) any non-customized software that (1) is licensed to Parent solely in executable or object code form pursuant to a non-exclusive, internal use software license and other Intellectual Property associated with such software and (2) is not incorporated into, or material to the development, manufacturing or distribution of, any of Parent or its Subsidiaries’ products or services and (C) any Intellectual Property licensed on a non-exclusive basis ancillary to the purchase or use of services, equipment, reagents or other materials) (“</w:t>
      </w:r>
      <w:r>
        <w:rPr>
          <w:rFonts w:ascii="Times New Roman;Times;Serif" w:hAnsi="Times New Roman;Times;Serif"/>
          <w:b/>
          <w:i w:val="false"/>
          <w:caps w:val="false"/>
          <w:smallCaps w:val="false"/>
          <w:sz w:val="20"/>
        </w:rPr>
        <w:t>Parent Owned IP Rights</w:t>
      </w:r>
      <w:r>
        <w:rPr>
          <w:rFonts w:ascii="Times New Roman;Times;Serif" w:hAnsi="Times New Roman;Times;Serif"/>
          <w:b w:val="false"/>
          <w:i w:val="false"/>
          <w:caps w:val="false"/>
          <w:smallCaps w:val="false"/>
          <w:sz w:val="20"/>
        </w:rPr>
        <w:t>”), (ii) all Parent Owned IP Rights and, to the Knowledge of Parent, other Parent IP Rights that are exclusively licensed to Parent are free and clear of any Encumbrances (other than Permitted Encumbrances), and (iii) Parent owns, or has a valid and enforceable right pursuant to a binding written Contract to use, all material Parent IP Rights currently used or practiced by Parent.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Knowledge of Parent, all documents and instruments necessary to register or apply for or renew registration of Parent Registered IP have been validly executed, delivered, and filed in a timely manner with the appropriate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instances that would not reasonably be expected to have, individually or in the aggregate, a Parent Material Adverse Effect, to the Knowledge of Parent,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(y) bound by or otherwise subject to any Contract restricting him or her from performing his or her duties for Parent or such Subsidiary or (z)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funding, facilities or personnel of any Governmental Authority were used, directly or indirectly, to develop or create, in whole or in part, any Parent IP Rights in which Parent or any of its Subsidiaries has an ownership interest, except for any such funding or use of facilities or personnel that does not result in such Governmental Authority or institution owning such Parent IP Rights or the right to receive royalties or other remuneration for the practice of such Parent IP Rights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has assigned or otherwise transferred ownership of, or agreed to assign or otherwise transfer ownership of, any Parent IP Rights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has delivered, or made available to the Company, a complete and accurate copy of all material Parent IP Rights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Parent, the conduct of the business of Parent as has been conducted in the past three (3) years and as is currently being conducted, including the manufacture, marketing, offering for sale, sale, importation, use or intended use or other disposal of any product as currently sold or under development by Parent (i) has not violated and does not presently violate any license or agreement between Parent or its Subsidiaries and any Person in any material respect, and, (ii) to the Knowledge of Parent, has not infringed, misappropriated or otherwise violated and does not presently infringe, misappropriate or otherwise violate any valid and issued Patent right or other Intellectual Property of any other Person, which infringement, misappropriation or violation would reasonably be expected to have a Parent Material Adverse Effect. To the Knowledge of Parent, during the past three (3) years, no Person has engaged in the unauthorized use of, or has infringed, misappropriated or otherwise violated any Patents within the Parent IP Rights, or otherwise violating any Parent IP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of this Agreement and during the past three (3) years, Parent is not, nor has been, a party to any, or is the subject of any pending or, to the Parent’s Knowledge, threatened,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may be set forth in the Contracts listed on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4.12(k)</w:t>
      </w:r>
      <w:r>
        <w:rPr>
          <w:rFonts w:ascii="Times New Roman;Times;Serif" w:hAnsi="Times New Roman;Times;Serif"/>
          <w:b w:val="false"/>
          <w:i w:val="false"/>
          <w:caps w:val="false"/>
          <w:smallCaps w:val="false"/>
          <w:sz w:val="20"/>
        </w:rPr>
        <w:t>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execution and delivery of this Agreement, the consummation of the transactions contemplated hereby or the performance by Parent of its obligations hereunder conflict or will conflict with, alter or impair any of Parent’s rights in, to and under any material Parent IP Rights or the validity, enforceability, priority, scope or duration of any material Parent IP Rights. Without limiting the foregoing, to the Knowledge of Parent,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of the Parent Disclosure Letter identifies each Parent Contract that is in effect as of the date of this Agreement other than a Parent Employee Plan (each,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Parent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Parent Contract relating to any agreement of indemnification or guaranty not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Parent Contract (A) pursuant to which any Person granted Parent an exclusive license under any Intellectual Property, or (B) pursuant to which Parent granted any Person an exclusive license under any Parent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Parent Contract containing any royalty, dividend or similar arrangement based on the revenues or profits of Parent, any of its Subsidiaries, or of a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Parent Contract relating to capital expenditures and requiring payments after the date of this Agreement in excess of $100,000 pursuant to its express terms and not cancelable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Parent Contract relating to the disposition or acquisition of material assets or any ownership interest in any Entity, in each case, involving payments in excess of $100,000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Parent Contract entered into in settlement of any Legal Proceeding or other dispute pursuant to which Parent or any of its Subsidiaries has outstanding obligations to pay consideration in excess of $100,000;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excluding any clinical trial agreements for sites paid by a clinical research organization that is otherwise scheduled,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any Contract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Parent Contract with any Person, including any financial advisor, broker, finder, investment banker or other Person, providing advisory services to Parent in connection with the Contemplated Transactions and requiring payments by Parent after the date of this Agreement in excess of $100,000 pursuant to its express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Parent Real Estate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Contract disclosed in or required to be disclosed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‎4.12(c)</w:t>
      </w:r>
      <w:r>
        <w:rPr>
          <w:rFonts w:ascii="Times New Roman;Times;Serif" w:hAnsi="Times New Roman;Times;Serif"/>
          <w:b w:val="false"/>
          <w:i w:val="false"/>
          <w:caps w:val="false"/>
          <w:smallCaps w:val="false"/>
          <w:sz w:val="20"/>
        </w:rPr>
        <w:t> of the Parent Disclosure Letter;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Compliance; Permits;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is, and since January 1, 2023,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Times;Serif" w:hAnsi="Times New Roman;Times;Serif"/>
          <w:b/>
          <w:i w:val="false"/>
          <w:caps w:val="false"/>
          <w:smallCaps w:val="false"/>
          <w:sz w:val="20"/>
        </w:rPr>
        <w:t>Parent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sale, marketing, advertising, promotion, warehousing, distribution and importation or exportation, as currently conducted, of any of its product candidates (the “</w:t>
      </w:r>
      <w:r>
        <w:rPr>
          <w:rFonts w:ascii="Times New Roman;Times;Serif" w:hAnsi="Times New Roman;Times;Serif"/>
          <w:b/>
          <w:i w:val="false"/>
          <w:caps w:val="false"/>
          <w:smallCaps w:val="false"/>
          <w:sz w:val="20"/>
        </w:rPr>
        <w:t>Parent Product Candidates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Parent Regulatory Permits</w:t>
      </w:r>
      <w:r>
        <w:rPr>
          <w:rFonts w:ascii="Times New Roman;Times;Serif" w:hAnsi="Times New Roman;Times;Serif"/>
          <w:b w:val="false"/>
          <w:i w:val="false"/>
          <w:caps w:val="false"/>
          <w:smallCaps w:val="false"/>
          <w:sz w:val="20"/>
        </w:rPr>
        <w:t xml:space="preserve">”), and no such Parent Regulatory Permit has been (i) revoked, withdrawn, suspended, cancelled or terminated or (ii) modified in any adverse manner other than immaterial modifications. </w:t>
      </w:r>
      <w:r>
        <w:rPr>
          <w:rFonts w:ascii="Times New Roman;Times;Serif" w:hAnsi="Times New Roman;Times;Serif"/>
          <w:b w:val="false"/>
          <w:i w:val="false"/>
          <w:caps w:val="false"/>
          <w:smallCaps w:val="false"/>
          <w:sz w:val="20"/>
          <w:u w:val="single"/>
        </w:rPr>
        <w:t>Section ‎4.14(d)</w:t>
      </w:r>
      <w:r>
        <w:rPr>
          <w:rFonts w:ascii="Times New Roman;Times;Serif" w:hAnsi="Times New Roman;Times;Serif"/>
          <w:b w:val="false"/>
          <w:i w:val="false"/>
          <w:caps w:val="false"/>
          <w:smallCaps w:val="false"/>
          <w:sz w:val="20"/>
        </w:rPr>
        <w:t>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promotion, warehousing,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or inspectional findings, untitled letters, warning letters, It Has Come to Our Attention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All clinical studies conducted by or on behalf of, or sponsored by, Parent, or in which Parent or its current products or product candidates, including the Parent Product Candidates, have participated, have not been withdrawn, materially delayed, terminated or subject to a clinical hold and no information exists that a clinical trial will, at the direction of a Drug/Device Regulatory Agency, be withdrawn, materially delayed, terminated or subject to a clinical hold.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directors,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directors,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contract manufacturer with respect to any Parent Product Candidate, or any of its officers, directors,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Parent, any of its Subsidiaries, and to the Knowledge of Parent, any manufacturing site of a contract manufacturer or laboratory, with respect to any Parent Product Candidate, (i) is subject to a Drug/Device Regulatory Agency shutdown or import or export prohibition or (ii) 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Parent or any of its Subsidiaries (whether or not shown on any Tax Return) have been timely paid (taking into account any applicable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a material amount of Taxes (other than Encumbrances described in clause (a) of the definition of “Permitted Encumbrances”) upon any of the assets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is a party to any Tax allocation, Tax sharing or similar agreement (including indemnity arrangements), other than Ordinary Course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has entered into any transaction identified as a “listed transaction” for purposes of Treasury Regulations Sections 1.6011-4(b)(2) or 301.6111-2(b)(2).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Parent nor any of its Subsidiaries is aware of any facts or circumstances or has taken or agreed to take any action, in each case, that would reasonably be expected to prevent or impede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made available to the Company accurate and complete copies of all employee manuals and handbooks, to the extent currently effective and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Section 4.17(d)</w:t>
      </w:r>
      <w:r>
        <w:rPr>
          <w:rFonts w:ascii="Times New Roman;Times;Serif" w:hAnsi="Times New Roman;Times;Serif"/>
          <w:b w:val="false"/>
          <w:i w:val="false"/>
          <w:caps w:val="false"/>
          <w:smallCaps w:val="false"/>
          <w:sz w:val="20"/>
        </w:rPr>
        <w:t>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in each case, except as would not be material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 (6) years incurred any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Parent Employee Plan is subject to any law of a foreign jurisdiction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Parent Employee Plan that constitutes in any part a “nonqualified deferred compensation plan” (as such term is defined under Section 409A(d)(1) of the Code and the guidance thereunder) (each, a “</w:t>
      </w:r>
      <w:r>
        <w:rPr>
          <w:rFonts w:ascii="Times New Roman;Times;Serif" w:hAnsi="Times New Roman;Times;Serif"/>
          <w:b/>
          <w:i w:val="false"/>
          <w:caps w:val="false"/>
          <w:smallCaps w:val="false"/>
          <w:sz w:val="20"/>
        </w:rPr>
        <w:t>Parent 409A Plan</w:t>
      </w:r>
      <w:r>
        <w:rPr>
          <w:rFonts w:ascii="Times New Roman;Times;Serif" w:hAnsi="Times New Roman;Times;Serif"/>
          <w:b w:val="false"/>
          <w:i w:val="false"/>
          <w:caps w:val="false"/>
          <w:smallCaps w:val="false"/>
          <w:sz w:val="20"/>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can reasonably be expected to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is no contract, agreement, plan or arrangement to which Parent or any of its Subsidiaries is a party or by which it is bound to compensate any of its employees or other service providers for any income or excise taxes paid pursuant to Section 4999 or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2023,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of the Parent Disclosure Letter identifies each Person who is an Affiliate of Parent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and Pre-Funded Warrant,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 Parent and its Subsidiaries are and since January 1, 2023,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w:t>
      </w:r>
      <w:r>
        <w:rPr>
          <w:rFonts w:ascii="Times New Roman;Times;Serif" w:hAnsi="Times New Roman;Times;Serif"/>
          <w:b w:val="false"/>
          <w:i w:val="false"/>
          <w:caps w:val="false"/>
          <w:smallCaps w:val="false"/>
          <w:sz w:val="20"/>
          <w:u w:val="single"/>
        </w:rPr>
        <w:t>Certain Payments</w:t>
      </w:r>
      <w:r>
        <w:rPr>
          <w:rFonts w:ascii="Times New Roman;Times;Serif" w:hAnsi="Times New Roman;Times;Serif"/>
          <w:b w:val="false"/>
          <w:i w:val="false"/>
          <w:caps w:val="false"/>
          <w:smallCaps w:val="false"/>
          <w:sz w:val="20"/>
        </w:rPr>
        <w:t>. Neither Parent nor any of its Subsidiaries (nor, to the knowledge of Parent,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(U.S.) or similar non-U.S. law or regulation, (d) has established or maintained, or is maintaining, any unlawful fund of corporate monies or other properties or (e) has made any bribe, unlawful rebate, payoff, influence payment, kickback or other unlawful payment of any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Each Merger Sub was formed solely for the purpose of engaging in the Merger and the other transactions contemplated hereby and has engaged in no business other than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each case as qualified and limited by the Company Disclosure Letter)) none of Parent, Merger Subs nor any of their respective Representatives or stockholders, has relied on any such information (including the accuracy or completeness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Certain Covenants of the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expressly contemplated or permitted by this Agreement, (ii) as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the First Effective Time (the “</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expressly contemplated or permitted by this Agreement, including pursuant to Section 6.21, (ii) as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its Subsidiaries to, do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issue, grant, pledge or otherwise dispose of or encumber or authorize the issuance of: (x) any capital stock or other security (except for Parent Common Stock issued upon the valid exercise or settlement of outstanding Parent Options or Parent Restricted Stock Awards, as applicable), (y) any option, warrant or right to acquire any capital stock or any other security or (z) any Parent Warrant or other instrument convertible into or exchangeable for any capital stock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form any Subsidiary or acquire any equity interest or other interest in any other Entity or enter into a joint venture with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 lend money to any Person (except for the advancement of reasonable and customary expenses to employees, directors and consultants in the Ordinary Course of Business), (x) incur or guarantee any indebtedness for borrowed money, (y) guarantee any debt securities of others or (z) other than the incurrence or payment of expenses pursuant to the terms of this Agreement, make any capital expenditure or commitment in excess of $25,000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(v) adopt, establish or enter into any Parent Employee Plan, including, for the avoidance of doubt, any equity awards plans, (w) cause or permit any Parent Employee Plan to be amended other than as required by law or in order to make amendments for the purposes of compliance with Section 409A of the Code or in connection with annual enrollment, (x) pay any bonus or make any profit-sharing or similar payment to (except with respect to obligations in place on the date of this Agreement pursuant to any Parent Employee Plan disclosed to the Company), or increase the amount of the wages, salary, commissions, or other compensation or remuneration payable to, any of its directors, officers, employees or consultants, (y) increase the severance or change of control benefits offered to any current or new employees, directors or consultants, or (z) hire any officer, employee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acquire any material asset or sell, lease, license or otherwise irrevocably dispose of any of its assets or properties, or grant any Encumbrance with respect to such assets 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in the Ordinary Course of Business: (u) make, change or revoke any material Tax election; (v) file any amended income or other material Tax Return; (w) adopt or change any material accounting method in respect of Taxes; (x) enter into any material Tax closing agreement, settle any material Tax claim or assessment; (y) consent to any extension or waiver of the limitation period applicable to or relating to any material Tax claim or assessment; or (z) surrender any material claim for Tax refund;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waive, settle or compromise any pending or threatened Legal Proceeding against Parent or any of its Subsidiaries, other than waivers, settlements or agreements (y) for an amount not in excess of $100,000 in the aggregate (excluding amounts to be paid under existing insurance policies or renewals thereof) and (z) that do not impose any material restrictions on the operations or businesses of Parent or its Subsidiaries, taken as a whole, or any equitable relief on, or the admission of wrongdoing by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forgive any loans to any Person, including its employees, officers, directors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terminate or modify in any material respect, or fail to exercise renewal rights with respect to, any material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(y) materially decrease pricing or royalties or other payments set or charged by Parent or any of Subsidiaries to its customers or licensees or (z) agree to materially decrease pricing or royalties or other payments set or charged by Persons who have licensed Intellectual Property to Parent or any of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delay or fail to repay when due any material obligation, including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or amend in a manner adverse to Parent any Parent Material Contract outside of the Ordinary Course of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agree, resolve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herein to the contrary (including the foregoing provisions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Times;Serif" w:hAnsi="Times New Roman;Times;Serif"/>
          <w:b/>
          <w:i w:val="false"/>
          <w:caps w:val="false"/>
          <w:smallCaps w:val="false"/>
          <w:sz w:val="20"/>
        </w:rPr>
        <w:t>Parent Legacy Transaction</w:t>
      </w:r>
      <w:r>
        <w:rPr>
          <w:rFonts w:ascii="Times New Roman;Times;Serif" w:hAnsi="Times New Roman;Times;Serif"/>
          <w:b w:val="false"/>
          <w:i w:val="false"/>
          <w:caps w:val="false"/>
          <w:smallCaps w:val="false"/>
          <w:sz w:val="20"/>
        </w:rPr>
        <w:t>”) and, in connection with any Parent Legacy Transaction, (A)</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 xml:space="preserve">establish one or more Subsidiaries to hold assets of the Parent 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if and to the extent Parent reasonably expects the Parent Net Cash to exceed the Parent Target Cash Amount,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equal to the aggregate of Parent’s reasonable, good faith approximation of the amount by which Parent Net Cash will exceed the Parent Target Cash Amount (such dividend, the “</w:t>
      </w:r>
      <w:r>
        <w:rPr>
          <w:rFonts w:ascii="Times New Roman;Times;Serif" w:hAnsi="Times New Roman;Times;Serif"/>
          <w:b/>
          <w:i w:val="false"/>
          <w:caps w:val="false"/>
          <w:smallCaps w:val="false"/>
          <w:sz w:val="20"/>
        </w:rPr>
        <w:t>Parent Pre-Closing Dividend</w:t>
      </w:r>
      <w:r>
        <w:rPr>
          <w:rFonts w:ascii="Times New Roman;Times;Serif" w:hAnsi="Times New Roman;Times;Serif"/>
          <w:b w:val="false"/>
          <w:i w:val="false"/>
          <w:caps w:val="false"/>
          <w:smallCaps w:val="false"/>
          <w:sz w:val="20"/>
        </w:rPr>
        <w:t>” and such amount, the “</w:t>
      </w:r>
      <w:r>
        <w:rPr>
          <w:rFonts w:ascii="Times New Roman;Times;Serif" w:hAnsi="Times New Roman;Times;Serif"/>
          <w:b/>
          <w:i w:val="false"/>
          <w:caps w:val="false"/>
          <w:smallCaps w:val="false"/>
          <w:sz w:val="20"/>
        </w:rPr>
        <w:t>Parent Pre-Closing Dividend Amount</w:t>
      </w:r>
      <w:r>
        <w:rPr>
          <w:rFonts w:ascii="Times New Roman;Times;Serif" w:hAnsi="Times New Roman;Times;Serif"/>
          <w:b w:val="false"/>
          <w:i w:val="false"/>
          <w:caps w:val="false"/>
          <w:smallCaps w:val="false"/>
          <w:sz w:val="20"/>
        </w:rPr>
        <w:t>”). For the avoidance of doubt, if the Parent Target Cash Amount is less than $0, Parent shall not be entitled to pay any dividend except to the extent the actual Parent Net Cash is in excess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Operation of the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expressly contemplated or permitted by this Agreement or the Subscription Agreement, (ii) as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of the Company Disclosure Letter, (iii) as required by applicable Law, (iv) with respect to any Company Pre-Closing Financing, which is expressly permitted, or (v)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 and the requirements of all Contracts that constitute Company Material Contracts. For the avoidance of doubt, during the Pre-Closing Period, Ordinary Course of Business, with respect to the Company, shall also include such build-out, expansion, and development activities as are customary and reasonable for biotechnology companies at a stage of development substantially similar to that of the Company as of the date hereof, including, without limitation, activities relating to personnel hiring and retention, laboratory and office expansion, clinical and regulatory infrastructure development, manufacturing scale-up (including engagement of contract development and manufacturing organizations), implementation of quality and compliance systems, and other operational capability enhancements;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construed to permit the Company to take any action that is expressly prohibited or restricted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expressly contemplated or permitted by this Agreement or the Subscription Agreement, (ii) as set forth in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of the Company Disclosure Letter, (iii) as required by applicable 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than in the Ordinary Course of Business, acquire any equity interest or other interest in any other Entity or enter into a joint venture with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lend money to any Person, (B) incur or guarantee any indebtedness for borrowed money, or (C) guarantee any debt securities of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lease, license or otherwise irrevocably dispose of any of its assets or properties, or grant any Encumbrance with respect to such assets or properties, except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 assign, transfer, license, sublicense or otherwise dispose of any material Company IP Rights (other than pursuant to non-exclusive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 into, amend in a manner adverse to the Company or terminate any Company Material Contract outside of the Ordinary Course of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agree, resolve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Access and Investigation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conducted in such manner as not to interfere unreasonably with the conduct of the business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no access or examination contemplated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any public disclosures made in compliance with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not constitute a violation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(y) notwithstanding anything contained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subject to compliance with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prior to the approval of this Agreement by a Party’s stockholders (i.e., the Required Company Stockholder Vote, in the case of the Company, or the Required Parent Stockholder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by such Party, the taking of such action by such Representative shall be deemed to constitute a breach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by such Party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has been satisfied. Any failure by either Party to provide notice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not be deemed to be a breach for purposes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as applicable, unless such failure to provide such notice was made with such Party’s Knowledge that such failure to provide notice would reasonably be expected to constitute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Additional Agreements of the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but no earlier than August 25, 2026,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a proxy statement relating to the Parent Stockholder Meeting to be held in connection with the Merger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(including any Parent Common Stock issuable upon exercise of any Assumed Warrant or Pre-Funded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or Pre-Funded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or Pre-Funded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use commercially reasonable efforts to, as promptly as reasonably practicable following the date of this Agreement, furnish to the Parent (i) audited financial statements for each of its fiscal years required to be included in the Registration Statement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and (ii) unaudited interim financial statements for each interim period completed prior to Closing that would be required to be included in the Registration Statement or any periodic report due prior to the Closing Date if the Company were subject to the periodic reporting requirements under the Securities Act or the Exchange Act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The Company further agrees to make available to the Parent and its auditor such additional financial information and supporting materials as Parent may reasonably request in respect of disclosure in the Registration Statement or in connection with the preparation of any pro forma financial statements for inclusion in the Registration Statement, including, but not limited to, books and records, schedules, work papers, accounting policies, and tax, capitalization and transaction expense information reasonably necessary to support any pro forma adjustments and as required under the Securities Act or the Exchange Act or reasonably requested in connection with any comments or requests of the SEC or its staff.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Times;Serif" w:hAnsi="Times New Roman;Times;Serif"/>
          <w:b/>
          <w:i w:val="false"/>
          <w:caps w:val="false"/>
          <w:smallCaps w:val="false"/>
          <w:sz w:val="20"/>
        </w:rPr>
        <w:t>Company Stockholder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its stockholders to approve this Agreement and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Reasonably promptly following receipt of the Required Company Stockholder Vote, the Company shall prepare and mail a notice (the “</w:t>
      </w:r>
      <w:r>
        <w:rPr>
          <w:rFonts w:ascii="Times New Roman;Times;Serif" w:hAnsi="Times New Roman;Times;Serif"/>
          <w:b/>
          <w:i w:val="false"/>
          <w:caps w:val="false"/>
          <w:smallCaps w:val="false"/>
          <w:sz w:val="20"/>
        </w:rPr>
        <w:t>Stockholder Notice</w:t>
      </w:r>
      <w:r>
        <w:rPr>
          <w:rFonts w:ascii="Times New Roman;Times;Serif" w:hAnsi="Times New Roman;Times;Serif"/>
          <w:b w:val="false"/>
          <w:i w:val="false"/>
          <w:caps w:val="false"/>
          <w:smallCaps w:val="false"/>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shall be subject to Parent’s advance review (the period of time starting upon delivery of any such materials to Parent and ending upon resolution of any good faith comments raised by Parent, the “</w:t>
      </w:r>
      <w:r>
        <w:rPr>
          <w:rFonts w:ascii="Times New Roman;Times;Serif" w:hAnsi="Times New Roman;Times;Serif"/>
          <w:b/>
          <w:i w:val="false"/>
          <w:caps w:val="false"/>
          <w:smallCaps w:val="false"/>
          <w:sz w:val="20"/>
        </w:rPr>
        <w:t>Company Stockholder Consent Review Period</w:t>
      </w:r>
      <w:r>
        <w:rPr>
          <w:rFonts w:ascii="Times New Roman;Times;Serif" w:hAnsi="Times New Roman;Times;Serif"/>
          <w:b w:val="false"/>
          <w:i w:val="false"/>
          <w:caps w:val="false"/>
          <w:smallCaps w:val="false"/>
          <w:sz w:val="20"/>
        </w:rPr>
        <w:t>”), and the Company shall consider in good faith any comments raised by Parent in connection with Parent’s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agrees that, subject to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(the recommendation of the Company Board that the Company’s stockholders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and subject to compliance with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 (3) 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Times;Serif" w:hAnsi="Times New Roman;Times;Serif"/>
          <w:b/>
          <w:i w:val="false"/>
          <w:caps w:val="false"/>
          <w:smallCaps w:val="false"/>
          <w:sz w:val="20"/>
        </w:rPr>
        <w:t>Company Intervening Event</w:t>
      </w:r>
      <w:r>
        <w:rPr>
          <w:rFonts w:ascii="Times New Roman;Times;Serif" w:hAnsi="Times New Roman;Times;Serif"/>
          <w:b w:val="false"/>
          <w:i w:val="false"/>
          <w:caps w:val="false"/>
          <w:smallCaps w:val="false"/>
          <w:sz w:val="20"/>
        </w:rPr>
        <w:t>”), the Company Board may withhold, amend, withdraw or modify the Company Board Recommendation (or publicly propose to withhold, amend, withdraw or modify the Company Board Recommendation) in a manner adverse to Parent (collectively, a “</w:t>
      </w:r>
      <w:r>
        <w:rPr>
          <w:rFonts w:ascii="Times New Roman;Times;Serif" w:hAnsi="Times New Roman;Times;Serif"/>
          <w:b/>
          <w:i w:val="false"/>
          <w:caps w:val="false"/>
          <w:smallCaps w:val="false"/>
          <w:sz w:val="20"/>
        </w:rPr>
        <w:t>Company Board Adverse Recommendation Change</w:t>
      </w:r>
      <w:r>
        <w:rPr>
          <w:rFonts w:ascii="Times New Roman;Times;Serif" w:hAnsi="Times New Roman;Times;Serif"/>
          <w:b w:val="false"/>
          <w:i w:val="false"/>
          <w:caps w:val="false"/>
          <w:smallCaps w:val="false"/>
          <w:sz w:val="20"/>
        </w:rPr>
        <w:t xml:space="preserve">”) if, but only if, (x) in the case of a Superior Offer, following the receipt of and on account of such Superior 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Parent receives written notice from the Company confirming that the Company Board has determined to change its recommendation at least four (4) Business Days in advance of the Company Board Adverse Recommendation Change (the “</w:t>
      </w:r>
      <w:r>
        <w:rPr>
          <w:rFonts w:ascii="Times New Roman;Times;Serif" w:hAnsi="Times New Roman;Times;Serif"/>
          <w:b/>
          <w:i w:val="false"/>
          <w:caps w:val="false"/>
          <w:smallCaps w:val="false"/>
          <w:sz w:val="20"/>
        </w:rPr>
        <w:t>Notice Period</w:t>
      </w:r>
      <w:r>
        <w:rPr>
          <w:rFonts w:ascii="Times New Roman;Times;Serif" w:hAnsi="Times New Roman;Times;Serif"/>
          <w:b w:val="false"/>
          <w:i w:val="false"/>
          <w:caps w:val="false"/>
          <w:smallCaps w:val="false"/>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Company’s obligation to solicit the consent of its stockholders to sign the Company Stockholder Written Consent in accordance with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not be limited or otherwise affected by the commencement, disclosure, announcement or submission of any Superior Offer or other Acquisition Proposal or Acquisition Inquiry or Company Intervening Event, or by any Company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Charter Amendment”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or (iii) that the failure to postpone or adjourn the Parent Stockholder Meeting would reasonably be expected to be inconsistent with its fiduciary obligations under applicable Law, 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above and (ii) the Proxy Statement shall include a statement to the effect that the Parent Board recommends that Parent’s shareholders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and subject to compliance with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the Parent Board may withhold, amend, withdraw or modify the Parent Board Recommendation (or publicly propose to withhold, amend, withdraw or modify the Parent Board Recommendation) in a manner adverse to the Company (a “</w:t>
      </w:r>
      <w:r>
        <w:rPr>
          <w:rFonts w:ascii="Times New Roman;Times;Serif" w:hAnsi="Times New Roman;Times;Serif"/>
          <w:b/>
          <w:i w:val="false"/>
          <w:caps w:val="false"/>
          <w:smallCaps w:val="false"/>
          <w:sz w:val="20"/>
        </w:rPr>
        <w:t>Parent Board Adverse Recommendation Change</w:t>
      </w:r>
      <w:r>
        <w:rPr>
          <w:rFonts w:ascii="Times New Roman;Times;Serif" w:hAnsi="Times New Roman;Times;Serif"/>
          <w:b w:val="false"/>
          <w:i w:val="false"/>
          <w:caps w:val="false"/>
          <w:smallCaps w:val="false"/>
          <w:sz w:val="20"/>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Times;Serif" w:hAnsi="Times New Roman;Times;Serif"/>
          <w:b/>
          <w:i w:val="false"/>
          <w:caps w:val="false"/>
          <w:smallCaps w:val="false"/>
          <w:sz w:val="20"/>
        </w:rPr>
        <w:t>Parent Intervening Event</w:t>
      </w:r>
      <w:r>
        <w:rPr>
          <w:rFonts w:ascii="Times New Roman;Times;Serif" w:hAnsi="Times New Roman;Times;Serif"/>
          <w:b w:val="false"/>
          <w:i w:val="false"/>
          <w:caps w:val="false"/>
          <w:smallCaps w:val="false"/>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Times;Serif" w:hAnsi="Times New Roman;Times;Serif"/>
          <w:b/>
          <w:i w:val="false"/>
          <w:caps w:val="false"/>
          <w:smallCaps w:val="false"/>
          <w:sz w:val="20"/>
        </w:rPr>
        <w:t>Parent Notice Period</w:t>
      </w:r>
      <w:r>
        <w:rPr>
          <w:rFonts w:ascii="Times New Roman;Times;Serif" w:hAnsi="Times New Roman;Times;Serif"/>
          <w:b w:val="false"/>
          <w:i w:val="false"/>
          <w:caps w:val="false"/>
          <w:smallCaps w:val="false"/>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Parent’s obligation to call, give notice of and hold the Parent Stockholder Meeting in accordance with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shall not be limited or otherwise affected by the commencement, disclosure, announcement or submission of any Superior Offer, Acquisition Proposal or Acquisition Inquiry, or by any Parent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Nothing contained in this Agreement shall prohibit Parent or the Parent Board from (i) complying with Rules 14d-9 and 14e-2(a) promulgated under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Efforts; Regulatory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required to be filed in connection with the Merger under any applicable foreign Law relating to antitrust or competition matters (collectively, “</w:t>
      </w:r>
      <w:r>
        <w:rPr>
          <w:rFonts w:ascii="Times New Roman;Times;Serif" w:hAnsi="Times New Roman;Times;Serif"/>
          <w:b/>
          <w:i w:val="false"/>
          <w:caps w:val="false"/>
          <w:smallCaps w:val="false"/>
          <w:sz w:val="20"/>
        </w:rPr>
        <w:t>Antitrust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Company Options; Company RSUs; Company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Times;Serif" w:hAnsi="Times New Roman;Times;Serif"/>
          <w:b/>
          <w:i w:val="false"/>
          <w:caps w:val="false"/>
          <w:smallCaps w:val="false"/>
          <w:sz w:val="20"/>
        </w:rPr>
        <w:t>Assumed Option</w:t>
      </w:r>
      <w:r>
        <w:rPr>
          <w:rFonts w:ascii="Times New Roman;Times;Serif" w:hAnsi="Times New Roman;Times;Serif"/>
          <w:b w:val="false"/>
          <w:i w:val="false"/>
          <w:caps w:val="false"/>
          <w:smallCaps w:val="false"/>
          <w:sz w:val="20"/>
        </w:rPr>
        <w:t>”),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Times;Serif" w:hAnsi="Times New Roman;Times;Serif"/>
          <w:b/>
          <w:i w:val="false"/>
          <w:caps w:val="false"/>
          <w:smallCaps w:val="false"/>
          <w:sz w:val="20"/>
        </w:rPr>
        <w:t>Assumed RSU Award</w:t>
      </w:r>
      <w:r>
        <w:rPr>
          <w:rFonts w:ascii="Times New Roman;Times;Serif" w:hAnsi="Times New Roman;Times;Serif"/>
          <w:b w:val="false"/>
          <w:i w:val="false"/>
          <w:caps w:val="false"/>
          <w:smallCaps w:val="false"/>
          <w:sz w:val="20"/>
        </w:rPr>
        <w:t xml:space="preserve">”),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 (ii) the Exchange Ratio, rounded down, if necessary, to the nearest whole share of Parent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Times;Serif" w:hAnsi="Times New Roman;Times;Serif"/>
          <w:b/>
          <w:i w:val="false"/>
          <w:caps w:val="false"/>
          <w:smallCaps w:val="false"/>
          <w:sz w:val="20"/>
        </w:rPr>
        <w:t>Assumed Warrant</w:t>
      </w:r>
      <w:r>
        <w:rPr>
          <w:rFonts w:ascii="Times New Roman;Times;Serif" w:hAnsi="Times New Roman;Times;Serif"/>
          <w:b w:val="false"/>
          <w:i w:val="false"/>
          <w:caps w:val="false"/>
          <w:smallCaps w:val="false"/>
          <w:sz w:val="20"/>
        </w:rPr>
        <w:t>”), on the same terms and conditions (including any vesting provisions and any provisions providing for accelerated vesting upon certain events) as were applicable under such Company Warrant as of immediately prior to the First Effective Time. The number of shares of Parent Common Stock subject to each such Assumed Warrant shall be equal to (i) the number of shares 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the Merger shall not constitute a “change in control” (or term of similar import) under any Company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First Effective Time, with respect to each benefit plan maintained by Parent or the Surviving Entity that is an “employee welfare benefit plan” as defined in Section 3(1) of ERISA (each, a “</w:t>
      </w:r>
      <w:r>
        <w:rPr>
          <w:rFonts w:ascii="Times New Roman;Times;Serif" w:hAnsi="Times New Roman;Times;Serif"/>
          <w:b/>
          <w:i w:val="false"/>
          <w:caps w:val="false"/>
          <w:smallCaps w:val="false"/>
          <w:sz w:val="20"/>
        </w:rPr>
        <w:t>Post-Closing Welfare Plan</w:t>
      </w:r>
      <w:r>
        <w:rPr>
          <w:rFonts w:ascii="Times New Roman;Times;Serif" w:hAnsi="Times New Roman;Times;Serif"/>
          <w:b w:val="false"/>
          <w:i w:val="false"/>
          <w:caps w:val="false"/>
          <w:smallCaps w:val="false"/>
          <w:sz w:val="20"/>
        </w:rPr>
        <w:t>”)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Unless directed otherwise by the Company in writing no less than ten (10) Business Days before the Closing Date, Parent shall have, at least one (1) Business Day prior to the Closing Date, (i) ceased contributions to, and adopted written resolutions (or taken other necessary and appropriate action(s)) to terminate the Parent 401(k) Plan (the “</w:t>
      </w:r>
      <w:r>
        <w:rPr>
          <w:rFonts w:ascii="Times New Roman;Times;Serif" w:hAnsi="Times New Roman;Times;Serif"/>
          <w:b/>
          <w:i w:val="false"/>
          <w:caps w:val="false"/>
          <w:smallCaps w:val="false"/>
          <w:sz w:val="20"/>
        </w:rPr>
        <w:t>401(k) Plan</w:t>
      </w:r>
      <w:r>
        <w:rPr>
          <w:rFonts w:ascii="Times New Roman;Times;Serif" w:hAnsi="Times New Roman;Times;Serif"/>
          <w:b w:val="false"/>
          <w:i w:val="false"/>
          <w:caps w:val="false"/>
          <w:smallCaps w:val="false"/>
          <w:sz w:val="20"/>
        </w:rPr>
        <w:t>”) in compliance with the 401(k) Plan’s terms and the requirements of applicable Law, (ii) made all employee and employer contributions to the 401(k) Plans for all periods of service prior to the Closing Date in accordance with the terms of the 401(k) Plan, and (iii) 100% vested all participants under the 401(k) Plan, with such termination effective no later than one (1) day prior to the Closing Date. Parent shall provide the Company copies of all such corporate actions or documentation related to the same at least three (3) Business Days before their adoption or approval for the Company’s reasonable review and comment.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Parent Options</w:t>
      </w:r>
      <w:r>
        <w:rPr>
          <w:rFonts w:ascii="Times New Roman;Times;Serif" w:hAnsi="Times New Roman;Times;Serif"/>
          <w:b w:val="false"/>
          <w:i w:val="false"/>
          <w:caps w:val="false"/>
          <w:smallCaps w:val="false"/>
          <w:sz w:val="20"/>
        </w:rPr>
        <w:t>.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Times;Serif" w:hAnsi="Times New Roman;Times;Serif"/>
          <w:b/>
          <w:i w:val="false"/>
          <w:caps w:val="false"/>
          <w:smallCaps w:val="false"/>
          <w:sz w:val="20"/>
        </w:rPr>
        <w:t>Parent Stock Option Cash Consideration</w:t>
      </w:r>
      <w:r>
        <w:rPr>
          <w:rFonts w:ascii="Times New Roman;Times;Serif" w:hAnsi="Times New Roman;Times;Serif"/>
          <w:b w:val="false"/>
          <w:i w:val="false"/>
          <w:caps w:val="false"/>
          <w:smallCaps w:val="false"/>
          <w:sz w:val="20"/>
        </w:rPr>
        <w:t>”).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Parent Restricted Stock Awards</w:t>
      </w:r>
      <w:r>
        <w:rPr>
          <w:rFonts w:ascii="Times New Roman;Times;Serif" w:hAnsi="Times New Roman;Times;Serif"/>
          <w:b w:val="false"/>
          <w:i w:val="false"/>
          <w:caps w:val="false"/>
          <w:smallCaps w:val="false"/>
          <w:sz w:val="20"/>
        </w:rPr>
        <w:t>.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Times;Serif" w:hAnsi="Times New Roman;Times;Serif"/>
          <w:b/>
          <w:i w:val="false"/>
          <w:caps w:val="false"/>
          <w:smallCaps w:val="false"/>
          <w:sz w:val="20"/>
        </w:rPr>
        <w:t>D&amp;O Indemnified Parties</w:t>
      </w:r>
      <w:r>
        <w:rPr>
          <w:rFonts w:ascii="Times New Roman;Times;Serif" w:hAnsi="Times New Roman;Times;Serif"/>
          <w:b w:val="false"/>
          <w:i w:val="false"/>
          <w:caps w:val="false"/>
          <w:smallCaps w:val="false"/>
          <w:sz w:val="20"/>
        </w:rPr>
        <w:t>”), against all claims, losses, liabilities, damages, judgments, fines and reasonable fees, costs and expenses, including attorneys’ fees and disbursements (collectively, “</w:t>
      </w:r>
      <w:r>
        <w:rPr>
          <w:rFonts w:ascii="Times New Roman;Times;Serif" w:hAnsi="Times New Roman;Times;Serif"/>
          <w:b/>
          <w:i w:val="false"/>
          <w:caps w:val="false"/>
          <w:smallCaps w:val="false"/>
          <w:sz w:val="20"/>
        </w:rPr>
        <w:t>Costs</w:t>
      </w:r>
      <w:r>
        <w:rPr>
          <w:rFonts w:ascii="Times New Roman;Times;Serif" w:hAnsi="Times New Roman;Times;Serif"/>
          <w:b w:val="false"/>
          <w:i w:val="false"/>
          <w:caps w:val="false"/>
          <w:smallCaps w:val="false"/>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Sidley Austin LLP or such other counsel selected by the D&amp;O Indemnified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300%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300% of such annual premium, then Parent shall purchase policies that provide the maximum coverage available at an annual premium equal to 300% of such annual premium. The Company shall in good faith cooperate with Parent prior to the First Effective Time with respect to the procurement of such “D&amp;O tail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From and after the First Effective Time, Parent shall pay all expenses, including reasonable attorneys’ fees, that are incurred by the persons referred to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in connection with their enforcement of the rights provided to such persons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Parent shall cause the Surviving Entity to perform all of the obligations of the Surviving Entity under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Notwithstanding the foregoing, a Party need not consult with any other Parties in connection with such portion of any press release, public statement or filing to be issued or made pursuant to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Times;Serif" w:hAnsi="Times New Roman;Times;Serif"/>
          <w:b/>
          <w:i w:val="false"/>
          <w:caps w:val="false"/>
          <w:smallCaps w:val="false"/>
          <w:sz w:val="20"/>
        </w:rPr>
        <w:t>Nasdaq Listing Application</w:t>
      </w:r>
      <w:r>
        <w:rPr>
          <w:rFonts w:ascii="Times New Roman;Times;Serif" w:hAnsi="Times New Roman;Times;Serif"/>
          <w:b w:val="false"/>
          <w:i w:val="false"/>
          <w:caps w:val="false"/>
          <w:smallCaps w:val="false"/>
          <w:sz w:val="20"/>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The Company and Parent shall each pay 50% of Nasdaq fees associated with any action contemplated by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including any fees related to the engagement of a consultant (the “</w:t>
      </w:r>
      <w:r>
        <w:rPr>
          <w:rFonts w:ascii="Times New Roman;Times;Serif" w:hAnsi="Times New Roman;Times;Serif"/>
          <w:b/>
          <w:i w:val="false"/>
          <w:caps w:val="false"/>
          <w:smallCaps w:val="false"/>
          <w:sz w:val="20"/>
        </w:rPr>
        <w:t>Nasdaq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Regulations Section 1.368-3.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firm reasonably satisfactory to the Company) to furnish an opinion (as so required and subject to customary assumptions and limitations), (ii) Parent shall use its reasonable best efforts to cause Sidley Austin LLP (or such other nationally recognized law firm reasonably satisfactory to Parent) to furnish an opinion (as so required and subject to customary assumptions and limitations), and (iii) Parent and the Company shall each deliver to each of Gibson, Dunn and Crutcher LLP (or such other nationally recognized law firm reasonably satisfactory to the Company) and Sidley Austin LLP (or such other nationally recognized law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Times;Serif" w:hAnsi="Times New Roman;Times;Serif"/>
          <w:b/>
          <w:i w:val="false"/>
          <w:caps w:val="false"/>
          <w:smallCaps w:val="false"/>
          <w:sz w:val="20"/>
        </w:rPr>
        <w:t>Tax Certificates</w:t>
      </w:r>
      <w:r>
        <w:rPr>
          <w:rFonts w:ascii="Times New Roman;Times;Serif" w:hAnsi="Times New Roman;Times;Serif"/>
          <w:b w:val="false"/>
          <w:i w:val="false"/>
          <w:caps w:val="false"/>
          <w:smallCaps w:val="false"/>
          <w:sz w:val="20"/>
        </w:rPr>
        <w:t>”).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Officers and Directors</w:t>
      </w:r>
      <w:r>
        <w:rPr>
          <w:rFonts w:ascii="Times New Roman;Times;Serif" w:hAnsi="Times New Roman;Times;Serif"/>
          <w:b w:val="false"/>
          <w:i w:val="false"/>
          <w:caps w:val="false"/>
          <w:smallCaps w:val="false"/>
          <w:sz w:val="20"/>
        </w:rPr>
        <w:t xml:space="preserve">. Until successors are duly elected or appointed and qualified in accordance with applicable Law, the Parties shall take all necessary action so that the Persons listed on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Termination of Certain Agreements and Rights</w:t>
      </w:r>
      <w:r>
        <w:rPr>
          <w:rFonts w:ascii="Times New Roman;Times;Serif" w:hAnsi="Times New Roman;Times;Serif"/>
          <w:b w:val="false"/>
          <w:i w:val="false"/>
          <w:caps w:val="false"/>
          <w:smallCaps w:val="false"/>
          <w:sz w:val="20"/>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Times;Serif" w:hAnsi="Times New Roman;Times;Serif"/>
          <w:b/>
          <w:i w:val="false"/>
          <w:caps w:val="false"/>
          <w:smallCaps w:val="false"/>
          <w:sz w:val="20"/>
        </w:rPr>
        <w:t>Investor Agreements</w:t>
      </w:r>
      <w:r>
        <w:rPr>
          <w:rFonts w:ascii="Times New Roman;Times;Serif" w:hAnsi="Times New Roman;Times;Serif"/>
          <w:b w:val="false"/>
          <w:i w:val="false"/>
          <w:caps w:val="false"/>
          <w:smallCaps w:val="false"/>
          <w:sz w:val="20"/>
        </w:rPr>
        <w:t>”),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Allocation Information</w:t>
      </w:r>
      <w:r>
        <w:rPr>
          <w:rFonts w:ascii="Times New Roman;Times;Serif" w:hAnsi="Times New Roman;Times;Serif"/>
          <w:b w:val="false"/>
          <w:i w:val="false"/>
          <w:caps w:val="false"/>
          <w:smallCaps w:val="false"/>
          <w:sz w:val="20"/>
        </w:rPr>
        <w:t>. The Company will prepare and deliver to Parent prior to the Closing a spreadsheet setting forth (as of immediately prior to the First Effective Time) (a) each holder of (i) Company 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Pre-Funded Warrants,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Times;Serif" w:hAnsi="Times New Roman;Times;Serif"/>
          <w:b/>
          <w:i w:val="false"/>
          <w:caps w:val="false"/>
          <w:smallCaps w:val="false"/>
          <w:sz w:val="20"/>
        </w:rPr>
        <w:t>Allocation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Obligations of Merger Subs</w:t>
      </w:r>
      <w:r>
        <w:rPr>
          <w:rFonts w:ascii="Times New Roman;Times;Serif" w:hAnsi="Times New Roman;Times;Serif"/>
          <w:b w:val="false"/>
          <w:i w:val="false"/>
          <w:caps w:val="false"/>
          <w:smallCaps w:val="false"/>
          <w:sz w:val="20"/>
        </w:rPr>
        <w:t>. Parent will take all action necessary to cause each Merger Sub to perform its obligations under this Agreement and to consummate the Merger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Parent Pre-Closing Dividend</w:t>
      </w:r>
      <w:r>
        <w:rPr>
          <w:rFonts w:ascii="Times New Roman;Times;Serif" w:hAnsi="Times New Roman;Times;Serif"/>
          <w:b w:val="false"/>
          <w:i w:val="false"/>
          <w:caps w:val="false"/>
          <w:smallCaps w:val="false"/>
          <w:sz w:val="20"/>
        </w:rPr>
        <w:t>.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Parent Warrants</w:t>
      </w:r>
      <w:r>
        <w:rPr>
          <w:rFonts w:ascii="Times New Roman;Times;Serif" w:hAnsi="Times New Roman;Times;Serif"/>
          <w:b w:val="false"/>
          <w:i w:val="false"/>
          <w:caps w:val="false"/>
          <w:smallCaps w:val="false"/>
          <w:sz w:val="20"/>
        </w:rPr>
        <w:t>. If required by any applicable Parent Warrant, promptly after the date of this Agreement, and in any event within the time period as set forth in the Parent Warrant, Parent shall deliver notice to the holders of such Parent Warrants with respect to the transactions contemplated by this Agreement and the rights of the holders thereof in connection therewith, subject to the review and approval of Company (not to be unreasonably withheld). Parent shall use its reasonable best efforts to ensure that, at the First Effective Time, each Parent Warrant that is outstanding and unexercised immediately prior to the First Effective Time shall be exercised in full, effective immediately prior to and conditioned upon the occurrence of the First Effective Time, such that no Existing Parent Pre-Funded Warrants remain outstanding as of the First Effective Time. For the avoidance of doubt, any Parent Warrant (or portion thereof) that remains outstanding as of immediately prior to the First Effective Time shall be included in the Parent Outstanding Shares (on an as-exercised, net of nominal exercise price, basis) for all purposes hereunder, without duplication of any shares of Parent Common Stock issued upon exercise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Company Pre-Closing Financing</w:t>
      </w:r>
      <w:r>
        <w:rPr>
          <w:rFonts w:ascii="Times New Roman;Times;Serif" w:hAnsi="Times New Roman;Times;Serif"/>
          <w:b w:val="false"/>
          <w:i w:val="false"/>
          <w:caps w:val="false"/>
          <w:smallCaps w:val="false"/>
          <w:sz w:val="20"/>
        </w:rPr>
        <w:t>.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Termination of Certain Agreements; Wind-Down Activities</w:t>
      </w:r>
      <w:r>
        <w:rPr>
          <w:rFonts w:ascii="Times New Roman;Times;Serif" w:hAnsi="Times New Roman;Times;Serif"/>
          <w:b w:val="false"/>
          <w:i w:val="false"/>
          <w:caps w:val="false"/>
          <w:smallCaps w:val="false"/>
          <w:sz w:val="20"/>
        </w:rPr>
        <w:t xml:space="preserve">. Promptly following the date hereof, Parent will take all action necessary to terminate each of those agreements listed on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xml:space="preserve"> of the Parent Disclosure Letter. Following the date hereof, Parent shall use its commercially reasonable efforts to wind-down activities of Parent associated with the Parent Legacy Business effective as of and contingent upon the Closing, including termination of its research and development activities set forth on Section 6.21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Conditions Precedent to Obligations of Each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Any applicable waiting periods (or any extensions thereof) under the HSR Act and any applicable foreign Law relating to antitrust or competition matters shall have expired or otherwise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(a) Parent shall have obtained the Required Parent Stockholder Vote (but solely with respect to such items as are necessary to consummate the transactions contemplated by this Agreement) and (b) the Company shall have obtained the Required Company Stockholder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Nasdaq Listing Application shall have been approved by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Legal Proceeding seeking a stop order with respect to the Registration Statement that has not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Additional Conditions Precedent to Obligations of Parent and Merger Subs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performed or complied with in all material respects all agreements and covenants required to be performed or complied with by it under this Agreement at or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Parent shall have received the following documents, each of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by the Chief Executive Officer or Chief Financial Officer of the Company certifying (i) that the conditions set forth in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8.5</w:t>
      </w:r>
      <w:r>
        <w:rPr>
          <w:rFonts w:ascii="Times New Roman;Times;Serif" w:hAnsi="Times New Roman;Times;Serif"/>
          <w:b w:val="false"/>
          <w:i w:val="false"/>
          <w:caps w:val="false"/>
          <w:smallCaps w:val="false"/>
          <w:sz w:val="20"/>
        </w:rPr>
        <w:t xml:space="preserve"> have been duly satisfied and (ii) that the information (other than emails and addresses) set forth in the Allocation Certificate delivered by the company in accordance with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is true and accurate in all respects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certificate pursuant to Treasury Regulations Sections 1.1445-2(c) and 1.897-2(h), together with a form of notice to the IRS in accordance with the requirements of Treasury Regulations Section 1.897-2(h), in each case, in form and substance reasonably acceptable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Valuation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Allocation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Lock-Up Agreements, duly executed by the Persons listed on </w:t>
      </w:r>
      <w:r>
        <w:rPr>
          <w:rFonts w:ascii="Times New Roman;Times;Serif" w:hAnsi="Times New Roman;Times;Serif"/>
          <w:b w:val="false"/>
          <w:i w:val="false"/>
          <w:caps w:val="false"/>
          <w:smallCaps w:val="false"/>
          <w:sz w:val="20"/>
          <w:u w:val="single"/>
        </w:rPr>
        <w:t>Section B</w:t>
      </w:r>
      <w:r>
        <w:rPr>
          <w:rFonts w:ascii="Times New Roman;Times;Serif" w:hAnsi="Times New Roman;Times;Serif"/>
          <w:b w:val="false"/>
          <w:i w:val="false"/>
          <w:caps w:val="false"/>
          <w:smallCaps w:val="false"/>
          <w:sz w:val="20"/>
        </w:rPr>
        <w:t xml:space="preserve"> of the Company Disclosure Letter,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Company Material Adverse Effect that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 The Company Stockholder Written Consent executed by the stockholders of the Company collectively constituting the Required Company Stockholder Vote shall have been obtained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Company Pre-Closing Financing</w:t>
      </w:r>
      <w:r>
        <w:rPr>
          <w:rFonts w:ascii="Times New Roman;Times;Serif" w:hAnsi="Times New Roman;Times;Serif"/>
          <w:b w:val="false"/>
          <w:i w:val="false"/>
          <w:caps w:val="false"/>
          <w:smallCaps w:val="false"/>
          <w:sz w:val="20"/>
        </w:rPr>
        <w:t>.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Additional Conditions Precedent to Obligation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and Merger Subs shall have performed or complied with in all material respects all of their agreements and covenants required to be performed or complied with by each of them under this Agreement at or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The Company shall have received the following documents, each of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by an executive officer of Parent certifying that the conditions set forth in </w:t>
      </w:r>
      <w:r>
        <w:rPr>
          <w:rFonts w:ascii="Times New Roman;Times;Serif" w:hAnsi="Times New Roman;Times;Serif"/>
          <w:b w:val="false"/>
          <w:i w:val="false"/>
          <w:caps w:val="false"/>
          <w:smallCaps w:val="false"/>
          <w:sz w:val="20"/>
          <w:u w:val="single"/>
        </w:rPr>
        <w:t>Sections 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‎9.4</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Net Cash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No Parent Material Adverse Effect</w:t>
      </w:r>
      <w:r>
        <w:rPr>
          <w:rFonts w:ascii="Times New Roman;Times;Serif" w:hAnsi="Times New Roman;Times;Serif"/>
          <w:b w:val="false"/>
          <w:i w:val="false"/>
          <w:caps w:val="false"/>
          <w:smallCaps w:val="false"/>
          <w:sz w:val="20"/>
        </w:rPr>
        <w:t>. Since the date of this Agreement, there shall not have occurred any Parent Material Adverse Effect that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Parent Pre-Closing Dividend</w:t>
      </w:r>
      <w:r>
        <w:rPr>
          <w:rFonts w:ascii="Times New Roman;Times;Serif" w:hAnsi="Times New Roman;Times;Serif"/>
          <w:b w:val="false"/>
          <w:i w:val="false"/>
          <w:caps w:val="false"/>
          <w:smallCaps w:val="false"/>
          <w:sz w:val="20"/>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Parent Charter Amendment</w:t>
      </w:r>
      <w:r>
        <w:rPr>
          <w:rFonts w:ascii="Times New Roman;Times;Serif" w:hAnsi="Times New Roman;Times;Serif"/>
          <w:b w:val="false"/>
          <w:i w:val="false"/>
          <w:caps w:val="false"/>
          <w:smallCaps w:val="false"/>
          <w:sz w:val="20"/>
        </w:rPr>
        <w:t>. The Parent Charter Amendment shall have been duly filed in accordance with applicable Law, containing at least such amendments as are necessary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Termination of Agreements</w:t>
      </w:r>
      <w:r>
        <w:rPr>
          <w:rFonts w:ascii="Times New Roman;Times;Serif" w:hAnsi="Times New Roman;Times;Serif"/>
          <w:b w:val="false"/>
          <w:i w:val="false"/>
          <w:caps w:val="false"/>
          <w:smallCaps w:val="false"/>
          <w:sz w:val="20"/>
        </w:rPr>
        <w:t xml:space="preserve">. Parent shall have terminated each of those agreements listed on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First Effective Time (whether before or after adoption of this Agreement by the Company’s stockholders and whether before or after approval of the Parent Stockholder Matters by Parent’s shareholders, unless otherwise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if the Merger shall not have been consummated by April 14, 2027 (subject to possible extension as provided in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or the Company if a court of competent jurisdiction or other Governmental Authority shall have issued a final and nonappealable Order having the effect of permanently restraining, enjoining or otherwise prohibiting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if the Required Company Stockholder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Stockholder Vote has been obtained (whether timely or not), Parent may not terminate this Agreement pursuant to this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Parent or the Company if (i) the Parent Stockholder Meeting (including any adjournments and postponements thereof) shall have been held and completed and Parent’s shareholders shall have taken a final vote on the Parent Stockholder Matters and (ii) the Parent Stockholder Matters shall not have been approved at the Parent Stockholder Meeting (or at any adjournment or postponement thereof) by the Required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‎10.1(e)</w:t>
      </w:r>
      <w:r>
        <w:rPr>
          <w:rFonts w:ascii="Times New Roman;Times;Serif" w:hAnsi="Times New Roman;Times;Serif"/>
          <w:b w:val="false"/>
          <w:i w:val="false"/>
          <w:caps w:val="false"/>
          <w:smallCaps w:val="false"/>
          <w:sz w:val="20"/>
        </w:rPr>
        <w:t> shall not be available to Parent where the failure to obtain the Required Parent Stockholder Vote shall have been caused by the action or failure to act of Parent and such action or failure to act constitutes a material breach by Parent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(at any time prior to the approval of the Parent Stockholder Matters by the Required Parent Stockholder Vote) if a Parent Triggering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Parent (at any time prior to the adoption of this Agreement and the approval of the Contemplated Transactions by the Required Company Stockholder Vote) if a Company Triggering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by the Company, if a Delisting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is not then in material breach of any representation, warranty, covenant or agreement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(it being understood that the Company shall not be permitted to terminate this Agreement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as a result of such particular breach or inaccuracy if such breach by Parent or Merger Subs is cured prior to such termination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is not then in material breach of any representation, warranty, covenant or agreement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(it being understood that Parent shall not be permitted to terminate this Agreement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as a result of such particular breach or inaccuracy if such breach by the Company is cured prior to such termination becoming effective);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by Parent (at any time prior to the approval of the Parent Stockholder Matters by the Required Parent Stockholder Vote) and following compliance with all of the requirements set forth in the proviso to this </w:t>
      </w:r>
      <w:r>
        <w:rPr>
          <w:rFonts w:ascii="Times New Roman;Times;Serif" w:hAnsi="Times New Roman;Times;Serif"/>
          <w:b w:val="false"/>
          <w:i w:val="false"/>
          <w:caps w:val="false"/>
          <w:smallCaps w:val="false"/>
          <w:sz w:val="20"/>
          <w:u w:val="single"/>
        </w:rPr>
        <w:t>Section 10.1(k)</w:t>
      </w:r>
      <w:r>
        <w:rPr>
          <w:rFonts w:ascii="Times New Roman;Times;Serif" w:hAnsi="Times New Roman;Times;Serif"/>
          <w:b w:val="false"/>
          <w:i w:val="false"/>
          <w:caps w:val="false"/>
          <w:smallCaps w:val="false"/>
          <w:sz w:val="20"/>
        </w:rPr>
        <w:t xml:space="preserve">, upon the Parent Board authorizing Parent to enter into a Permitted Alternative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shall not enter into any Permitted Alternative Agreement unless: (i) Parent shall have complied in all material respects with its obligations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shall give a notice of such termination to the other Party specifying the provisions hereof pursuant to which such termination is made and the basis therefor described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this Agreement shall be of no further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‎11.8</w:t>
      </w:r>
      <w:r>
        <w:rPr>
          <w:rFonts w:ascii="Times New Roman;Times;Serif" w:hAnsi="Times New Roman;Times;Serif"/>
          <w:b w:val="false"/>
          <w:i w:val="false"/>
          <w:caps w:val="false"/>
          <w:smallCaps w:val="false"/>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shall not relieve any Party of any liability for fraud or for any willful and material breach of any representation, warranty, covenant, obligation or other provision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Expenses; 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this </w:t>
      </w:r>
      <w:r>
        <w:rPr>
          <w:rFonts w:ascii="Times New Roman;Times;Serif" w:hAnsi="Times New Roman;Times;Serif"/>
          <w:b w:val="false"/>
          <w:i w:val="false"/>
          <w:caps w:val="false"/>
          <w:smallCaps w:val="false"/>
          <w:sz w:val="20"/>
          <w:u w:val="single"/>
        </w:rPr>
        <w:t>Section ‎10.3, Section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the preparation and filing of the Registration Statement and any amendments and supplements thereto (including any fees payable to the SEC), (ii) the Nasdaq Fees, and (iii) the fees and expenses in connection with the printing, mailing and distribution of the Proxy Statement and any amendments and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(x) by Parent or the Company pursuant to </w:t>
      </w:r>
      <w:r>
        <w:rPr>
          <w:rFonts w:ascii="Times New Roman;Times;Serif" w:hAnsi="Times New Roman;Times;Serif"/>
          <w:b w:val="false"/>
          <w:i w:val="false"/>
          <w:caps w:val="false"/>
          <w:smallCaps w:val="false"/>
          <w:sz w:val="20"/>
          <w:u w:val="single"/>
        </w:rPr>
        <w:t>Section ‎10.1(e)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or (y)(i) by the Company pursuant to </w:t>
      </w:r>
      <w:r>
        <w:rPr>
          <w:rFonts w:ascii="Times New Roman;Times;Serif" w:hAnsi="Times New Roman;Times;Serif"/>
          <w:b w:val="false"/>
          <w:i w:val="false"/>
          <w:caps w:val="false"/>
          <w:smallCaps w:val="false"/>
          <w:sz w:val="20"/>
          <w:u w:val="single"/>
        </w:rPr>
        <w:t>Section ‎10.1(f)</w:t>
      </w:r>
      <w:r>
        <w:rPr>
          <w:rFonts w:ascii="Times New Roman;Times;Serif" w:hAnsi="Times New Roman;Times;Serif"/>
          <w:b w:val="false"/>
          <w:i w:val="false"/>
          <w:caps w:val="false"/>
          <w:smallCaps w:val="false"/>
          <w:sz w:val="20"/>
        </w:rPr>
        <w:t>,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actual liquidation, dissolution and winding up of Parent), then, in each case of (x) and (y), Parent shall pay to the Company, within five (5) Business Days after such termination of this Agreement or consummation of a Subsequent Transaction, as applicable, a nonrefundable fee in an amount equal to $330,000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this Agreement is terminated by Parent pursuant to (x) </w:t>
      </w:r>
      <w:r>
        <w:rPr>
          <w:rFonts w:ascii="Times New Roman;Times;Serif" w:hAnsi="Times New Roman;Times;Serif"/>
          <w:b w:val="false"/>
          <w:i w:val="false"/>
          <w:caps w:val="false"/>
          <w:smallCaps w:val="false"/>
          <w:sz w:val="20"/>
          <w:u w:val="single"/>
        </w:rPr>
        <w:t>Section 10.1(d)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or (y)(i) </w:t>
      </w:r>
      <w:r>
        <w:rPr>
          <w:rFonts w:ascii="Times New Roman;Times;Serif" w:hAnsi="Times New Roman;Times;Serif"/>
          <w:b w:val="false"/>
          <w:i w:val="false"/>
          <w:caps w:val="false"/>
          <w:smallCaps w:val="false"/>
          <w:sz w:val="20"/>
          <w:u w:val="single"/>
        </w:rPr>
        <w:t>Section 10.1(g)</w:t>
      </w:r>
      <w:r>
        <w:rPr>
          <w:rFonts w:ascii="Times New Roman;Times;Serif" w:hAnsi="Times New Roman;Times;Serif"/>
          <w:b w:val="false"/>
          <w:i w:val="false"/>
          <w:caps w:val="false"/>
          <w:smallCaps w:val="false"/>
          <w:sz w:val="20"/>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 (12) months after the date of such termination, the Company enters into a definitive agreement with respect to a Subsequent Transaction or consummates a Subsequent Transaction, then, in each case of (x) and (y), the Company shall pay to Parent, within five (5) Business Days after such termination of this Agreement, or consummation of a Subsequent Transaction, as applicable, a nonrefundable fee in an amount equal to $2,000,000 (the “</w:t>
      </w:r>
      <w:r>
        <w:rPr>
          <w:rFonts w:ascii="Times New Roman;Times;Serif" w:hAnsi="Times New Roman;Times;Serif"/>
          <w:b/>
          <w:i w:val="false"/>
          <w:caps w:val="false"/>
          <w:smallCaps w:val="false"/>
          <w:sz w:val="20"/>
        </w:rPr>
        <w:t>Parent Termination Fee</w:t>
      </w:r>
      <w:r>
        <w:rPr>
          <w:rFonts w:ascii="Times New Roman;Times;Serif" w:hAnsi="Times New Roman;Times;Serif"/>
          <w:b w:val="false"/>
          <w:i w:val="false"/>
          <w:caps w:val="false"/>
          <w:smallCaps w:val="false"/>
          <w:sz w:val="20"/>
        </w:rPr>
        <w:t>”), plus Parent’s reasonable and documented out-of-pocket third party expenses incurred in connection with the Contemplated Transactions in an amount not to exceed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either Party fails to pay when due any amount payable by it under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agree that, subject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the payment of the fees and expenses set forth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shall be the sole and exclusive remedy of each Party following a termination of this Agreement under the circumstances described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it being understood that in no event shall either Parent or the Company be required to pay the individual fees or damages payable pursuant to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on more than one occasion. Subject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following the payment of the fees and expenses set forth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are an integral part of the Contemplated Transactions, (y) without these agreements, the Parties would not enter into this Agreement and (z) any amount payable pursuant to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is not a penalty, but rather is liquidated damages in a reasonable amount that will compensate the Parties in the circumstances in which such amount is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‎10.3(e)</w:t>
      </w:r>
      <w:r>
        <w:rPr>
          <w:rFonts w:ascii="Times New Roman;Times;Serif" w:hAnsi="Times New Roman;Times;Serif"/>
          <w:b w:val="false"/>
          <w:i w:val="false"/>
          <w:caps w:val="false"/>
          <w:smallCaps w:val="false"/>
          <w:sz w:val="20"/>
        </w:rPr>
        <w:t xml:space="preserve"> shall limit the rights of the Parties under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survive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Entire Agreement; Counterparts; Exchanges by Electronic Transmission</w:t>
      </w:r>
      <w:r>
        <w:rPr>
          <w:rFonts w:ascii="Times New Roman;Times;Serif" w:hAnsi="Times New Roman;Times;Serif"/>
          <w:b w:val="false"/>
          <w:i w:val="false"/>
          <w:caps w:val="false"/>
          <w:smallCaps w:val="false"/>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only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(including Exhibit A to such Exhibit) and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Applicable Law; Jurisdiction; WAIVER OF RIGHT TO TRIAL BY JURY</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of this Agreement and (f)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 Virginia Manor Road, Suite 200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Beltsville, Maryland 20705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Sidley Austin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7th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Barr Harbor Dr, Suite 400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Conshohocken, PA 19428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Embarcadero Center, Suite 2600</w:t>
        <w:br/>
        <w:t>San Francisco, CA 94111</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Other Remedies; 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have caused this Agreement to be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593"/>
        <w:gridCol w:w="3041"/>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NextCure, Inc.</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NEPTUNE MERGER SUB CORP.</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NEPTUNE SECOND MERGER SUB, LLC</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have caused this Agreement to be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17"/>
        <w:gridCol w:w="2147"/>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Avere Therapeutics, Inc.</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White</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White</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2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Parent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Company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First Certificate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Second Certificate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5" w:name="tm2620428d1_ex10-1.htm"/>
      <w:bookmarkStart w:id="26" w:name="kstm2620428d1_ex10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14, 2026, by and among Avere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NextCure,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the undersigned stockholder of the Company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each of the Stockholder, Company, and Parent,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Capitalized terms used herein but not otherwise defined shall have the respective meanings ascribed to such terms in the Merger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hereof, Parent, the Company and Neptune Merger Sub Corp., a Delaware corporation and a wholly owned subsidiary of Parent (the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and Neptune Second Merger Sub, LLC a Delaware limited liability company (the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and, together with the First Merger Sub,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have entered into an Agreement and Plan of Merger and Reorganization (as such agreement may be amended or supplemented from time to time pursuant to the terms thereof,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the Stockholder is the beneficial owner (as defined in Rule 13d-3 under the Exchange Act) of such number of shares of Company Capital Stock as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inducement to the willingness of Parent, Merger Subs and the Company to enter into the Merger Agreement, Parent has required that Stockholder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all purposes of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Constructive Sale</w:t>
      </w:r>
      <w:r>
        <w:rPr>
          <w:rFonts w:ascii="Times New Roman;Times;Serif" w:hAnsi="Times New Roman;Times;Serif"/>
          <w:b w:val="false"/>
          <w:i w:val="false"/>
          <w:caps w:val="false"/>
          <w:smallCaps w:val="false"/>
          <w:sz w:val="20"/>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materially changing the economic benefits or risks of ownership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means (i) all shares of Company Capital Stock and any other equity securities of the Company beneficially owned by the Stockholder as of the date hereof, including such securities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(ii) all additional shares of Company Capital Stock acquired, whether beneficially owned or of record, by the Stockholder during the period commencing with the execution and delivery of this Agreement and expiring on the Expiration Date (as defined below),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 and Voting Restrictions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permitted by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or otherwise vote in favor of Company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on or about the Closing Date from the Company pursuant to the Company Pre-Closing Financing, (vi) pursuant to applicable Law or by operation of law pursuant to a qualified domestic relations order or in connection with a divorce settlement and (vii) pursuant to the exercise of any option to purchase any Company Capital Stock or settlement of any restricted stock units, including in order to pay the exercise price of such option or otherwise satisfy taxes applicable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cases of clauses (i)-(vii) (except clause (v)),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shall be null and void ab initio.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nothing in this Agreement shall obligate the Stockholder to exercise any option or any other right to acquire any shares of Company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Action in Stockholder Capacity Only</w:t>
      </w:r>
      <w:r>
        <w:rPr>
          <w:rFonts w:ascii="Times New Roman;Times;Serif" w:hAnsi="Times New Roman;Times;Serif"/>
          <w:b w:val="false"/>
          <w:i w:val="false"/>
          <w:caps w:val="false"/>
          <w:smallCaps w:val="false"/>
          <w:sz w:val="20"/>
        </w:rPr>
        <w:t>.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act as an officer or director of the Company.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his, her or its name, place and stead, to (a) attend any all meetings of the Company stockholders with respect to any of the matters specified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Section 9. Notwithstanding any other provisions of this Agreement, the irrevocable proxy granted hereunder shall automatically terminate on the Expiration Date. The Stockholder hereby affirms that the proxy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given in connection with and granted in consideration of and as an inducement to the Company, Parent and the Merger Subs to enter into the Merger Agreement and that such proxy is given to secure the obligations of the Stockholder under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The Stockholder hereby represents and warrants that the Stockholder has read Section 5.4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Exercise of Appraisal Rights; Waivers</w:t>
      </w:r>
      <w:r>
        <w:rPr>
          <w:rFonts w:ascii="Times New Roman;Times;Serif" w:hAnsi="Times New Roman;Times;Serif"/>
          <w:b w:val="false"/>
          <w:i w:val="false"/>
          <w:caps w:val="false"/>
          <w:smallCaps w:val="false"/>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Stockholder is the beneficial owner of the shares of Company Capital Stock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(each of which shall be deemed to be “held” by the Stockholder for purposes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unless otherwise expressly stated with respect to any shares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free and clear of any and all Encumbrances (except, if applicable,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rights to purchase shares of Company Capital Stock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Certain Agreements</w:t>
      </w:r>
      <w:r>
        <w:rPr>
          <w:rFonts w:ascii="Times New Roman;Times;Serif" w:hAnsi="Times New Roman;Times;Serif"/>
          <w:b w:val="false"/>
          <w:i w:val="false"/>
          <w:caps w:val="false"/>
          <w:smallCaps w:val="false"/>
          <w:sz w:val="20"/>
        </w:rPr>
        <w:t>.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(such date,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of this Agreement shall be effective against any Party unless it shall be in writing and signed by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Entire Agreement; Counterparts; Exchanges by Electronic Transmission or Facsimile</w:t>
      </w:r>
      <w:r>
        <w:rPr>
          <w:rFonts w:ascii="Times New Roman;Times;Serif" w:hAnsi="Times New Roman;Times;Serif"/>
          <w:b w:val="false"/>
          <w:i w:val="false"/>
          <w:caps w:val="false"/>
          <w:smallCaps w:val="false"/>
          <w:sz w:val="20"/>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Times;Serif" w:hAnsi="Times New Roman;Times;Serif"/>
          <w:b w:val="false"/>
          <w:i w:val="false"/>
          <w:caps w:val="false"/>
          <w:smallCaps w:val="false"/>
          <w:sz w:val="20"/>
          <w:u w:val="single"/>
        </w:rPr>
        <w:t>Section ‎12(c)</w:t>
      </w:r>
      <w:r>
        <w:rPr>
          <w:rFonts w:ascii="Times New Roman;Times;Serif" w:hAnsi="Times New Roman;Times;Serif"/>
          <w:b w:val="false"/>
          <w:i w:val="false"/>
          <w:caps w:val="false"/>
          <w:smallCaps w:val="false"/>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‎12‎(h)</w:t>
      </w:r>
      <w:r>
        <w:rPr>
          <w:rFonts w:ascii="Times New Roman;Times;Serif" w:hAnsi="Times New Roman;Times;Serif"/>
          <w:b w:val="false"/>
          <w:i w:val="false"/>
          <w:caps w:val="false"/>
          <w:smallCaps w:val="false"/>
          <w:sz w:val="20"/>
        </w:rPr>
        <w:t> of this Agreement and (vi)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Third-Party Rights</w:t>
      </w:r>
      <w:r>
        <w:rPr>
          <w:rFonts w:ascii="Times New Roman;Times;Serif" w:hAnsi="Times New Roman;Times;Serif"/>
          <w:b w:val="false"/>
          <w:i w:val="false"/>
          <w:caps w:val="false"/>
          <w:smallCaps w:val="false"/>
          <w:sz w:val="20"/>
        </w:rPr>
        <w:t>. Nothing in this Agreement, express or implied, is intended to or shall confer upon any Person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of this Agreement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Avere therapeutics, iNC.</w:t>
      </w:r>
    </w:p>
    <w:p>
      <w:pPr>
        <w:pStyle w:val="TextBody"/>
        <w:bidi w:val="0"/>
        <w:spacing w:before="0" w:after="0"/>
        <w:ind w:left="0" w:right="0" w:hanging="0"/>
        <w:jc w:val="left"/>
        <w:rPr>
          <w:caps w:val="false"/>
          <w:smallCaps w:val="false"/>
        </w:rPr>
      </w:pPr>
      <w:r>
        <w:rPr>
          <w:caps w:val="false"/>
          <w:smallCaps w:val="false"/>
        </w:rPr>
        <w:t> </w:t>
      </w:r>
    </w:p>
    <w:tbl>
      <w:tblPr>
        <w:tblW w:w="634" w:type="dxa"/>
        <w:jc w:val="left"/>
        <w:tblInd w:w="0" w:type="dxa"/>
        <w:tblLayout w:type="fixed"/>
        <w:tblCellMar>
          <w:top w:w="0" w:type="dxa"/>
          <w:left w:w="0" w:type="dxa"/>
          <w:bottom w:w="0" w:type="dxa"/>
          <w:right w:w="0" w:type="dxa"/>
        </w:tblCellMar>
      </w:tblPr>
      <w:tblGrid>
        <w:gridCol w:w="459"/>
        <w:gridCol w:w="100"/>
        <w:gridCol w:w="75"/>
      </w:tblGrid>
      <w:tr>
        <w:trPr/>
        <w:tc>
          <w:tcPr>
            <w:tcW w:w="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Parent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NEXTCURE, INC.</w:t>
      </w:r>
    </w:p>
    <w:p>
      <w:pPr>
        <w:pStyle w:val="TextBody"/>
        <w:bidi w:val="0"/>
        <w:spacing w:before="0" w:after="0"/>
        <w:ind w:left="0" w:right="0" w:hanging="0"/>
        <w:jc w:val="left"/>
        <w:rPr>
          <w:caps w:val="false"/>
          <w:smallCaps w:val="false"/>
        </w:rPr>
      </w:pPr>
      <w:r>
        <w:rPr>
          <w:caps w:val="false"/>
          <w:smallCaps w:val="false"/>
        </w:rPr>
        <w:t> </w:t>
      </w:r>
    </w:p>
    <w:tbl>
      <w:tblPr>
        <w:tblW w:w="634" w:type="dxa"/>
        <w:jc w:val="left"/>
        <w:tblInd w:w="0" w:type="dxa"/>
        <w:tblLayout w:type="fixed"/>
        <w:tblCellMar>
          <w:top w:w="0" w:type="dxa"/>
          <w:left w:w="0" w:type="dxa"/>
          <w:bottom w:w="0" w:type="dxa"/>
          <w:right w:w="0" w:type="dxa"/>
        </w:tblCellMar>
      </w:tblPr>
      <w:tblGrid>
        <w:gridCol w:w="459"/>
        <w:gridCol w:w="100"/>
        <w:gridCol w:w="75"/>
      </w:tblGrid>
      <w:tr>
        <w:trPr/>
        <w:tc>
          <w:tcPr>
            <w:tcW w:w="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w:t>
        <w:br/>
        <w:t>in his/her capacity as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20428d1_ex10-2.htm"/>
      <w:bookmarkStart w:id="28" w:name="kstm2620428d1_ex102"/>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14, 2026, by and among Avere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NextCure,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the undersigned stockholder of Parent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each of the Stockholder, Company, and Parent,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Capitalized terms used herein but not otherwise defined shall have the respective meanings ascribed to such terms in the Merger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hereof, Parent, the Company and Neptune Merger Sub Corp., a Delaware corporation and a wholly owned subsidiary of Parent (the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and Neptune Second Merger Sub, LLC a Delaware limited liability company (the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and, together with First Merger Sub,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have entered into an Agreement and Plan of Merger and Reorganization (as such agreement may be amended or supplemented from time to time pursuant to the terms thereof,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the Stockholder is the beneficial owner (as defined in Rule 13d-3 under the Exchange Act) of such number of shares of Parent Capital Stock as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inducement to the willingness of Parent, Mergers Subs and the Company to enter into the Merger Agreement, Parent has required that Stockholder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all purposes of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Constructive Sale</w:t>
      </w:r>
      <w:r>
        <w:rPr>
          <w:rFonts w:ascii="Times New Roman;Times;Serif" w:hAnsi="Times New Roman;Times;Serif"/>
          <w:b w:val="false"/>
          <w:i w:val="false"/>
          <w:caps w:val="false"/>
          <w:smallCaps w:val="false"/>
          <w:sz w:val="20"/>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materially changing the economic benefits or risks of ownership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means (i) all shares of Parent Capital Stock and any other equity securities of Parent beneficially owned by the Stockholder as of the date hereof, including such securities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(ii) all additional shares of Parent Capital Stock acquired, whether beneficially owned or of record, by the Stockholder during the period commencing with the execution and delivery of this Agreement and expiring on the Expiration Date (as defined below), and (iii) any shares of Parent Capital Stock or other equity securities of Parent that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 and Voting Restrictions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permitted by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vote the Stockholder’s Shares in favor of the Parent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stockholders pursuant to the Stockholder’s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shall be null and void ab initio.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nothing in this Agreement shall obligate the Stockholder to exercise any option or any other right to acquire any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Expiration Date, at every meeting of the Stockholders of Parent called to vote upon the Parent Stockholder Matters, however called, and at every adjournment or postponement thereof, and on every action or approval by written consent of the stockholders of Parent, the Stockholder shall be present (in person or by proxy) and vote, or exercise its right to consent with respect to, all Shares held by the Stockholder (A) in favor of the Parent Stockholder Matters, and (B)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Action in Stockholder Capacity Only</w:t>
      </w:r>
      <w:r>
        <w:rPr>
          <w:rFonts w:ascii="Times New Roman;Times;Serif" w:hAnsi="Times New Roman;Times;Serif"/>
          <w:b w:val="false"/>
          <w:i w:val="false"/>
          <w:caps w:val="false"/>
          <w:smallCaps w:val="false"/>
          <w:sz w:val="20"/>
        </w:rPr>
        <w:t>. The Stockholder is entering into this Agreement solely in the Stockholder’s capacity as a record holder and beneficial owner, as applicable, of its Shares and not in the Stockholder’s capacity as a director or officer of Parent. Nothing herein shall limit or affect the Stockholder’s ability to act as an officer or director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at any applicable meeting of the stockholders of Parent or pursuant to any applicable written consent of the stockholders of Parent, the Stockholder shall be deemed to have irrevocably granted to, and appointed, Parent and any individual designated in writing by it, and each of them individually, as his, her or its proxy and attorney-in-fact (with full power of substitution), for and in his, her or its name, place and stead, to (a) attend any all meetings of the Parent stockholders with respect to any of the matters specified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Agreement. Parent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Notwithstanding any other provisions of this Agreement, the irrevocable proxy granted hereunder shall automatically terminate on the Expiration Date. The Stockholder hereby affirms that the proxy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given in connection with and granted in consideration of and as an inducement to Parent, Mergers Subs and the Company to enter into the Merger Agreement and that such proxy is given to secure the obligations of the Stockholder under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The Stockholder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The Stockholder hereby represents and warrants that the Stockholder has read Section 5.4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Stockholder is the beneficial or record owner of the shares of Parent Capital Stock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(each of which shall be deemed to be “held” by the Stockholder for purposes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unless otherwise expressly stated with respect to any shares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free and clear of any and all Encumbrances (except, if applicable, for any Encumbrance that may be imposed pursuant to this Agreement and Encumbrances arising under applicable securities or community property laws); and (ii) the Stockholder does not beneficially own any securities of Parent other than the shares of Parent Capital Stock and rights to purchase shares of Parent Capital Stock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Stockholder, in a manner that affects the economics or material terms of the Merger Agreement in a manner that is adverse to the Stockholder and (d) the time this Agreement is terminated upon the written agreement of the Stockholder, the Company and Parent (such date,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of this Agreement shall be effective against any Party unless it shall be in writing and signed by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Entire Agreement; Counterparts; Exchanges by Electronic Transmission or Facsimile</w:t>
      </w:r>
      <w:r>
        <w:rPr>
          <w:rFonts w:ascii="Times New Roman;Times;Serif" w:hAnsi="Times New Roman;Times;Serif"/>
          <w:b w:val="false"/>
          <w:i w:val="false"/>
          <w:caps w:val="false"/>
          <w:smallCaps w:val="false"/>
          <w:sz w:val="20"/>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10(h)</w:t>
      </w:r>
      <w:r>
        <w:rPr>
          <w:rFonts w:ascii="Times New Roman;Times;Serif" w:hAnsi="Times New Roman;Times;Serif"/>
          <w:b w:val="false"/>
          <w:i w:val="false"/>
          <w:caps w:val="false"/>
          <w:smallCaps w:val="false"/>
          <w:sz w:val="20"/>
        </w:rPr>
        <w:t> of this Agreement and (vi)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Third-Party Rights</w:t>
      </w:r>
      <w:r>
        <w:rPr>
          <w:rFonts w:ascii="Times New Roman;Times;Serif" w:hAnsi="Times New Roman;Times;Serif"/>
          <w:b w:val="false"/>
          <w:i w:val="false"/>
          <w:caps w:val="false"/>
          <w:smallCaps w:val="false"/>
          <w:sz w:val="20"/>
        </w:rPr>
        <w:t>. Nothing in this Agreement, express or implied, is intended to or shall confer upon any Person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of this Agreement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Stockholder may disclose such information to its Affiliates, attorneys, accountants, consultants, and other advisors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Persons are subject to confidentiality obligations at least as restrictive as those contained herein). Neither the Stockholder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368"/>
        <w:gridCol w:w="2396"/>
        <w:gridCol w:w="75"/>
      </w:tblGrid>
      <w:tr>
        <w:trPr/>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AVERE THERAPEUTICS, INC.</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Parent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Parent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35"/>
        <w:gridCol w:w="2180"/>
        <w:gridCol w:w="75"/>
      </w:tblGrid>
      <w:tr>
        <w:trPr/>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NEXTCURE, INC.</w:t>
            </w:r>
          </w:p>
        </w:tc>
        <w:tc>
          <w:tcPr>
            <w:tcW w:w="75" w:type="dxa"/>
            <w:tcBorders/>
            <w:vAlign w:val="center"/>
          </w:tcPr>
          <w:p>
            <w:pPr>
              <w:pStyle w:val="TableContents"/>
              <w:bidi w:val="0"/>
              <w:spacing w:before="0" w:after="283"/>
              <w:jc w:val="left"/>
              <w:rPr/>
            </w:pPr>
            <w:r>
              <w:rPr/>
              <w:t> </w:t>
            </w:r>
          </w:p>
        </w:tc>
      </w:tr>
      <w:tr>
        <w:trPr/>
        <w:tc>
          <w:tcPr>
            <w:tcW w:w="25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5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25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Parent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w:t>
        <w:br/>
        <w:t>in his/her capacity as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Parent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20428d1_ex10-3.htm"/>
      <w:bookmarkStart w:id="30" w:name="kstm2620428d1_ex103"/>
      <w:bookmarkEnd w:id="29"/>
      <w:bookmarkEnd w:id="3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SEC</w:t>
      </w:r>
      <w:r>
        <w:rPr>
          <w:rFonts w:ascii="Times New Roman;Times;Serif" w:hAnsi="Times New Roman;Times;Serif"/>
          <w:b/>
          <w:i w:val="false"/>
          <w:caps w:val="false"/>
          <w:smallCaps w:val="false"/>
          <w:sz w:val="20"/>
        </w:rPr>
        <w:t>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 2026, by and among Avere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each of the Persons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 (each,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Investors are executing and delivering this Agreement in reliance upon the exemption from securities registration afforded by Section 4(a)(2) of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sell to the Investors, and each Investor desires to purchase from the Company, severally and not jointly, upon the terms and subject to the conditions stated in this Agreement, (A) shares (the “</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including Common Stock being issued pursuant to any cancellation or conversion of Convertible Securities (as defined below) at a per share purchase price equal to the Share Price, and/or (B) the pre-funded warrants to purchase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 a per warrant price equal to the Pre-Funded Warrant Price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contemporaneously with the sale of the Initial Shares and/or the Pre-Funded Warrants at Closing, the parties hereto will execute and deliver a Registration Rights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pursuant to which the Company will agree to provide certain registration rights in respect of the Shares (as defined below) under the Securities Act and applicable state securities laws;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Agreement and Plan of Merger and Reorganization by and among the Company, NextCure,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Neptune Merger Sub Corp., a Delaware corporation and wholly-owned subsidiary of Parent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and Neptune Second Merger Sub, LLC, a Delaware limited liability company and wholly owned subsidiary of Parent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dated July 14, 2026 (as amended from time to time, including on or around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(i) First Merger Sub will merge with and into Company, with Company surviving and becoming a wholly-owned subsidiary of Parent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following the First Merger and as part of the same overall transaction as the First Merger, the Company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 and (iii) Parent will change its name to Avere Therapeutics, Inc.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representations, warranties and covenants herein contained, the Company and each Investor, severally and not jointly,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2025 SEC Reports</w:t>
      </w:r>
      <w:r>
        <w:rPr>
          <w:rFonts w:ascii="Times New Roman;Times;Serif" w:hAnsi="Times New Roman;Times;Serif"/>
          <w:b w:val="false"/>
          <w:i w:val="false"/>
          <w:caps w:val="false"/>
          <w:smallCaps w:val="false"/>
          <w:sz w:val="20"/>
        </w:rPr>
        <w:t>” means (a) Parent’s Annual Report on Form 10-K for the fiscal year ended December 31, 2025 and (b) any Quarterly Reports on Form 10-Q or any Current Reports on Form 8-K filed or furnished (as applicable) by Parent after January 1, 2026 and prior to the Business Day immediately preceding the date hereof, together in each case with any documents incorporated by reference therein or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Amended and Restated Bylaws</w:t>
      </w:r>
      <w:r>
        <w:rPr>
          <w:rFonts w:ascii="Times New Roman;Times;Serif" w:hAnsi="Times New Roman;Times;Serif"/>
          <w:b w:val="false"/>
          <w:i w:val="false"/>
          <w:caps w:val="false"/>
          <w:smallCaps w:val="false"/>
          <w:sz w:val="20"/>
        </w:rPr>
        <w:t>” means the bylaws of the Company, as currently in effect and as in effect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Amended and Restated Certificate of Incorporation</w:t>
      </w:r>
      <w:r>
        <w:rPr>
          <w:rFonts w:ascii="Times New Roman;Times;Serif" w:hAnsi="Times New Roman;Times;Serif"/>
          <w:b w:val="false"/>
          <w:i w:val="false"/>
          <w:caps w:val="false"/>
          <w:smallCaps w:val="false"/>
          <w:sz w:val="20"/>
        </w:rPr>
        <w:t>” means the Certificate of Incorporation of the Company, as currently in effect and as in effect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Avere Therapeutics, Inc. for all periods prior to the Effective Time and TopCo for all periods following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Presentation</w:t>
      </w:r>
      <w:r>
        <w:rPr>
          <w:rFonts w:ascii="Times New Roman;Times;Serif" w:hAnsi="Times New Roman;Times;Serif"/>
          <w:b w:val="false"/>
          <w:i w:val="false"/>
          <w:caps w:val="false"/>
          <w:smallCaps w:val="false"/>
          <w:sz w:val="20"/>
        </w:rPr>
        <w:t>” means that certain Avere Therapeutics Overview Presentation, dated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Security</w:t>
      </w:r>
      <w:r>
        <w:rPr>
          <w:rFonts w:ascii="Times New Roman;Times;Serif" w:hAnsi="Times New Roman;Times;Serif"/>
          <w:b w:val="false"/>
          <w:i w:val="false"/>
          <w:caps w:val="false"/>
          <w:smallCaps w:val="false"/>
          <w:sz w:val="20"/>
        </w:rPr>
        <w:t>” means a convertible note issued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Drug Regulatory Agency</w:t>
      </w:r>
      <w:r>
        <w:rPr>
          <w:rFonts w:ascii="Times New Roman;Times;Serif" w:hAnsi="Times New Roman;Times;Serif"/>
          <w:b w:val="false"/>
          <w:i w:val="false"/>
          <w:caps w:val="false"/>
          <w:smallCaps w:val="false"/>
          <w:sz w:val="20"/>
        </w:rPr>
        <w:t>” means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Representations</w:t>
      </w:r>
      <w:r>
        <w:rPr>
          <w:rFonts w:ascii="Times New Roman;Times;Serif" w:hAnsi="Times New Roman;Times;Serif"/>
          <w:b w:val="false"/>
          <w:i w:val="false"/>
          <w:caps w:val="false"/>
          <w:smallCaps w:val="false"/>
          <w:sz w:val="20"/>
        </w:rPr>
        <w:t xml:space="preserve">” means the representations and warranties made by the Company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(Organization and Power),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(Valid Issuance) and </w:t>
      </w:r>
      <w:r>
        <w:rPr>
          <w:rFonts w:ascii="Times New Roman;Times;Serif" w:hAnsi="Times New Roman;Times;Serif"/>
          <w:b w:val="false"/>
          <w:i w:val="false"/>
          <w:caps w:val="false"/>
          <w:smallCaps w:val="false"/>
          <w:sz w:val="20"/>
          <w:u w:val="single"/>
        </w:rPr>
        <w:t>‎3.26</w:t>
      </w:r>
      <w:r>
        <w:rPr>
          <w:rFonts w:ascii="Times New Roman;Times;Serif" w:hAnsi="Times New Roman;Times;Serif"/>
          <w:b w:val="false"/>
          <w:i w:val="false"/>
          <w:caps w:val="false"/>
          <w:smallCaps w:val="false"/>
          <w:sz w:val="20"/>
        </w:rPr>
        <w:t xml:space="preserve"> (Brokers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Hansoh License Agreement</w:t>
      </w:r>
      <w:r>
        <w:rPr>
          <w:rFonts w:ascii="Times New Roman;Times;Serif" w:hAnsi="Times New Roman;Times;Serif"/>
          <w:b w:val="false"/>
          <w:i w:val="false"/>
          <w:caps w:val="false"/>
          <w:smallCaps w:val="false"/>
          <w:sz w:val="20"/>
        </w:rPr>
        <w:t>” means that certain license agreement, dated as of June 15, 2026, by and between the Company and Shanghai Hansoh Biomedical Co., a company organized under the laws of the People’s Republic of China (“</w:t>
      </w:r>
      <w:r>
        <w:rPr>
          <w:rFonts w:ascii="Times New Roman;Times;Serif" w:hAnsi="Times New Roman;Times;Serif"/>
          <w:b/>
          <w:i w:val="false"/>
          <w:caps w:val="false"/>
          <w:smallCaps w:val="false"/>
          <w:sz w:val="20"/>
        </w:rPr>
        <w:t>Hansoh</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have the meanings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 Majority</w:t>
      </w:r>
      <w:r>
        <w:rPr>
          <w:rFonts w:ascii="Times New Roman;Times;Serif" w:hAnsi="Times New Roman;Times;Serif"/>
          <w:b w:val="false"/>
          <w:i w:val="false"/>
          <w:caps w:val="false"/>
          <w:smallCaps w:val="false"/>
          <w:sz w:val="20"/>
        </w:rPr>
        <w:t>” means, (i) prior to the Closing, the Investors committed to purchase at least a majority of the Securities, which majority shall include any Investor who, together with any affiliated or related funds or commonly managed funds, has committed to purchase at least $30 million of the Securities, and (ii) following the Closing, the Investors who hold (as of such time) at least a majority of the Securities (in each case, including any Pre-Funded Warrant Shares issuable upon full exercise of the Pre-Funded Warrants without regard to any limitation on the exercise of the Pre-Funded Warrants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general financial, credit or capital market conditions, including interest rates or exchange rates, or any changes therein, provided that the Company or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that generally affects industries in which the Company and its Subsidiaries conduct business, provided that the Company and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changes in laws after the date of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Exchange</w:t>
      </w:r>
      <w:r>
        <w:rPr>
          <w:rFonts w:ascii="Times New Roman;Times;Serif" w:hAnsi="Times New Roman;Times;Serif"/>
          <w:b w:val="false"/>
          <w:i w:val="false"/>
          <w:caps w:val="false"/>
          <w:smallCaps w:val="false"/>
          <w:sz w:val="20"/>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means each of Jefferies LLC and Wedbush.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 Price</w:t>
      </w:r>
      <w:r>
        <w:rPr>
          <w:rFonts w:ascii="Times New Roman;Times;Serif" w:hAnsi="Times New Roman;Times;Serif"/>
          <w:b w:val="false"/>
          <w:i w:val="false"/>
          <w:caps w:val="false"/>
          <w:smallCaps w:val="false"/>
          <w:sz w:val="20"/>
        </w:rPr>
        <w:t>” means an amount equal to (i) the Share Price minus (ii) $0.0001.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‎6.1(j)</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means an amount equal to (i) the Company Valuation (as defined in the Merger Agreement but excluding the amount of proceeds actually received by the Company hereunder), divided by (ii) the number of Company Outstanding Shares (as defined in the Merger Agreement but excluding the Securities being issued hereunder) as of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the Initial Shares and the Pre-Funded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the Merger Agreement, the Pre-Funded Warrants, the Registration Rights Agreement and any other documents or agreements explicitly contemplated hereunder or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with respect to the Common Stock, Computershare Trust Company, N.A., or such other financial institution that provides transfer agent services as Topco may engage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“Commitment Amount” and opposite such Investor’s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Commitment Amount</w:t>
      </w:r>
      <w:r>
        <w:rPr>
          <w:rFonts w:ascii="Times New Roman;Times;Serif" w:hAnsi="Times New Roman;Times;Serif"/>
          <w:b w:val="false"/>
          <w:i w:val="false"/>
          <w:caps w:val="false"/>
          <w:smallCaps w:val="false"/>
          <w:sz w:val="20"/>
        </w:rPr>
        <w:t xml:space="preserve">”) divided by (ii) the Share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any Investor that has provided notice to the Company at least ten (10) Business Days 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 Warrants).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increase prior to the Closing will not be effective until the sixty-first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Notwithstanding anything to the contrary set forth in this Agreement, for any Investor that has provided notice to the Company that this sentence shall apply to it, (i) the Investor shall not be required to purchase Pre-Funded Warrants and (ii)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19.99% (or such other percentage notified to the Company by any Investor)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Subject to the satisfaction or waiver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closing of the purchase and sale of the Securities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occur remotely via the exchange of documents and signatures immediately prior to the First Effective Time (as defined in the Merger Agreement), or at such other time as agreed to by the Company and the Investor Majority. Not less than three (3) Business Days prior to the anticipated Closing Date, the Company shall provide written notice to the Investors (the “</w:t>
      </w:r>
      <w:r>
        <w:rPr>
          <w:rFonts w:ascii="Times New Roman;Times;Serif" w:hAnsi="Times New Roman;Times;Serif"/>
          <w:b/>
          <w:i w:val="false"/>
          <w:caps w:val="false"/>
          <w:smallCaps w:val="false"/>
          <w:sz w:val="20"/>
          <w:u w:val="single"/>
        </w:rPr>
        <w:t>Closing Notice</w:t>
      </w:r>
      <w:r>
        <w:rPr>
          <w:rFonts w:ascii="Times New Roman;Times;Serif" w:hAnsi="Times New Roman;Times;Serif"/>
          <w:b w:val="false"/>
          <w:i w:val="false"/>
          <w:caps w:val="false"/>
          <w:smallCaps w:val="false"/>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and type of Securities to be purchased by such Investor at such Closing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in each case against payment to the Company of the purchase price therefor (the “</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in full, either by (x) wire transfer to the Company of immediately available funds (a “</w:t>
      </w:r>
      <w:r>
        <w:rPr>
          <w:rFonts w:ascii="Times New Roman;Times;Serif" w:hAnsi="Times New Roman;Times;Serif"/>
          <w:b/>
          <w:i w:val="false"/>
          <w:caps w:val="false"/>
          <w:smallCaps w:val="false"/>
          <w:sz w:val="20"/>
        </w:rPr>
        <w:t>Wire</w:t>
      </w:r>
      <w:r>
        <w:rPr>
          <w:rFonts w:ascii="Times New Roman;Times;Serif" w:hAnsi="Times New Roman;Times;Serif"/>
          <w:b w:val="false"/>
          <w:i w:val="false"/>
          <w:caps w:val="false"/>
          <w:smallCaps w:val="false"/>
          <w:sz w:val="20"/>
        </w:rPr>
        <w:t xml:space="preserve">”), at or prior to the Closing, in accordance with wire instructions provided by the Company to the Investors in the Closing Notice; (y) the cancellation of Convertible Securities or other debt of the Company or its Subsidiaries (including any outstanding principal, interest or any other amounts due thereon) set forth under the heading “Convertible Securities Amount” and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(any such cancellation, a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or (z) a combination of such methods. On the Closing Date, the Company will (A) cause the Transfer Agent to issue the Initial Shares in book-entry form, free and clear of all restrictive and other legends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with respect to such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this Agreement has been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up to three (3) Business Days prior to the Closing, without the consent of the other parties hereto, to reflect the number of Securities purchased, the Aggregate Purchase Amount to be paid and the Convertible Securities Amount to be Contributed, in each case, by each applicable Investor (provided that, except as contemplated herein, no Investor’s aggregate commitment amount set forth under the heading “Commitment Amount”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may be reduced or increased without such Investor’s prior written consent (not to be unreasonably withheld, conditioned or delayed), and shall provide such updated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Conversion and Termination of Convertible Securities</w:t>
      </w:r>
      <w:r>
        <w:rPr>
          <w:rFonts w:ascii="Times New Roman;Times;Serif" w:hAnsi="Times New Roman;Times;Serif"/>
          <w:b w:val="false"/>
          <w:i w:val="false"/>
          <w:caps w:val="false"/>
          <w:smallCaps w:val="false"/>
          <w:sz w:val="20"/>
        </w:rPr>
        <w:t>. Notwithstanding anything in this Agreement to the contrary, by executing and delivering this Agreement, each Investor holding one or more Convertible Securities prior to the Closing hereby irrevocably agrees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aggregate amount of all such Convertible Securities (including any outstanding principal, interest or any other amounts) held by such Investor is set forth under the heading “Convertible Securities Amount” and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Investor is the sole owner of all right, title and interest in and to the Convertible Securities corresponding to the amounts set forth under the heading “Convertible Securities Amount” and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Closing, (i) all of such Investor’s Convertible Securities will automatically and without any action on the part of such Investor convert into that number of Securities as is calculated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based on such Investor’s Aggregate Purchase Amount (whether paid via Wire or Contribution), regardless of whether any such Convertible Securities or an affidavit of loss therefor is actually delivered in original or other form to the Company, and (ii) any original Convertible Securities held by (or delivered, electronically or otherwise, to) the Company or any Subsidiary, as applicable, shall be cancelled (and marked cancelled) by the Company or any Subsidiary, as applicable, upon or following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any Contribution by such Investor, (i) such Investor (on behalf of itself and all beneficial owners of such Investor’s Convertible Securities) and Company (on behalf of itself and its Subsidiaries) hereby agree that any Convertible Securities that are Contributed hereby are and will be deemed for all purposes to have been amended and modified by virtue hereof to the full extent necessary to permit and facilitate their conversion as provided in this Agreement into Securities and (ii) such Investor’s Securities are issued in full and complete discharge and satisfaction of all obligations of the Company or its Subsidiaries, as applicable (including any outstanding principal, interest or any other amounts) under such Investor’s Convertible Securities, and such Convertible Securities will be terminated in full and will be null, void and of no further force or effect automatically immediately upon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will not impair the right of such Investor to receive the applicable number of Securities calculated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and its Subsidiaries, affiliates, and agents shall be entitled to deduct and withhold from the amounts deliverable in satisfaction of such Investor’s Convertible Securities (including any Securities otherwise issuable with respect thereto) such amounts, if any, as are required to be deducted and withheld under the Code or any other applicable tax law. To the extent that amounts are so deducted and withheld and duly paid over to the appropriate tax authority, such withheld amounts shall be treated for all purposes of this Agreement as having been delivered to the person in respect of whom such deduction and withholding was made. Each person holding Convertible Securities shall, upon request, use its commercially reasonable efforts to provide the applicable withholding agent with all necessary tax forms, including a duly executed IRS Form W-9 or appropriate version of IRS Form W-8, as applicable. Prior to withholding any amounts pursuant to this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the Company (and its Subsidiaries, affiliates, and agents) shall use commercially reasonable efforts to notify such Investor, and the Company and such Investor shall cooperate in good faith to reduce or eliminate any such withholding.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hereby represents and warrants to each of the Investors and the Placement Agents that the statements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true and correct as of the date hereof and as of the Closing Date (except for the representations and warranties that speak as of a specific date, which shall be made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(collectively,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authorized capital stock of the Company consists of 37,805,556 shares of Common Stock and 35,583,334 shares of preferred stock, par value $0.0001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for any employment agreement entered into in the ordinary course of business, there are no securities or instruments issued by or to which the Company is a party containing anti-dilution or similar provisions that will be triggered (which, for the avoidance of doubt, excludes any such anti-dilution or similar provision that will be waived in connection with the transactions contemplated by this Agreement and the Merger Agreement) by the issuance of the Securities pursuant to this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the approval of the Board of Directors (or a committee thereof) in accordance with Sections 144(a)(1) and 144(b)(1) of the General Corporation Law of the State of Delaware to the extent applicable. This Agreement has been duly executed and delivered by the Company and assuming the due authorization, execution and delivery by each Investor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Subject to the accuracy of the representations and warranties made by the Investors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w:t>
      </w:r>
      <w:r>
        <w:rPr>
          <w:rFonts w:ascii="Times New Roman;Times;Serif" w:hAnsi="Times New Roman;Times;Serif"/>
          <w:b w:val="false"/>
          <w:i w:val="false"/>
          <w:caps w:val="false"/>
          <w:smallCaps w:val="false"/>
          <w:sz w:val="20"/>
          <w:shd w:fill="FFFFFF" w:val="clear"/>
        </w:rPr>
        <w:t>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w:t>
      </w:r>
      <w:r>
        <w:rPr>
          <w:rFonts w:ascii="Times New Roman;Times;Serif" w:hAnsi="Times New Roman;Times;Serif"/>
          <w:b w:val="false"/>
          <w:i w:val="false"/>
          <w:caps w:val="false"/>
          <w:smallCaps w:val="false"/>
          <w:sz w:val="20"/>
        </w:rPr>
        <w:t>except, in the case of clauses (ii) and (iii), as would not, individually or in the aggregate, be reasonably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Assuming the accuracy of the representations and warranties of the Investors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Securities and the Pre-Funded Warrant Shares and the listing of the Shares and Pre-Funded Warrant Shares for trading or quotation, as the case may be, thereon in the time and manner required thereby, (c) customary post-closing filings with the SEC or pursuant to state securities laws in connection with the offer and sale of the Securities and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of the Company for the period ended December 31, 2025 and related balance sheet data as of December 31, 2025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financial position of the Company as of the dates indicated, and the results of its operations and cash flows for the periods therein specified, all in accordance with United States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Except for the execution and performance of the Transaction Agreements and the discussions, negotiations, and transactions preceding or related thereto, since the Company’s inception: (a) the Company has conducted its business only in the ordinary course of business and there have been no material transactions entered into by the Company or any Subsidiary; (b) no material change to any material contract or arrangement by which the Company or any Subsidiary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w:t>
      </w:r>
      <w:r>
        <w:rPr>
          <w:rFonts w:ascii="Times New Roman;Times;Serif" w:hAnsi="Times New Roman;Times;Serif"/>
          <w:b w:val="false"/>
          <w:i w:val="false"/>
          <w:caps w:val="false"/>
          <w:smallCaps w:val="false"/>
          <w:sz w:val="20"/>
          <w:shd w:fill="FFFFFF" w:val="clear"/>
        </w:rPr>
        <w:t>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Compliance with Law; Permits</w:t>
      </w:r>
      <w:r>
        <w:rPr>
          <w:rFonts w:ascii="Times New Roman;Times;Serif" w:hAnsi="Times New Roman;Times;Serif"/>
          <w:b w:val="false"/>
          <w:i w:val="false"/>
          <w:caps w:val="false"/>
          <w:smallCaps w:val="false"/>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including but not limited to such intellectual property described in the Company Presentation, that is necessary for, or used in the conduct of their respective businesses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Hansoh License Agreement is in full force and effect, and the Company and its Subsidiaries (and, to the knowledge of the Company, Hansoh and its affiliates) have performed all of its material obligations thereunder. Neither the Company nor any Subsidiary has received any written notice from Hansoh or its Affiliates alleging any breach or default under the Hansoh License Agreement, and to the Company’s knowledge, no event has occurred that, with or without notice or lapse of time, would constitute a breach or default by the Company or any Subsidiary under the Hansoh License Agreement or would give Hansoh or its Affiliates the right to terminate the Hansoh License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January 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Clinical Data and Regulatory Compliance</w:t>
      </w:r>
      <w:r>
        <w:rPr>
          <w:rFonts w:ascii="Times New Roman;Times;Serif" w:hAnsi="Times New Roman;Times;Serif"/>
          <w:b w:val="false"/>
          <w:i w:val="false"/>
          <w:caps w:val="false"/>
          <w:smallCaps w:val="false"/>
          <w:sz w:val="20"/>
        </w:rPr>
        <w:t>. Except as would not reasonably be expected to result in a Material Adverse Effect: (i) the preclinical tests and clinical trials, and other studies used to support regulatory approval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being conducted by or on behalf of, or sponsored by, the Company or its Subsidiaries, including but not limited to studies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(assuming the Company was subject thereto) and are inconsistent with, or otherwise call into question, the results described or referred to in the Company Presentation;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for the conduct of their respective businesses; (iv) neither the Company nor any of its Subsidiaries has received any notice of, or correspondence from, any Regulatory Agency requiring the termination or suspension of or imposing any clinical hold on any clinical trials, including but not limited to studies that are described or referred to in the Company Presentation; and (v) the Company and its Subsidiaries have each operated and currently are in compliance in all material respects with all applicable rules, regulations and policies of the Regulatory Agencies.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 The Company and its Subsidiaries are in compliance in all material respects with all Health Care Laws to the extent applicable to the Company’s and its Subsidiaries’ current business and research use only products.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Times;Serif" w:hAnsi="Times New Roman;Times;Serif"/>
          <w:b/>
          <w:i w:val="false"/>
          <w:caps w:val="false"/>
          <w:smallCaps w:val="false"/>
          <w:sz w:val="20"/>
        </w:rPr>
        <w:t>EU</w:t>
      </w:r>
      <w:r>
        <w:rPr>
          <w:rFonts w:ascii="Times New Roman;Times;Serif" w:hAnsi="Times New Roman;Times;Serif"/>
          <w:b w:val="false"/>
          <w:i w:val="false"/>
          <w:caps w:val="false"/>
          <w:smallCaps w:val="false"/>
          <w:sz w:val="20"/>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Accounting Controls and Disclosure Controls and Procedures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Price Stabilization of Common Stock</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Common Stock to facilitate the sale or resale of the Securities or the Pre-Funded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immediately after receipt of payment for the Securities will not be, an “investment company” within the meaning of the U.S.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General Solicitation; No Integration or Aggregation</w:t>
      </w:r>
      <w:r>
        <w:rPr>
          <w:rFonts w:ascii="Times New Roman;Times;Serif" w:hAnsi="Times New Roman;Times;Serif"/>
          <w:b w:val="false"/>
          <w:i w:val="false"/>
          <w:caps w:val="false"/>
          <w:smallCaps w:val="false"/>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w:t>
      </w:r>
      <w:r>
        <w:rPr>
          <w:rFonts w:ascii="Times New Roman;Times;Serif" w:hAnsi="Times New Roman;Times;Serif"/>
          <w:b w:val="false"/>
          <w:i w:val="false"/>
          <w:caps w:val="false"/>
          <w:smallCaps w:val="false"/>
          <w:sz w:val="20"/>
          <w:shd w:fill="FFFFFF" w:val="clear"/>
        </w:rPr>
        <w:t>or (ii) aggregated with prior offerings by the Company for the purposes of the rules and regulations of Nasdaq</w:t>
      </w:r>
      <w:r>
        <w:rPr>
          <w:rFonts w:ascii="Times New Roman;Times;Serif" w:hAnsi="Times New Roman;Times;Serif"/>
          <w:b w:val="false"/>
          <w:i w:val="false"/>
          <w:caps w:val="false"/>
          <w:smallCaps w:val="false"/>
          <w:sz w:val="20"/>
        </w:rPr>
        <w: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Other than the Placement Agents,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Reliance by the Investors</w:t>
      </w:r>
      <w:r>
        <w:rPr>
          <w:rFonts w:ascii="Times New Roman;Times;Serif" w:hAnsi="Times New Roman;Times;Serif"/>
          <w:b w:val="false"/>
          <w:i w:val="false"/>
          <w:caps w:val="false"/>
          <w:smallCaps w:val="false"/>
          <w:sz w:val="20"/>
        </w:rPr>
        <w:t xml:space="preserve">. The Company has a reasonable basis for making each of the representations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There are no agreements (including side letter agreements) or understandings between the Company, on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Anti-Bribery and Anti-Money Laundering Laws; Sanctions</w:t>
      </w:r>
      <w:r>
        <w:rPr>
          <w:rFonts w:ascii="Times New Roman;Times;Serif" w:hAnsi="Times New Roman;Times;Serif"/>
          <w:b w:val="false"/>
          <w:i w:val="false"/>
          <w:caps w:val="false"/>
          <w:smallCaps w:val="false"/>
          <w:sz w:val="20"/>
        </w:rPr>
        <w:t xml:space="preserve">.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of Personal Data, including without limitation HIPAA, the EU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is not described in the Company Presentation or that will not be so described in accordance with the Exchange Act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Additional Representations and Warranties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The Company’s representations and warranties set forth in the Merger Agreement in Section 3.7 (Financial Statements), Section 3.9 (Absence of Undisclosed Liabilities), Section 3.12 (Intellectual Property), Section 3.14 (Compliance; Permits; Restrictions) and Section 3.17 (Employee and Labor Matters; Benefit Plans) are hereby incorporated by reference and made by the Company, as qualified by the disclosures in the Company Disclosure Schedule (as defined in the Merger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hereof and as of the Closing Date, to the Company’s knowledge after conducting reasonable due diligence with respect to the Parent and its business, the representations and warranties of Parent contained in Section 4 of the Merger Agreement and in any certificate or other writing delivered by Parent pursuant thereto are true and correct as though given in accordance with Section 9.1 of the Merger Agreement (including the materiality qualifiers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information supplied or to be supplied by or on behalf of the Company for inclusion or incorporation by reference in the Registration Statement (as defined in the Merger Agreement), or supplied or to be supplied by or on behalf of the Company for inclusion in any filing pursuant to Rule 165 and Rule 425 under the Securities Act or Rule 14a-12 under the Securities Act (each a “</w:t>
      </w:r>
      <w:r>
        <w:rPr>
          <w:rFonts w:ascii="Times New Roman;Times;Serif" w:hAnsi="Times New Roman;Times;Serif"/>
          <w:b/>
          <w:i w:val="false"/>
          <w:caps w:val="false"/>
          <w:smallCaps w:val="false"/>
          <w:sz w:val="20"/>
        </w:rPr>
        <w:t>Regulation M-A Filing</w:t>
      </w:r>
      <w:r>
        <w:rPr>
          <w:rFonts w:ascii="Times New Roman;Times;Serif" w:hAnsi="Times New Roman;Times;Serif"/>
          <w:b w:val="false"/>
          <w:i w:val="false"/>
          <w:caps w:val="false"/>
          <w:smallCaps w:val="false"/>
          <w:sz w:val="20"/>
        </w:rPr>
        <w:t>”), will not, as of the time the Registration Statement or any such Regulation M-A Filing is filed with the Commission, at any time it is amended or supplemented or at the time the Registration Statement is declared effective by the Commission,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Times;Serif" w:hAnsi="Times New Roman;Times;Serif"/>
          <w:b/>
          <w:i w:val="false"/>
          <w:caps w:val="false"/>
          <w:smallCaps w:val="false"/>
          <w:sz w:val="20"/>
        </w:rPr>
        <w:t>Public Company Meeting</w:t>
      </w:r>
      <w:r>
        <w:rPr>
          <w:rFonts w:ascii="Times New Roman;Times;Serif" w:hAnsi="Times New Roman;Times;Serif"/>
          <w:b w:val="false"/>
          <w:i w:val="false"/>
          <w:caps w:val="false"/>
          <w:smallCaps w:val="false"/>
          <w:sz w:val="20"/>
        </w:rPr>
        <w:t>”), shall not, on the date the proxy statement/prospectus included in the Registration Statement is first mailed to stockholders of Parent, at any time it is amended or supplemented,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Each Investor</w:t>
      </w:r>
      <w:r>
        <w:rPr>
          <w:rFonts w:ascii="Times New Roman;Times;Serif" w:hAnsi="Times New Roman;Times;Serif"/>
          <w:b w:val="false"/>
          <w:i w:val="false"/>
          <w:caps w:val="false"/>
          <w:smallCaps w:val="false"/>
          <w:sz w:val="20"/>
        </w:rPr>
        <w:t xml:space="preserve">. Each Investor, severally for itself and not jointly with any other Investor, represents and warrants to the Company and the Placement Agents that the statements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and correct as of the date hereof and the Closing Date (except for the representations and warranties that speak as of a specific date, which shall be made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Such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except as otherwise communicated by such Investor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Such Investor has not retained, utilized or been represented by any broker or finder in connection with the transactions contemplated by this Agreement whose fees the Company would be required to pay.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 Such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Such Investor is purchasing the Securities solely for investment purposes,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Such Investor has no present arrangement to sell the Securities to or through any person or entity. Such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Investment Experience; Ability to Protect Its Own Interests and Bear Economic Risks</w:t>
      </w:r>
      <w:r>
        <w:rPr>
          <w:rFonts w:ascii="Times New Roman;Times;Serif" w:hAnsi="Times New Roman;Times;Serif"/>
          <w:b w:val="false"/>
          <w:i w:val="false"/>
          <w:caps w:val="false"/>
          <w:smallCaps w:val="false"/>
          <w:sz w:val="20"/>
        </w:rPr>
        <w:t xml:space="preserve">. Such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Such Investor acknowledges that such Investor is aware that there are substantial risks incident to the purchase and ownership of the Securities, including those set forth in Parent’s filings with the SEC. Alone, or together with any professional advisor(s), such Investor has adequately analyzed and fully considered the risks of an investment in the Securities and determined that the Securities are a suitable investment for the Investor. Such Investor is, at this time and in the foreseeable future, able to afford the loss of such Investor’s entire investment in the Securities and such Investor acknowledges specifically that a possibility of total loss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Securities Not Registered; Legends</w:t>
      </w:r>
      <w:r>
        <w:rPr>
          <w:rFonts w:ascii="Times New Roman;Times;Serif" w:hAnsi="Times New Roman;Times;Serif"/>
          <w:b w:val="false"/>
          <w:i w:val="false"/>
          <w:caps w:val="false"/>
          <w:smallCaps w:val="false"/>
          <w:sz w:val="20"/>
        </w:rPr>
        <w:t>.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Investor understands that any certificates or book entry notations evidencing the Securities may bear one or more legends in substantially the following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contain a legend regarding affiliate status of the Investor, if applicable, provided that the Company will notify the Investor in advance of Closing if such a legend is to be placed on its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Placement Agents</w:t>
      </w:r>
      <w:r>
        <w:rPr>
          <w:rFonts w:ascii="Times New Roman;Times;Serif" w:hAnsi="Times New Roman;Times;Serif"/>
          <w:b w:val="false"/>
          <w:i w:val="false"/>
          <w:caps w:val="false"/>
          <w:smallCaps w:val="false"/>
          <w:sz w:val="20"/>
        </w:rPr>
        <w:t>. Such Investor hereby acknowledges and agrees that (a) each Placement Agent is acting solely as placement agent in connection with the execution, delivery and performance of the Transaction Agreements and the issuance of the Securities to the Investor and neither any Placement Agent nor any of their respective affiliates have acted as an underwriter or in any other capacity and is not and shall not be construed as a fiduciary or financial advisor for such Investor, the Company or any other person or entity in connection with the execution, delivery and performance of the Transaction Agreements and the issuance and purchase of the Securities,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Securities,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and (d)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Securities. Neither any of the Placement Agents nor any of their respective affiliates have made or make any representation as to the quality or value of the Securities and the Placement Agents and their respective affiliates may have acquired non-public information with respect to the Company which the Investor agrees need not be provided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Such Investor acknowledges and agrees that such Investor is purchasing the Securities directly from the Company. Such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the Placement Agents and/or their respective representatives. Such Investor did not become aware of this offering of the Securities, nor were the Securities offered to such Investor, by any other means, and none of the Company, any of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 making its decision to purchase the Securities, such Investor has relied solely upon independent investigation made by such Investor, upon the Company Presentation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Without limiting the generality of the foregoing, each Investor acknowledges that copies of the 2025 SEC Reports are available on EDGAR at www.sec.gov. Such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Certain Trading Activities</w:t>
      </w:r>
      <w:r>
        <w:rPr>
          <w:rFonts w:ascii="Times New Roman;Times;Serif" w:hAnsi="Times New Roman;Times;Serif"/>
          <w:b w:val="false"/>
          <w:i w:val="false"/>
          <w:caps w:val="false"/>
          <w:smallCaps w:val="false"/>
          <w:sz w:val="20"/>
        </w:rPr>
        <w:t>.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Acknowledgements Regarding Placement Agents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Investor acknowledges that each of the Placement Agents is acting as a placement agent on a “best efforts” basis for the Shares being offered hereby and will be compensated by the Company for acting in such capacity. Such Investor represents that such Investor was contacted regarding the sale of the Shares by a Placement Agent or the Company (or an authorized agent or representative thereof) with whom the Investor entered into a verbal or written confidentiality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Such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of such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 longer accurate and the Company agrees to promptly notify each Investor and the Placement Agents if any of the acknowledgments, understandings, agreements, representations and warranties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no longer accurate.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Transactions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and/or use commercially reasonable efforts to ensure that Parent shall substantially contemporaneously file with the SEC a Current Report on Form 8-K (including all exhibits thereto,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and the actual filing of such press release and/or Current Report on Form 8-K, the “</w:t>
      </w:r>
      <w:r>
        <w:rPr>
          <w:rFonts w:ascii="Times New Roman;Times;Serif" w:hAnsi="Times New Roman;Times;Serif"/>
          <w:b/>
          <w:i w:val="false"/>
          <w:caps w:val="false"/>
          <w:smallCaps w:val="false"/>
          <w:sz w:val="20"/>
        </w:rPr>
        <w:t>Disclosure Time</w:t>
      </w:r>
      <w:r>
        <w:rPr>
          <w:rFonts w:ascii="Times New Roman;Times;Serif" w:hAnsi="Times New Roman;Times;Serif"/>
          <w:b w:val="false"/>
          <w:i w:val="false"/>
          <w:caps w:val="false"/>
          <w:smallCaps w:val="false"/>
          <w:sz w:val="20"/>
        </w:rPr>
        <w:t>”) disclosing (i) all material terms of the transactions contemplated hereby and by the other Transaction Agreements and attaching this Agreement, the other Transaction Agreements and the Company Presentation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(including the Placement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(expected to be within three (3) Business Days) following any such request therefor from such Investor, provided that the Company has timely received from the Investor a completed Investor representation letter in substantially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and such other customary representations as may be reasonably required in accordance with applicable law in connection therewith. The Company shall be responsible for the fees of its Transfer Agent, DTC and its legal counsel associated with such legend removal.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(A) upon effectiveness of the registration statement registering the resale of such Initial Shares or other Shares as set forth in clause (i), provide a “blanket” opinion to the Transfer Agent for the removal of legends in connection with any sale pursuant to the effective registration statement, and (B) with respect to clauses (i), (ii) and (iii), as soon as reasonably practicable and no later than three (3) Business Days following any request therefor from an Investor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Fees and Commissions</w:t>
      </w:r>
      <w:r>
        <w:rPr>
          <w:rFonts w:ascii="Times New Roman;Times;Serif" w:hAnsi="Times New Roman;Times;Serif"/>
          <w:b w:val="false"/>
          <w:i w:val="false"/>
          <w:caps w:val="false"/>
          <w:smallCaps w:val="false"/>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each Investor and its Affiliates, and their respective directors, officers, trustees, members, managers, employees, investment advisers and agents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No Amendment or Waiver of Merger Agreement Terms</w:t>
      </w:r>
      <w:r>
        <w:rPr>
          <w:rFonts w:ascii="Times New Roman;Times;Serif" w:hAnsi="Times New Roman;Times;Serif"/>
          <w:b w:val="false"/>
          <w:i w:val="false"/>
          <w:caps w:val="false"/>
          <w:smallCaps w:val="false"/>
          <w:sz w:val="20"/>
        </w:rPr>
        <w:t>. The Company shall not amend, modify or waive (or fail to contest an action regarding a breach of or agree to amend, modify or waive)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xml:space="preserve">. The Company shall cause the restrictive legends described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to be promptly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and, in any event, no later than 60 days after the date thereof. The Company shall use its best efforts to solicit its stockholders’ approval of such resolution and to cause the Board of Directors to recommend to the stockholders that they approve such resolution.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Obligation of the Investors</w:t>
      </w:r>
      <w:r>
        <w:rPr>
          <w:rFonts w:ascii="Times New Roman;Times;Serif" w:hAnsi="Times New Roman;Times;Serif"/>
          <w:b w:val="false"/>
          <w:i w:val="false"/>
          <w:caps w:val="false"/>
          <w:smallCaps w:val="false"/>
          <w:sz w:val="20"/>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 (B) except to the extent any such representation or warranty expressly speaks as of an earlier date, in which case such representation or warranty shall be true and correct in all material respects as of such earlier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in all material respects the obligations and conditions herein required to be performed or observed by the Company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The purchase of and payment for the Securities by each Investor shall not be prohibited or enjoined by any law or governmental or court order or regulation and no such prohibition shall have been threatened in writing.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have furnished all required materials to the Transfer Agent to reflect the issuance of the Initial Shares at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hereof, no event or series of events shall have occurred that has had or would reasonably be expected to have a Material Adverse Effect or a Parent Material Adverse Effect (as defined in the Merger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Opinion of Company Counsel</w:t>
      </w:r>
      <w:r>
        <w:rPr>
          <w:rFonts w:ascii="Times New Roman;Times;Serif" w:hAnsi="Times New Roman;Times;Serif"/>
          <w:b w:val="false"/>
          <w:i w:val="false"/>
          <w:caps w:val="false"/>
          <w:smallCaps w:val="false"/>
          <w:sz w:val="20"/>
        </w:rPr>
        <w:t>. The Company shall have delivered to the Investors and the Placement Agents the opinion of Gibson, Dunn &amp; Crutcher LLP, dated as of the Closing Date, in customary form and substance to be reasonably agreed upon with the Investor Majority and the Placement Agents and addressing such legal matters as the Investor Majority, the Placement Agents and the Company reasonably agree.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An authorized officer of the Company shall have delivered to the Investors at the Closing Date a certificate, in form and substance reasonably acceptable to the Investor Majority, certifying that the conditions specified in </w:t>
      </w:r>
      <w:r>
        <w:rPr>
          <w:rFonts w:ascii="Times New Roman;Times;Serif" w:hAnsi="Times New Roman;Times;Serif"/>
          <w:b w:val="false"/>
          <w:i w:val="false"/>
          <w:caps w:val="false"/>
          <w:smallCaps w:val="false"/>
          <w:sz w:val="20"/>
          <w:u w:val="single"/>
        </w:rPr>
        <w:t>Sections ‎6.1(a)</w:t>
      </w:r>
      <w:r>
        <w:rPr>
          <w:rFonts w:ascii="Times New Roman;Times;Serif" w:hAnsi="Times New Roman;Times;Serif"/>
          <w:b w:val="false"/>
          <w:i w:val="false"/>
          <w:caps w:val="false"/>
          <w:smallCaps w:val="false"/>
          <w:sz w:val="20"/>
        </w:rPr>
        <w:t xml:space="preserve"> (Representations and Warranties), </w:t>
      </w:r>
      <w:r>
        <w:rPr>
          <w:rFonts w:ascii="Times New Roman;Times;Serif" w:hAnsi="Times New Roman;Times;Serif"/>
          <w:b w:val="false"/>
          <w:i w:val="false"/>
          <w:caps w:val="false"/>
          <w:smallCaps w:val="false"/>
          <w:sz w:val="20"/>
          <w:u w:val="single"/>
        </w:rPr>
        <w:t>‎6.1(b)</w:t>
      </w:r>
      <w:r>
        <w:rPr>
          <w:rFonts w:ascii="Times New Roman;Times;Serif" w:hAnsi="Times New Roman;Times;Serif"/>
          <w:b w:val="false"/>
          <w:i w:val="false"/>
          <w:caps w:val="false"/>
          <w:smallCaps w:val="false"/>
          <w:sz w:val="20"/>
        </w:rPr>
        <w:t xml:space="preserve"> (Performance), </w:t>
      </w:r>
      <w:r>
        <w:rPr>
          <w:rFonts w:ascii="Times New Roman;Times;Serif" w:hAnsi="Times New Roman;Times;Serif"/>
          <w:b w:val="false"/>
          <w:i w:val="false"/>
          <w:caps w:val="false"/>
          <w:smallCaps w:val="false"/>
          <w:sz w:val="20"/>
          <w:u w:val="single"/>
        </w:rPr>
        <w:t>‎6.1(c)</w:t>
      </w:r>
      <w:r>
        <w:rPr>
          <w:rFonts w:ascii="Times New Roman;Times;Serif" w:hAnsi="Times New Roman;Times;Serif"/>
          <w:b w:val="false"/>
          <w:i w:val="false"/>
          <w:caps w:val="false"/>
          <w:smallCaps w:val="false"/>
          <w:sz w:val="20"/>
        </w:rPr>
        <w:t xml:space="preserve"> (No Injunction), </w:t>
      </w:r>
      <w:r>
        <w:rPr>
          <w:rFonts w:ascii="Times New Roman;Times;Serif" w:hAnsi="Times New Roman;Times;Serif"/>
          <w:b w:val="false"/>
          <w:i w:val="false"/>
          <w:caps w:val="false"/>
          <w:smallCaps w:val="false"/>
          <w:sz w:val="20"/>
          <w:u w:val="single"/>
        </w:rPr>
        <w:t>‎6.1(d)</w:t>
      </w:r>
      <w:r>
        <w:rPr>
          <w:rFonts w:ascii="Times New Roman;Times;Serif" w:hAnsi="Times New Roman;Times;Serif"/>
          <w:b w:val="false"/>
          <w:i w:val="false"/>
          <w:caps w:val="false"/>
          <w:smallCaps w:val="false"/>
          <w:sz w:val="20"/>
        </w:rPr>
        <w:t xml:space="preserve"> (Consents), </w:t>
      </w:r>
      <w:r>
        <w:rPr>
          <w:rFonts w:ascii="Times New Roman;Times;Serif" w:hAnsi="Times New Roman;Times;Serif"/>
          <w:b w:val="false"/>
          <w:i w:val="false"/>
          <w:caps w:val="false"/>
          <w:smallCaps w:val="false"/>
          <w:sz w:val="20"/>
          <w:u w:val="single"/>
        </w:rPr>
        <w:t>‎6.1(f)</w:t>
      </w:r>
      <w:r>
        <w:rPr>
          <w:rFonts w:ascii="Times New Roman;Times;Serif" w:hAnsi="Times New Roman;Times;Serif"/>
          <w:b w:val="false"/>
          <w:i w:val="false"/>
          <w:caps w:val="false"/>
          <w:smallCaps w:val="false"/>
          <w:sz w:val="20"/>
        </w:rPr>
        <w:t xml:space="preserve"> (Adverse Changes), ‎</w:t>
      </w:r>
      <w:r>
        <w:rPr>
          <w:rFonts w:ascii="Times New Roman;Times;Serif" w:hAnsi="Times New Roman;Times;Serif"/>
          <w:b w:val="false"/>
          <w:i w:val="false"/>
          <w:caps w:val="false"/>
          <w:smallCaps w:val="false"/>
          <w:sz w:val="20"/>
          <w:u w:val="single"/>
        </w:rPr>
        <w:t>6.1(k)</w:t>
      </w:r>
      <w:r>
        <w:rPr>
          <w:rFonts w:ascii="Times New Roman;Times;Serif" w:hAnsi="Times New Roman;Times;Serif"/>
          <w:b w:val="false"/>
          <w:i w:val="false"/>
          <w:caps w:val="false"/>
          <w:smallCaps w:val="false"/>
          <w:sz w:val="20"/>
        </w:rPr>
        <w:t xml:space="preserve"> (Registration Statement; No Stop Orders) </w:t>
      </w:r>
      <w:r>
        <w:rPr>
          <w:rFonts w:ascii="Times New Roman;Times;Serif" w:hAnsi="Times New Roman;Times;Serif"/>
          <w:b w:val="false"/>
          <w:i w:val="false"/>
          <w:caps w:val="false"/>
          <w:smallCaps w:val="false"/>
          <w:sz w:val="20"/>
          <w:u w:val="single"/>
        </w:rPr>
        <w:t>‎6.1(l)</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val="false"/>
          <w:i w:val="false"/>
          <w:caps w:val="false"/>
          <w:smallCaps w:val="false"/>
          <w:sz w:val="20"/>
          <w:u w:val="single"/>
        </w:rPr>
        <w:t>‎6.1(m)</w:t>
      </w:r>
      <w:r>
        <w:rPr>
          <w:rFonts w:ascii="Times New Roman;Times;Serif" w:hAnsi="Times New Roman;Times;Serif"/>
          <w:b w:val="false"/>
          <w:i w:val="false"/>
          <w:caps w:val="false"/>
          <w:smallCaps w:val="false"/>
          <w:sz w:val="20"/>
        </w:rPr>
        <w:t xml:space="preserve"> (Minimum Financing Amount), </w:t>
      </w:r>
      <w:r>
        <w:rPr>
          <w:rFonts w:ascii="Times New Roman;Times;Serif" w:hAnsi="Times New Roman;Times;Serif"/>
          <w:b w:val="false"/>
          <w:i w:val="false"/>
          <w:caps w:val="false"/>
          <w:smallCaps w:val="false"/>
          <w:sz w:val="20"/>
          <w:u w:val="single"/>
        </w:rPr>
        <w:t>‎6.1(n)</w:t>
      </w:r>
      <w:r>
        <w:rPr>
          <w:rFonts w:ascii="Times New Roman;Times;Serif" w:hAnsi="Times New Roman;Times;Serif"/>
          <w:b w:val="false"/>
          <w:i w:val="false"/>
          <w:caps w:val="false"/>
          <w:smallCaps w:val="false"/>
          <w:sz w:val="20"/>
        </w:rPr>
        <w:t xml:space="preserve"> (Merger) and </w:t>
      </w:r>
      <w:r>
        <w:rPr>
          <w:rFonts w:ascii="Times New Roman;Times;Serif" w:hAnsi="Times New Roman;Times;Serif"/>
          <w:b w:val="false"/>
          <w:i w:val="false"/>
          <w:caps w:val="false"/>
          <w:smallCaps w:val="false"/>
          <w:sz w:val="20"/>
          <w:u w:val="single"/>
        </w:rPr>
        <w:t>‎6.1(o)</w:t>
      </w:r>
      <w:r>
        <w:rPr>
          <w:rFonts w:ascii="Times New Roman;Times;Serif" w:hAnsi="Times New Roman;Times;Serif"/>
          <w:b w:val="false"/>
          <w:i w:val="false"/>
          <w:caps w:val="false"/>
          <w:smallCaps w:val="false"/>
          <w:sz w:val="20"/>
        </w:rPr>
        <w:t xml:space="preserve"> (Parent Stockholder Approval) of this Agreement have been fulfilled.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The Company shall have executed and delivered the Registration Rights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to the Investors.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Registration Statement; No Stop Orders</w:t>
      </w:r>
      <w:r>
        <w:rPr>
          <w:rFonts w:ascii="Times New Roman;Times;Serif" w:hAnsi="Times New Roman;Times;Serif"/>
          <w:b w:val="false"/>
          <w:i w:val="false"/>
          <w:caps w:val="false"/>
          <w:smallCaps w:val="false"/>
          <w:sz w:val="20"/>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 The Parent Common Stock shall be listed on the National Exchange and shall not have been suspended, as of the Closing Date, by the SEC or the National Exchange from trading thereon.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Minimum Financing Amount</w:t>
      </w:r>
      <w:r>
        <w:rPr>
          <w:rFonts w:ascii="Times New Roman;Times;Serif" w:hAnsi="Times New Roman;Times;Serif"/>
          <w:b w:val="false"/>
          <w:i w:val="false"/>
          <w:caps w:val="false"/>
          <w:smallCaps w:val="false"/>
          <w:sz w:val="20"/>
        </w:rPr>
        <w:t>. The Company shall receive at Closing aggregate proceeds from the purchase of Securities pursuant to this Agreement of not less than $150,000,000 (including in such proceeds any Convertible Securities Contributed as consideration in accordance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contravention of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Parent Stockholder Approval</w:t>
      </w:r>
      <w:r>
        <w:rPr>
          <w:rFonts w:ascii="Times New Roman;Times;Serif" w:hAnsi="Times New Roman;Times;Serif"/>
          <w:b w:val="false"/>
          <w:i w:val="false"/>
          <w:caps w:val="false"/>
          <w:smallCaps w:val="false"/>
          <w:sz w:val="20"/>
        </w:rPr>
        <w:t>. Parent shall have obtained Required Parent Stockholder Vote, including approval of the issuance of shares of Parent Common Stock issuable in exchange for the Initial Shares and the Pre-Funded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the Obligation of the Company</w:t>
      </w:r>
      <w:r>
        <w:rPr>
          <w:rFonts w:ascii="Times New Roman;Times;Serif" w:hAnsi="Times New Roman;Times;Serif"/>
          <w:b w:val="false"/>
          <w:i w:val="false"/>
          <w:caps w:val="false"/>
          <w:smallCaps w:val="false"/>
          <w:sz w:val="20"/>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each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Injunction</w:t>
      </w:r>
      <w:r>
        <w:rPr>
          <w:rFonts w:ascii="Times New Roman;Times;Serif" w:hAnsi="Times New Roman;Times;Serif"/>
          <w:b w:val="false"/>
          <w:i w:val="false"/>
          <w:caps w:val="false"/>
          <w:smallCaps w:val="false"/>
          <w:sz w:val="20"/>
        </w:rPr>
        <w:t>. The purchase of and payment for the Securities by each Investor shall not be prohibited or enjoined by any law or governmental or court order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Each Investor shall have executed and delivered the Registration Rights Agreement to the Company in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w:t>
      </w:r>
      <w:r>
        <w:rPr>
          <w:rFonts w:ascii="Times New Roman;Times;Serif" w:hAnsi="Times New Roman;Times;Serif"/>
          <w:b w:val="false"/>
          <w:i w:val="false"/>
          <w:caps w:val="false"/>
          <w:smallCaps w:val="false"/>
          <w:sz w:val="20"/>
        </w:rPr>
        <w:t xml:space="preserve">as may be agreed to among the Company and one or more Investors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shd w:fill="FFFFFF" w:val="clear"/>
        </w:rPr>
        <w:t xml:space="preserve">,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each Investor at the Closing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the one hand, and each Investor, on the other hand, to effect the Closing shall terminate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mutual written consent of the Company and the Investor Majority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By the Company, if any of the conditions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have become incapable of fulfillment and shall not have been waived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By an Investor, solely as to itself, if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have become incapable of fulfillment and shall not have been waived by such Investor;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either the Company or an Investor, solely as to itself, if the Closing has not occurred on or before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clauses (ii) through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In the event of termination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each other Investor by or on behalf of the Company.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Public Statements or Releases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publicly disclose the name of any Investor or any affiliate or investment adviser of any Investor without such Investor’s prior written consent (email being sufficient).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addressed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w:t>
        <w:br/>
        <w:t>200 Barr Harbor Dr, Suite 400</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Conshohocken, PA 19428</w:t>
        <w:br/>
        <w:t>Attention: [***]</w:t>
        <w:br/>
        <w:t>Email: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br/>
        <w:t>One Embarcadero Center, Suite 2600</w:t>
        <w:br/>
        <w:t>San Francisco, CA 94111</w:t>
        <w:br/>
        <w:t>Attention: [***]</w:t>
        <w:br/>
        <w:t>Email: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any Investor, at its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to such e-mail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without regard to choice of laws or conflicts of laws provisions thereof that would require the application of the laws of any other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the Investors hereby irrevocably and unconditionally: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or at such other address of which the other party shall have been notified pursuant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irrevocably and unconditionally waives trial by jury in any legal action or proceeding in relation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Securities to the Investors.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each such assignee agrees to be bound by the terms of this Agreement and makes the same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Investor covenants that until such time as the transactions contemplated by this Agreement and any material non-public information provided to such Investor are publicly disclosed by the Company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of clause (i) or (ii), the Company 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Reliance by and Exculpation of Placement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or the offer and sale of the Securities, and such Investor will not rely on any statements made by any Placement Agent,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and (iv) such Investor has negotiated the offer and sale of the Securities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engagement letters between the Company and the Placement Agents.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each Placement Agent is an intended third-party beneficiary of the representations and warranties of the Company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 representations and warranties of each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Independent Nature of Investors’ Obligations and Right.</w:t>
      </w:r>
      <w:r>
        <w:rPr>
          <w:rFonts w:ascii="Times New Roman;Times;Serif" w:hAnsi="Times New Roman;Times;Serif"/>
          <w:b w:val="false"/>
          <w:i w:val="false"/>
          <w:caps w:val="false"/>
          <w:smallCaps w:val="false"/>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neither Gibson, Dunn &amp; Crutcher LLP nor Cooley LLP has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(i) this Agreement may not be amended or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or waiver of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For the avoidance of doubt, an amendment to this Agreement after the date hereof allowing for the sale of additional Securities (“</w:t>
      </w:r>
      <w:r>
        <w:rPr>
          <w:rFonts w:ascii="Times New Roman;Times;Serif" w:hAnsi="Times New Roman;Times;Serif"/>
          <w:b/>
          <w:i w:val="false"/>
          <w:caps w:val="false"/>
          <w:smallCaps w:val="false"/>
          <w:sz w:val="20"/>
        </w:rPr>
        <w:t>Additional Securities</w:t>
      </w:r>
      <w:r>
        <w:rPr>
          <w:rFonts w:ascii="Times New Roman;Times;Serif" w:hAnsi="Times New Roman;Times;Serif"/>
          <w:b w:val="false"/>
          <w:i w:val="false"/>
          <w:caps w:val="false"/>
          <w:smallCaps w:val="false"/>
          <w:sz w:val="20"/>
        </w:rPr>
        <w:t xml:space="preserve">”) to one or more Persons (whether or not an existing Investor) shall only require the approval of the Company and the Investor Majority;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price paid for such Additional Securities is at least 50% greater than the Share Price and Pre-Funded Warrant Price,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Mutual Drafting.</w:t>
      </w:r>
      <w:r>
        <w:rPr>
          <w:rFonts w:ascii="Times New Roman;Times;Serif" w:hAnsi="Times New Roman;Times;Serif"/>
          <w:b w:val="false"/>
          <w:i w:val="false"/>
          <w:caps w:val="false"/>
          <w:smallCaps w:val="false"/>
          <w:sz w:val="20"/>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8.18        </w:t>
      </w:r>
      <w:r>
        <w:rPr>
          <w:rFonts w:ascii="Times New Roman;Times;Serif" w:hAnsi="Times New Roman;Times;Serif"/>
          <w:b w:val="false"/>
          <w:i w:val="false"/>
          <w:caps w:val="false"/>
          <w:smallCaps w:val="false"/>
          <w:sz w:val="20"/>
          <w:u w:val="single"/>
        </w:rPr>
        <w:t>Arm’s Length Negotiations</w:t>
      </w:r>
      <w:r>
        <w:rPr>
          <w:rFonts w:ascii="Times New Roman;Times;Serif" w:hAnsi="Times New Roman;Times;Serif"/>
          <w:b w:val="false"/>
          <w:i w:val="false"/>
          <w:caps w:val="false"/>
          <w:smallCaps w:val="false"/>
          <w:sz w:val="20"/>
        </w:rPr>
        <w:t>. For the avoidance of doubt, the parties acknowledge and confirm that the terms and conditions of the Securities were determined as a result of arm’s-length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843" w:type="dxa"/>
        <w:jc w:val="left"/>
        <w:tblInd w:w="0" w:type="dxa"/>
        <w:tblLayout w:type="fixed"/>
        <w:tblCellMar>
          <w:top w:w="0" w:type="dxa"/>
          <w:left w:w="0" w:type="dxa"/>
          <w:bottom w:w="0" w:type="dxa"/>
          <w:right w:w="0" w:type="dxa"/>
        </w:tblCellMar>
      </w:tblPr>
      <w:tblGrid>
        <w:gridCol w:w="80"/>
        <w:gridCol w:w="870"/>
        <w:gridCol w:w="1622"/>
        <w:gridCol w:w="271"/>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AVERE Therapeutics,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3"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084" w:type="dxa"/>
        <w:jc w:val="left"/>
        <w:tblInd w:w="0" w:type="dxa"/>
        <w:tblLayout w:type="fixed"/>
        <w:tblCellMar>
          <w:top w:w="0" w:type="dxa"/>
          <w:left w:w="0" w:type="dxa"/>
          <w:bottom w:w="0" w:type="dxa"/>
          <w:right w:w="0" w:type="dxa"/>
        </w:tblCellMar>
      </w:tblPr>
      <w:tblGrid>
        <w:gridCol w:w="80"/>
        <w:gridCol w:w="2578"/>
        <w:gridCol w:w="426"/>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Limitation: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Investor Representation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___________, 20 </w:t>
      </w:r>
      <w:r>
        <w:rPr>
          <w:rFonts w:ascii="Times New Roman;Times;Serif" w:hAnsi="Times New Roman;Times;Serif"/>
          <w:b w:val="false"/>
          <w:i w:val="false"/>
          <w:caps w:val="false"/>
          <w:smallCaps w:val="false"/>
          <w:sz w:val="20"/>
          <w:u w:val="single"/>
        </w:rPr>
        <w:t>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br/>
        <w:t>One Embarcadero Center, Suite 2600</w:t>
        <w:br/>
        <w:t>San Francisco, CA 94111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hereby requests that the federal securities law restrictive legend be removed from the book entries representing _________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Avere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legend removal, Holder hereby represents to, and agrees with, you as follows: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43"/>
        <w:gridCol w:w="9797"/>
      </w:tblGrid>
      <w:tr>
        <w:trPr/>
        <w:tc>
          <w:tcPr>
            <w:tcW w:w="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w:t>
            </w:r>
          </w:p>
        </w:tc>
        <w:tc>
          <w:tcPr>
            <w:tcW w:w="9797" w:type="dxa"/>
            <w:tcBorders/>
            <w:vAlign w:val="center"/>
          </w:tcPr>
          <w:p>
            <w:pPr>
              <w:pStyle w:val="TableContents"/>
              <w:bidi w:val="0"/>
              <w:spacing w:before="0" w:after="283"/>
              <w:jc w:val="both"/>
              <w:rPr/>
            </w:pPr>
            <w:r>
              <w:rPr/>
              <w:t>The Shares are owned of record and beneficially by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t>Holder agrees that, if the Shares are not eligible to be sold pursuant to Rule 144 promulgated under the Securities Act of 1933, as amended (the “</w:t>
            </w:r>
            <w:r>
              <w:rPr>
                <w:b/>
              </w:rPr>
              <w:t>Securities Act</w:t>
            </w:r>
            <w:r>
              <w:rPr/>
              <w:t>”), any offer, sale or transfer of, or other transaction involving, the Shares will only be made (i) pursuant to the Company’s Registration Statement (the “</w:t>
            </w:r>
            <w:r>
              <w:rPr>
                <w:b/>
              </w:rPr>
              <w:t>Registration Statement</w:t>
            </w:r>
            <w:r>
              <w:rPr/>
              <w:t>”) filed pursuant to the Securities Act, in a transaction contemplated in the “</w:t>
            </w:r>
            <w:r>
              <w:rPr>
                <w:b/>
              </w:rPr>
              <w:t>Plan of Distribution</w:t>
            </w:r>
            <w:r>
              <w:rPr/>
              <w:t>” section of the prospectus included in the Registration Statement and in accordance with the terms and conditions set forth in the Registration Rights Agreement, dated [__], 2026, by and among Avere Therapeutics, Inc. and the investors named therein (the “</w:t>
            </w:r>
            <w:r>
              <w:rPr>
                <w:b/>
              </w:rPr>
              <w:t>RRA</w:t>
            </w:r>
            <w:r>
              <w:rPr/>
              <w:t>”), including, but not limited to, the restrictions upon sales that may be imposed as set forth in the RRA or (ii) to an exemption from the registration requirements of the Securities Act other than Rule 144 subject to receipt of a legal opinion from Gibson, Dunn &amp; Crutcher LLP or other counsel acceptable to the Company that such offer, sale or transfer is exempt from the registration requirements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Holder agrees that it will (i) not offer and sell, or cause or permit to be offered or sold, any Shares in violation of federal and state securities laws, including, without limitation, prospectus delivery requirements of the Securities Act (unless exempt therefrom) and (ii) promptly stop selling or transferring Shares pursuant to the Registration Statement upon receipt of written notice pursuant to the RRA from the Company that the Registration Statement may not be used to effect offers, sales or other transfers of the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both"/>
              <w:rPr/>
            </w:pPr>
            <w:r>
              <w:rPr/>
              <w:t>Holder (or, in the case of individuals, Holder’s employer) has in place internal policies and procedures reasonably designed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283"/>
              <w:jc w:val="both"/>
              <w:rPr/>
            </w:pPr>
            <w:r>
              <w:rPr/>
              <w:t>Holder is familiar with the requirements for effecting resales or transfers of, or other transactions involving, the Shares in compliance with federal and state securities laws and acknowledges and agrees that the Company and Gibson, Dunn &amp; Crutcher LLP are relying on Holder’s representations and agreements in this letter.</w:t>
            </w:r>
          </w:p>
        </w:tc>
      </w:tr>
    </w:tbl>
    <w:p>
      <w:pPr>
        <w:pStyle w:val="TextBody"/>
        <w:bidi w:val="0"/>
        <w:spacing w:before="0" w:after="0"/>
        <w:jc w:val="left"/>
        <w:rPr>
          <w:caps w:val="false"/>
          <w:smallCaps w:val="false"/>
        </w:rPr>
      </w:pPr>
      <w:r>
        <w:rPr>
          <w:caps w:val="false"/>
          <w:smallCaps w:val="false"/>
        </w:rPr>
        <w:t> </w:t>
      </w:r>
    </w:p>
    <w:tbl>
      <w:tblPr>
        <w:tblW w:w="1479" w:type="dxa"/>
        <w:jc w:val="left"/>
        <w:tblInd w:w="0" w:type="dxa"/>
        <w:tblLayout w:type="fixed"/>
        <w:tblCellMar>
          <w:top w:w="0" w:type="dxa"/>
          <w:left w:w="0" w:type="dxa"/>
          <w:bottom w:w="0" w:type="dxa"/>
          <w:right w:w="0" w:type="dxa"/>
        </w:tblCellMar>
      </w:tblPr>
      <w:tblGrid>
        <w:gridCol w:w="80"/>
        <w:gridCol w:w="1220"/>
        <w:gridCol w:w="179"/>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D-2</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left"/>
        <w:rPr/>
      </w:pPr>
      <w:bookmarkStart w:id="31" w:name="tm2620428d1_ex10-4.htm"/>
      <w:bookmarkStart w:id="32" w:name="kstm2620428d1_ex104"/>
      <w:bookmarkEnd w:id="31"/>
      <w:bookmarkEnd w:id="3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is entered into by and among Avere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several investors signatory hereto (individually as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collectively together with their respective permitted assigns,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Securities Purchase Agreement by and among the Company and the Investors party thereto, dated as of [•], 2026 (as amended, restated, supplemented or otherwise modified from time to time,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party to that certain Agreement and Plan of Merger and Reorganization by and among the Company, NextCure,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Neptune Merger Sub Corp., a Delaware corporation and wholly-owned subsidiary of Parent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and Neptune Second Merger Sub II, LLC, a Delaware limited liability company and wholly owned subsidiary of Parent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dated July 14, 2026 (as amended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(i) First Merger Sub will merge with and into the Company, with the Company surviving and becoming a wholly-owned subsidiary of Parent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following the First Merger and as part of the same overall transaction as the First Merger, the Company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 and (iii) Parent will change its name to Avere Therapeutics, Inc.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of the Purchase Agreement, the Company has agreed to issue to certain Investors, and such Investors have agreed to purchase, severally and not jointly, an aggregate of up to $320,000,000 of (x) shares (the “</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and/or (y) pre-funded warrants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to purchase shares of Common Stock, in each case, pursuant to the Purchase Agreement. The Initial Shares and the shares of Common Stock issuable upon exercise of the Pre-Funded Warrants are collectively referred to herein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promises and the mutual covenants contained herein and other good and valuable consideration, the receipt and sufficiency of which are hereby acknowledged, the Company and the Investors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b/>
              </w:rPr>
            </w:pPr>
            <w:r>
              <w:rPr>
                <w:b/>
              </w:rPr>
              <w:t>1.</w:t>
            </w:r>
          </w:p>
        </w:tc>
        <w:tc>
          <w:tcPr>
            <w:tcW w:w="8952" w:type="dxa"/>
            <w:tcBorders/>
            <w:vAlign w:val="center"/>
          </w:tcPr>
          <w:p>
            <w:pPr>
              <w:pStyle w:val="TableContents"/>
              <w:bidi w:val="0"/>
              <w:spacing w:before="0" w:after="283"/>
              <w:jc w:val="left"/>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Avere Therapeutics, Inc. for all periods prior to the First Effective Time (as defined in the Merger Agreement) and TopCo for all periods following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means, with respect to the Initial Registration Statement required hereunder, the 30th calendar day following the Closing Date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or entity including but not limited to any corporation, limited liability company, association, partnership, organization, business, individual, governmental or political subdivision thereof or a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Shares, (ii) any Shares of Common Stock of TopCo issued to an Investor on or around the date hereof pursuant to the Merger Agreement, and (iii) any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pursuant to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(D) with respect to Registrable Securities held by an Investor that is not an affiliate of the Company, upon exchange of such Registrable Securities for unrestricted shares under an effective registration statement on Form S-4, if available, or if unavailable, another appropriate form filed with the SEC, and (E) five (5) years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Selling Expenses of any Investor or, except to the extent provided for in the Purchase Agreement, any legal fees or other costs of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Selling Expenses</w:t>
      </w:r>
      <w:r>
        <w:rPr>
          <w:rFonts w:ascii="Times New Roman;Times;Serif" w:hAnsi="Times New Roman;Times;Serif"/>
          <w:b w:val="false"/>
          <w:i w:val="false"/>
          <w:caps w:val="false"/>
          <w:smallCaps w:val="false"/>
          <w:sz w:val="20"/>
        </w:rPr>
        <w:t>” means all underwriting discounts and selling commissions applicable to the sale of Registrable Securities and all similar fees and commissions relating to an Investor’s disposition of its Registrable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b/>
              </w:rPr>
            </w:pPr>
            <w:r>
              <w:rPr>
                <w:b/>
              </w:rPr>
              <w:t>2.</w:t>
            </w:r>
          </w:p>
        </w:tc>
        <w:tc>
          <w:tcPr>
            <w:tcW w:w="9113" w:type="dxa"/>
            <w:tcBorders/>
            <w:vAlign w:val="center"/>
          </w:tcPr>
          <w:p>
            <w:pPr>
              <w:pStyle w:val="TableContents"/>
              <w:bidi w:val="0"/>
              <w:spacing w:before="0" w:after="283"/>
              <w:jc w:val="left"/>
              <w:rPr>
                <w:b/>
              </w:rPr>
            </w:pPr>
            <w:r>
              <w:rPr>
                <w:b/>
              </w:rPr>
              <w:t>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as promptly as reasonably practicable and in any event no later than the Filing Deadline, prepare and file with the SEC an initial Registration Statement (the “</w:t>
      </w:r>
      <w:r>
        <w:rPr>
          <w:rFonts w:ascii="Times New Roman;Times;Serif" w:hAnsi="Times New Roman;Times;Serif"/>
          <w:b/>
          <w:i w:val="false"/>
          <w:caps w:val="false"/>
          <w:smallCaps w:val="false"/>
          <w:sz w:val="20"/>
        </w:rPr>
        <w:t>Initial Registration Statement</w:t>
      </w:r>
      <w:r>
        <w:rPr>
          <w:rFonts w:ascii="Times New Roman;Times;Serif" w:hAnsi="Times New Roman;Times;Serif"/>
          <w:b w:val="false"/>
          <w:i w:val="false"/>
          <w:caps w:val="false"/>
          <w:smallCaps w:val="false"/>
          <w:sz w:val="20"/>
        </w:rPr>
        <w:t xml:space="preserve">”) covering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any comments as the Investor or its counsel reasonably proposed by the Investor to such document prior to being so filed with the SEC, and (b) not file any Registration Statement or related prospectus or any amendment or supplement thereto containing information regarding the Investor which the Investor has indicated it reasonably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reasonably requested by the Company with respect to such Investor as shall be reasonably required in connection with any registration referred to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The Company shall use its commercially reasonable efforts to have the Initial Registration Statement and any amendment declared effective by the SEC at the earliest possible date but no later than the earlier of the ninetieth (90th)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The Company shall notify the Investor by e-mail as promptly as practicable, and in any event, within twenty-four (24) hours, after the Initial Registration Statement is declared effective or is supplemented and shall provide the Investor with copies of any related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earlier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and (iii) five (5) years after the date of this Agreement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so as to cover all of such Registrable Securities as soon as reasonably practicable, but in any event not later than the Filing Deadline. The Company shall use its commercially reasonable efforts to have such amendment and/or New Registration Statement become effective as soon as reasonably practicable following the filing thereof but no later than the earlier of (a) the seventy-fifth (75th) calendar day following the initial filing date of the New Registration Statement if the SEC notifies the Company that it will “review” the New Registration Statement and (b) the fifth (5th) Business Day after the date the Company is notified (orally or in writing, whichever is earlier) by the SEC that the New Registration Statement will not be “reviewed” or will not be subject to further review. The provisions of </w:t>
      </w:r>
      <w:r>
        <w:rPr>
          <w:rFonts w:ascii="Times New Roman;Times;Serif" w:hAnsi="Times New Roman;Times;Serif"/>
          <w:b w:val="false"/>
          <w:i w:val="false"/>
          <w:caps w:val="false"/>
          <w:smallCaps w:val="false"/>
          <w:sz w:val="20"/>
          <w:u w:val="single"/>
        </w:rPr>
        <w:t>Sections ‎2(a)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shall apply to the New Registration Statement, except as modified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Allowable Delays</w:t>
      </w:r>
      <w:r>
        <w:rPr>
          <w:rFonts w:ascii="Times New Roman;Times;Serif" w:hAnsi="Times New Roman;Times;Serif"/>
          <w:b w:val="false"/>
          <w:i w:val="false"/>
          <w:caps w:val="false"/>
          <w:smallCaps w:val="false"/>
          <w:sz w:val="20"/>
        </w:rPr>
        <w:t>. On no more than two (2) occasions in any twelve (12)-month period and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i w:val="false"/>
          <w:caps w:val="false"/>
          <w:smallCaps w:val="false"/>
          <w:sz w:val="20"/>
        </w:rPr>
        <w:t>Allowed Delay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Times;Serif" w:hAnsi="Times New Roman;Times;Serif"/>
          <w:b/>
          <w:i w:val="false"/>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such Investor not receive notices from the Company otherwise required by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to such Investor and such Investor shall no longer be entitled to the rights associated with any such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Rule 415; Cutback</w:t>
      </w:r>
      <w:r>
        <w:rPr>
          <w:rFonts w:ascii="Times New Roman;Times;Serif" w:hAnsi="Times New Roman;Times;Serif"/>
          <w:b w:val="false"/>
          <w:i w:val="false"/>
          <w:caps w:val="false"/>
          <w:smallCaps w:val="false"/>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including to comment on any written submission made to the SEC with respect thereto. In the event that, despite the Company’s commercially reasonable efforts and compliance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b/>
          <w:i w:val="false"/>
          <w:caps w:val="false"/>
          <w:smallCaps w:val="false"/>
          <w:sz w:val="20"/>
        </w:rPr>
        <w:t>SEC Restrictions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name any Investor as an “underwriter” in such Registration Statement without the prior written consent of such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provides otherwise, or an Investor otherwise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440"/>
        <w:gridCol w:w="9682"/>
      </w:tblGrid>
      <w:tr>
        <w:trPr/>
        <w:tc>
          <w:tcPr>
            <w:tcW w:w="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w:t>
            </w:r>
          </w:p>
        </w:tc>
        <w:tc>
          <w:tcPr>
            <w:tcW w:w="9682" w:type="dxa"/>
            <w:tcBorders/>
            <w:vAlign w:val="center"/>
          </w:tcPr>
          <w:p>
            <w:pPr>
              <w:pStyle w:val="TableContents"/>
              <w:bidi w:val="0"/>
              <w:spacing w:before="0" w:after="283"/>
              <w:jc w:val="left"/>
              <w:rPr>
                <w:b/>
              </w:rPr>
            </w:pPr>
            <w:r>
              <w:rPr>
                <w:b/>
              </w:rPr>
              <w:t>RELATED COMPANY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Registration Statement and whenever any Registrable Securities are to be Registered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Notifications</w:t>
      </w:r>
      <w:r>
        <w:rPr>
          <w:rFonts w:ascii="Times New Roman;Times;Serif" w:hAnsi="Times New Roman;Times;Serif"/>
          <w:b w:val="false"/>
          <w:i w:val="false"/>
          <w:caps w:val="false"/>
          <w:smallCaps w:val="false"/>
          <w:sz w:val="20"/>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Investor Review</w:t>
      </w:r>
      <w:r>
        <w:rPr>
          <w:rFonts w:ascii="Times New Roman;Times;Serif" w:hAnsi="Times New Roman;Times;Serif"/>
          <w:b w:val="false"/>
          <w:i w:val="false"/>
          <w:caps w:val="false"/>
          <w:smallCaps w:val="false"/>
          <w:sz w:val="20"/>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Copies Available</w:t>
      </w:r>
      <w:r>
        <w:rPr>
          <w:rFonts w:ascii="Times New Roman;Times;Serif" w:hAnsi="Times New Roman;Times;Serif"/>
          <w:b w:val="false"/>
          <w:i w:val="false"/>
          <w:caps w:val="false"/>
          <w:smallCaps w:val="false"/>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w:t>
      </w:r>
      <w:r>
        <w:rPr>
          <w:rFonts w:ascii="Times New Roman;Times;Serif" w:hAnsi="Times New Roman;Times;Serif"/>
          <w:b w:val="false"/>
          <w:i w:val="false"/>
          <w:caps w:val="false"/>
          <w:smallCaps w:val="false"/>
          <w:sz w:val="20"/>
          <w:shd w:fill="FFFFFF" w:val="clear"/>
        </w:rPr>
        <w:t>such other documents as such Investor may reasonably request in order to facilitate the disposition of the Registrable Securities owned by such Investor that are covered by such Registration Statement</w:t>
      </w:r>
      <w:r>
        <w:rPr>
          <w:rFonts w:ascii="Times New Roman;Times;Serif" w:hAnsi="Times New Roman;Times;Serif"/>
          <w:b w:val="false"/>
          <w:i w:val="false"/>
          <w:caps w:val="false"/>
          <w:smallCaps w:val="false"/>
          <w:sz w:val="20"/>
        </w:rPr>
        <w:t xml:space="preserve">, in each case as soon as reasonably practicable upon such Investor’s request and in such quantities as such Investor may from time to time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furnish any document to such Investor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Notification of Stop Orders; Material Changes</w:t>
      </w:r>
      <w:r>
        <w:rPr>
          <w:rFonts w:ascii="Times New Roman;Times;Serif" w:hAnsi="Times New Roman;Times;Serif"/>
          <w:b w:val="false"/>
          <w:i w:val="false"/>
          <w:caps w:val="false"/>
          <w:smallCaps w:val="false"/>
          <w:sz w:val="20"/>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Times;Serif" w:hAnsi="Times New Roman;Times;Serif"/>
          <w:b/>
          <w:i w:val="false"/>
          <w:caps w:val="false"/>
          <w:smallCaps w:val="false"/>
          <w:sz w:val="20"/>
        </w:rPr>
        <w:t>Suspension Event</w:t>
      </w:r>
      <w:r>
        <w:rPr>
          <w:rFonts w:ascii="Times New Roman;Times;Serif" w:hAnsi="Times New Roman;Times;Serif"/>
          <w:b w:val="false"/>
          <w:i w:val="false"/>
          <w:caps w:val="false"/>
          <w:smallCaps w:val="false"/>
          <w:sz w:val="20"/>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the Company will use its commercially reasonable efforts to publicly disclose such event as soon as reasonably practicable, or otherwise resolve the matter such that sales under Registration Statements may resume.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Confirmation of Effectiveness</w:t>
      </w:r>
      <w:r>
        <w:rPr>
          <w:rFonts w:ascii="Times New Roman;Times;Serif" w:hAnsi="Times New Roman;Times;Serif"/>
          <w:b w:val="false"/>
          <w:i w:val="false"/>
          <w:caps w:val="false"/>
          <w:smallCaps w:val="false"/>
          <w:sz w:val="20"/>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commercially reasonable efforts to cause all Registrable Securities covered by a Registration Statement to be listed on the Nasdaq Capital Market and/or any other National Exchange upon which the Common Stock is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xml:space="preserve">.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of the event requiring disclosure,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Times;Serif" w:hAnsi="Times New Roman;Times;Serif"/>
          <w:b w:val="false"/>
          <w:i w:val="false"/>
          <w:caps w:val="false"/>
          <w:smallCaps w:val="false"/>
          <w:sz w:val="20"/>
          <w:u w:val="single"/>
        </w:rPr>
        <w:t>Section ‎3(h)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Availability Date</w:t>
      </w:r>
      <w:r>
        <w:rPr>
          <w:rFonts w:ascii="Times New Roman;Times;Serif" w:hAnsi="Times New Roman;Times;Serif"/>
          <w:b w:val="false"/>
          <w:i w:val="false"/>
          <w:caps w:val="false"/>
          <w:smallCaps w:val="false"/>
          <w:sz w:val="20"/>
        </w:rPr>
        <w:t>” means the forty-fifth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end of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fiscal quarter that includes the effective date of such Registration Statement, except that, if such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fiscal quarter is the last quarter of the Company’s fiscal year, “Availability Date” means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end of such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fiscal quarter).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(ii) subject itself to general taxation in any jurisdiction where it would not otherwise be so subject but for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or (iii) file a general consent to service of process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With a view to making available to the Investors the benefits of Rule 144 (or its successor rule) and any other rule or regulation of the SEC that may at any time permit the Investors to sell shares of Registrable Securities to the public without registration, the Company covenants and agrees to use commercially reasonable efforts to make and keep adequate current public information available, as those terms are understood and defined in Rule 144, until the date as all of the Initial Shares may be sold without restriction by the holders thereof pursuant to Rule 144 or any other rule of similar effect (without the requirement for the Company to be in compliance with any current public information requirements). In addition for so long as any Registrable Securities are outstanding, the Company covenants and agrees to use commercially reasonable efforts to (i) file with the SEC in a timely manner all reports and other documents required of the Company under the Exchange Act; and (ii)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Removal of Restrictive Legends</w:t>
      </w:r>
      <w:r>
        <w:rPr>
          <w:rFonts w:ascii="Times New Roman;Times;Serif" w:hAnsi="Times New Roman;Times;Serif"/>
          <w:b w:val="false"/>
          <w:i w:val="false"/>
          <w:caps w:val="false"/>
          <w:smallCaps w:val="false"/>
          <w:sz w:val="20"/>
        </w:rPr>
        <w:t>. Without limiting Section 5.5 of the Purchase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4.</w:t>
            </w:r>
          </w:p>
        </w:tc>
        <w:tc>
          <w:tcPr>
            <w:tcW w:w="9663" w:type="dxa"/>
            <w:tcBorders/>
            <w:vAlign w:val="center"/>
          </w:tcPr>
          <w:p>
            <w:pPr>
              <w:pStyle w:val="TableContents"/>
              <w:bidi w:val="0"/>
              <w:spacing w:before="0" w:after="283"/>
              <w:jc w:val="left"/>
              <w:rPr>
                <w:b/>
              </w:rPr>
            </w:pPr>
            <w:r>
              <w:rPr>
                <w:b/>
              </w:rPr>
              <w:t>OBLIGATIONS OF THE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Investor Information</w:t>
      </w:r>
      <w:r>
        <w:rPr>
          <w:rFonts w:ascii="Times New Roman;Times;Serif" w:hAnsi="Times New Roman;Times;Serif"/>
          <w:b w:val="false"/>
          <w:i w:val="false"/>
          <w:caps w:val="false"/>
          <w:smallCaps w:val="false"/>
          <w:sz w:val="20"/>
        </w:rPr>
        <w:t xml:space="preserve">. Each Investor shall provide a completed Investor Questionnaire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Investor receives draft materials in accordance with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Investor Cooperation</w:t>
      </w:r>
      <w:r>
        <w:rPr>
          <w:rFonts w:ascii="Times New Roman;Times;Serif" w:hAnsi="Times New Roman;Times;Serif"/>
          <w:b w:val="false"/>
          <w:i w:val="false"/>
          <w:caps w:val="false"/>
          <w:smallCaps w:val="false"/>
          <w:sz w:val="20"/>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b/>
              </w:rPr>
            </w:pPr>
            <w:r>
              <w:rPr>
                <w:b/>
              </w:rPr>
              <w:t>5.</w:t>
            </w:r>
          </w:p>
        </w:tc>
        <w:tc>
          <w:tcPr>
            <w:tcW w:w="9591" w:type="dxa"/>
            <w:tcBorders/>
            <w:vAlign w:val="center"/>
          </w:tcPr>
          <w:p>
            <w:pPr>
              <w:pStyle w:val="TableContents"/>
              <w:bidi w:val="0"/>
              <w:spacing w:before="0" w:after="283"/>
              <w:jc w:val="left"/>
              <w:rPr>
                <w:b/>
              </w:rPr>
            </w:pPr>
            <w:r>
              <w:rPr>
                <w:b/>
              </w:rPr>
              <w:t>EXPENSES OF 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Expenses incurred in connection with registrations pursuant to this Agreement shall be borne by the Company. All Selling Expenses relating to securities registered on behalf of an Investor shall be borne by such Investor.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8"/>
        <w:gridCol w:w="9292"/>
      </w:tblGrid>
      <w:tr>
        <w:trPr/>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b/>
              </w:rPr>
            </w:pPr>
            <w:r>
              <w:rPr>
                <w:b/>
              </w:rPr>
              <w:t>6.</w:t>
            </w:r>
          </w:p>
        </w:tc>
        <w:tc>
          <w:tcPr>
            <w:tcW w:w="9292" w:type="dxa"/>
            <w:tcBorders/>
            <w:vAlign w:val="center"/>
          </w:tcPr>
          <w:p>
            <w:pPr>
              <w:pStyle w:val="TableContents"/>
              <w:bidi w:val="0"/>
              <w:spacing w:before="0" w:after="283"/>
              <w:jc w:val="left"/>
              <w:rPr>
                <w:b/>
              </w:rPr>
            </w:pPr>
            <w:r>
              <w:rPr>
                <w:b/>
              </w:rPr>
              <w:t>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each Investor, each Person, if any, who controls each Investor, the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any losses, obligation,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Times;Serif" w:hAnsi="Times New Roman;Times;Serif"/>
          <w:b/>
          <w:i w:val="false"/>
          <w:caps w:val="false"/>
          <w:smallCaps w:val="false"/>
          <w:sz w:val="20"/>
        </w:rPr>
        <w:t>Indemnified Damages</w:t>
      </w:r>
      <w:r>
        <w:rPr>
          <w:rFonts w:ascii="Times New Roman;Times;Serif" w:hAnsi="Times New Roman;Times;Serif"/>
          <w:b w:val="false"/>
          <w:i w:val="false"/>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Times;Serif" w:hAnsi="Times New Roman;Times;Serif"/>
          <w:b/>
          <w:i w:val="false"/>
          <w:caps w:val="false"/>
          <w:smallCaps w:val="false"/>
          <w:sz w:val="20"/>
        </w:rPr>
        <w:t>Violations</w:t>
      </w:r>
      <w:r>
        <w:rPr>
          <w:rFonts w:ascii="Times New Roman;Times;Serif" w:hAnsi="Times New Roman;Times;Serif"/>
          <w:b w:val="false"/>
          <w:i w:val="false"/>
          <w:caps w:val="false"/>
          <w:smallCaps w:val="false"/>
          <w:sz w:val="20"/>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against any losses, claims, damages, liabilities and expense (including reasonable attorney fees) resulting from (i) any untrue statement or alleged untrue statement or omission or alleged omission of any material fact contained in any Registration Statement or (ii) any violation or alleged violation by such Investor of its obligations under this Agreement, in each case to the extent, and only to the extent, that such violation occurs in reliance upon and in conformity with information about such Investor furnished in writing by such Investor to the Company expressly for use in connection with the preparation of the Registration Statement. In no event shall the liability of an Investor be greater in amount than the dollar amount of the proceeds (net of all expense paid by such Investor in connection with any claim relating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shall not apply to amounts paid in settlement of any Claim if such settlement is effected without the prior written consent of the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Person or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except to the extent that the indemnifying party is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indemnification required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person is later determined to not be entitled to such payment shall return such payment (including reimbursement of expenses) to the person making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900"/>
        <w:gridCol w:w="9135"/>
      </w:tblGrid>
      <w:tr>
        <w:trPr/>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b/>
              </w:rPr>
            </w:pPr>
            <w:r>
              <w:rPr>
                <w:b/>
              </w:rPr>
              <w:t>7.</w:t>
            </w:r>
          </w:p>
        </w:tc>
        <w:tc>
          <w:tcPr>
            <w:tcW w:w="9135" w:type="dxa"/>
            <w:tcBorders/>
            <w:vAlign w:val="center"/>
          </w:tcPr>
          <w:p>
            <w:pPr>
              <w:pStyle w:val="TableContents"/>
              <w:bidi w:val="0"/>
              <w:spacing w:before="0" w:after="283"/>
              <w:jc w:val="left"/>
              <w:rPr>
                <w:b/>
              </w:rPr>
            </w:pPr>
            <w:r>
              <w:rPr>
                <w:b/>
              </w:rPr>
              <w:t>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to the fullest extent permitted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5"/>
        <w:gridCol w:w="9747"/>
      </w:tblGrid>
      <w:tr>
        <w:trPr/>
        <w:tc>
          <w:tcPr>
            <w:tcW w:w="7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b/>
              </w:rPr>
            </w:pPr>
            <w:r>
              <w:rPr>
                <w:b/>
              </w:rPr>
              <w:t>8.</w:t>
            </w:r>
          </w:p>
        </w:tc>
        <w:tc>
          <w:tcPr>
            <w:tcW w:w="9747" w:type="dxa"/>
            <w:tcBorders/>
            <w:vAlign w:val="center"/>
          </w:tcPr>
          <w:p>
            <w:pPr>
              <w:pStyle w:val="TableContents"/>
              <w:bidi w:val="0"/>
              <w:spacing w:before="0" w:after="283"/>
              <w:jc w:val="left"/>
              <w:rPr>
                <w:b/>
              </w:rPr>
            </w:pPr>
            <w:r>
              <w:rPr>
                <w:b/>
              </w:rPr>
              <w:t>ASSIGNMENT OF REGISTRATION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not assign this Agreement or any rights or obligations hereunder (whether by operation of law or otherwise) without the prior written consent of the Investors holding a majority of the Registrable Securities then outstanding (determined as if all of the Pre-Funded Warrants then outstanding have been exercised in full without regard to any limitations on the exercise of such Pre-Funded Warrants) (voting together as a single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(determined as if all of the Pre-Funded Warrants then outstanding have been exercised in full without regard to any limitations on the exercise of such Pre-Funded Warrants) shall not be required for such transaction. No Investor may assign its rights under this Agreement, other than to an affiliate of such Investor or to any other investment funds or accounts managed or advised by the investment manager who acts on behalf of the Investor, without the prior written consent of the Company. The provisions of this Agreement shall be binding upon and inure to the benefit of the Investor and its successors and permitted assigns.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5"/>
        <w:gridCol w:w="9593"/>
      </w:tblGrid>
      <w:tr>
        <w:trPr/>
        <w:tc>
          <w:tcPr>
            <w:tcW w:w="9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b/>
              </w:rPr>
            </w:pPr>
            <w:r>
              <w:rPr>
                <w:b/>
              </w:rPr>
              <w:t>9.</w:t>
            </w:r>
          </w:p>
        </w:tc>
        <w:tc>
          <w:tcPr>
            <w:tcW w:w="9593" w:type="dxa"/>
            <w:tcBorders/>
            <w:vAlign w:val="center"/>
          </w:tcPr>
          <w:p>
            <w:pPr>
              <w:pStyle w:val="TableContents"/>
              <w:bidi w:val="0"/>
              <w:spacing w:before="0" w:after="283"/>
              <w:jc w:val="left"/>
              <w:rPr>
                <w:b/>
              </w:rPr>
            </w:pPr>
            <w:r>
              <w:rPr>
                <w:b/>
              </w:rPr>
              <w:t>AMENDMENTS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Agreement, including the provisions of this sentence, may be amended, modified or supplemented, or waived only by a written instrument executed by (a) the Company and (b) the holders of a majority of the then outstanding Registrable Securities (determined as if all of the Pre-Funded Warrants then outstanding have been exercised in full without regard to any limitations on the exercise of such Pre-Funded Warrants) (voting together as a single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Times;Serif" w:hAnsi="Times New Roman;Times;Serif"/>
          <w:b w:val="false"/>
          <w:i w:val="false"/>
          <w:caps w:val="false"/>
          <w:smallCaps w:val="false"/>
          <w:sz w:val="20"/>
          <w:u w:val="single"/>
        </w:rPr>
        <w:t xml:space="preserve">Section ‎6 </w:t>
      </w:r>
      <w:r>
        <w:rPr>
          <w:rFonts w:ascii="Times New Roman;Times;Serif" w:hAnsi="Times New Roman;Times;Serif"/>
          <w:b w:val="false"/>
          <w:i w:val="false"/>
          <w:caps w:val="false"/>
          <w:smallCaps w:val="false"/>
          <w:sz w:val="20"/>
        </w:rPr>
        <w:t>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Pre-Funded Warrants then outstanding have been exercised in full without regard to any limitations on the exercise of such Pre-Funded Warrants) to which such waiver or consent relates.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257"/>
        <w:gridCol w:w="8799"/>
      </w:tblGrid>
      <w:tr>
        <w:trPr/>
        <w:tc>
          <w:tcPr>
            <w:tcW w:w="1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b/>
              </w:rPr>
            </w:pPr>
            <w:r>
              <w:rPr>
                <w:b/>
              </w:rPr>
              <w:t>10.</w:t>
            </w:r>
          </w:p>
        </w:tc>
        <w:tc>
          <w:tcPr>
            <w:tcW w:w="8799" w:type="dxa"/>
            <w:tcBorders/>
            <w:vAlign w:val="center"/>
          </w:tcPr>
          <w:p>
            <w:pPr>
              <w:pStyle w:val="TableContents"/>
              <w:bidi w:val="0"/>
              <w:spacing w:before="0" w:after="283"/>
              <w:jc w:val="left"/>
              <w:rPr>
                <w:b/>
              </w:rPr>
            </w:pPr>
            <w:r>
              <w:rPr>
                <w:b/>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w:t>
        <w:br/>
        <w:t>200 Barr Harbor Dr, Suite 400</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Conshohocken, PA 19428</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keri.lantz@paragontherapeutics.com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br/>
        <w:t>One Embarcadero Center, Suite 2600</w:t>
        <w:br/>
        <w:t>San Francisco, CA 94111</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to any Investor, at its e-mail address or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Purchase Agreement or to such e-mail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 xml:space="preserve">. The provisions of Section 8.5 of the Purchase Agreement are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414"/>
        <w:gridCol w:w="2350"/>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AVERE Therapeutics, Inc.</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75"/>
        <w:gridCol w:w="320"/>
        <w:gridCol w:w="1815"/>
      </w:tblGrid>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[NAME]</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2188"/>
        <w:gridCol w:w="7602"/>
      </w:tblGrid>
      <w:tr>
        <w:trPr/>
        <w:tc>
          <w:tcPr>
            <w:tcW w:w="41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b/>
              </w:rPr>
            </w:pPr>
            <w:r>
              <w:rPr>
                <w:b/>
              </w:rPr>
              <w:t>1.</w:t>
            </w:r>
          </w:p>
        </w:tc>
        <w:tc>
          <w:tcPr>
            <w:tcW w:w="7602" w:type="dxa"/>
            <w:tcBorders/>
            <w:vAlign w:val="center"/>
          </w:tcPr>
          <w:p>
            <w:pPr>
              <w:pStyle w:val="TableContents"/>
              <w:bidi w:val="0"/>
              <w:spacing w:before="0" w:after="283"/>
              <w:jc w:val="left"/>
              <w:rPr>
                <w:b/>
              </w:rPr>
            </w:pPr>
            <w:r>
              <w:rPr>
                <w:b/>
              </w:rPr>
              <w:t>Name.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26"/>
        <w:gridCol w:w="9152"/>
      </w:tblGrid>
      <w:tr>
        <w:trPr/>
        <w:tc>
          <w:tcPr>
            <w:tcW w:w="12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pPr>
            <w:r>
              <w:rPr/>
              <w:t>(a)</w:t>
            </w:r>
          </w:p>
        </w:tc>
        <w:tc>
          <w:tcPr>
            <w:tcW w:w="9152" w:type="dxa"/>
            <w:tcBorders/>
            <w:vAlign w:val="center"/>
          </w:tcPr>
          <w:p>
            <w:pPr>
              <w:pStyle w:val="TableContents"/>
              <w:bidi w:val="0"/>
              <w:spacing w:before="0" w:after="283"/>
              <w:jc w:val="both"/>
              <w:rPr/>
            </w:pPr>
            <w:r>
              <w:rPr/>
              <w:t>Full Legal Name of Investor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Full Legal Name of Registered Holder (if not the same as (a) above) through which Registrable Securities are held: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Address for Notices to Investor:</w:t>
      </w:r>
    </w:p>
    <w:p>
      <w:pPr>
        <w:pStyle w:val="TextBody"/>
        <w:bidi w:val="0"/>
        <w:spacing w:before="0" w:after="0"/>
        <w:ind w:left="0" w:right="0" w:hanging="0"/>
        <w:jc w:val="left"/>
        <w:rPr>
          <w:caps w:val="false"/>
          <w:smallCaps w:val="false"/>
        </w:rPr>
      </w:pPr>
      <w:r>
        <w:rPr>
          <w:caps w:val="false"/>
          <w:smallCaps w:val="false"/>
        </w:rPr>
        <w:t> </w:t>
      </w:r>
    </w:p>
    <w:tbl>
      <w:tblPr>
        <w:tblW w:w="7970" w:type="dxa"/>
        <w:jc w:val="left"/>
        <w:tblInd w:w="0" w:type="dxa"/>
        <w:tblLayout w:type="fixed"/>
        <w:tblCellMar>
          <w:top w:w="0" w:type="dxa"/>
          <w:left w:w="0" w:type="dxa"/>
          <w:bottom w:w="40" w:type="dxa"/>
          <w:right w:w="0" w:type="dxa"/>
        </w:tblCellMar>
      </w:tblPr>
      <w:tblGrid>
        <w:gridCol w:w="7970"/>
      </w:tblGrid>
      <w:tr>
        <w:trPr/>
        <w:tc>
          <w:tcPr>
            <w:tcW w:w="7970" w:type="dxa"/>
            <w:tcBorders>
              <w:bottom w:val="single" w:sz="8" w:space="0" w:color="000000"/>
            </w:tcBorders>
            <w:vAlign w:val="center"/>
          </w:tcPr>
          <w:p>
            <w:pPr>
              <w:pStyle w:val="TableContents"/>
              <w:bidi w:val="0"/>
              <w:spacing w:before="0" w:after="283"/>
              <w:jc w:val="left"/>
              <w:rPr/>
            </w:pPr>
            <w:r>
              <w:rPr/>
              <w:t> </w:t>
            </w:r>
          </w:p>
        </w:tc>
      </w:tr>
      <w:tr>
        <w:trPr/>
        <w:tc>
          <w:tcPr>
            <w:tcW w:w="7970" w:type="dxa"/>
            <w:tcBorders>
              <w:bottom w:val="single" w:sz="8" w:space="0" w:color="000000"/>
            </w:tcBorders>
            <w:vAlign w:val="center"/>
          </w:tcPr>
          <w:p>
            <w:pPr>
              <w:pStyle w:val="TableContents"/>
              <w:bidi w:val="0"/>
              <w:spacing w:before="0" w:after="283"/>
              <w:jc w:val="left"/>
              <w:rPr/>
            </w:pPr>
            <w:r>
              <w:rPr/>
              <w:t> </w:t>
            </w:r>
          </w:p>
        </w:tc>
      </w:tr>
      <w:tr>
        <w:trPr/>
        <w:tc>
          <w:tcPr>
            <w:tcW w:w="7970" w:type="dxa"/>
            <w:tcBorders>
              <w:bottom w:val="single" w:sz="8" w:space="0" w:color="000000"/>
            </w:tcBorders>
            <w:vAlign w:val="center"/>
          </w:tcPr>
          <w:p>
            <w:pPr>
              <w:pStyle w:val="TableContents"/>
              <w:bidi w:val="0"/>
              <w:spacing w:before="0" w:after="283"/>
              <w:jc w:val="left"/>
              <w:rPr/>
            </w:pPr>
            <w:r>
              <w:rPr/>
              <w:t> </w:t>
            </w:r>
          </w:p>
        </w:tc>
      </w:tr>
      <w:tr>
        <w:trPr/>
        <w:tc>
          <w:tcPr>
            <w:tcW w:w="7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w:t>
            </w:r>
          </w:p>
        </w:tc>
      </w:tr>
      <w:tr>
        <w:trPr/>
        <w:tc>
          <w:tcPr>
            <w:tcW w:w="7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_____________________________________________________________________</w:t>
            </w:r>
          </w:p>
        </w:tc>
      </w:tr>
      <w:tr>
        <w:trPr/>
        <w:tc>
          <w:tcPr>
            <w:tcW w:w="7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 Person:</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Broker-Dealer Status: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033"/>
        <w:gridCol w:w="9030"/>
      </w:tblGrid>
      <w:tr>
        <w:trPr/>
        <w:tc>
          <w:tcPr>
            <w:tcW w:w="14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283"/>
              <w:jc w:val="both"/>
              <w:rPr/>
            </w:pPr>
            <w:r>
              <w:rPr/>
              <w:t>Are you a broker-dealer?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If “yes” to Section 3(a), did you receive your Registrable Securities as compensation for investment banking services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0"/>
        <w:gridCol w:w="9638"/>
      </w:tblGrid>
      <w:tr>
        <w:trPr/>
        <w:tc>
          <w:tcPr>
            <w:tcW w:w="3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Note:</w:t>
            </w:r>
          </w:p>
        </w:tc>
        <w:tc>
          <w:tcPr>
            <w:tcW w:w="9638" w:type="dxa"/>
            <w:tcBorders/>
            <w:vAlign w:val="center"/>
          </w:tcPr>
          <w:p>
            <w:pPr>
              <w:pStyle w:val="TableContents"/>
              <w:bidi w:val="0"/>
              <w:spacing w:before="0" w:after="283"/>
              <w:jc w:val="both"/>
              <w:rPr/>
            </w:pPr>
            <w:r>
              <w:rPr/>
              <w:t>If “no” to Section 3(b), the SEC’s staff has indicated that you should be identified as an underwriter in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697"/>
        <w:gridCol w:w="9412"/>
      </w:tblGrid>
      <w:tr>
        <w:trPr/>
        <w:tc>
          <w:tcPr>
            <w:tcW w:w="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(c)</w:t>
            </w:r>
          </w:p>
        </w:tc>
        <w:tc>
          <w:tcPr>
            <w:tcW w:w="9412" w:type="dxa"/>
            <w:tcBorders/>
            <w:vAlign w:val="center"/>
          </w:tcPr>
          <w:p>
            <w:pPr>
              <w:pStyle w:val="TableContents"/>
              <w:bidi w:val="0"/>
              <w:spacing w:before="0" w:after="283"/>
              <w:jc w:val="both"/>
              <w:rPr/>
            </w:pPr>
            <w:r>
              <w:rPr/>
              <w:t>Are you an affiliate of a broker-dealer?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0"/>
        <w:gridCol w:w="9638"/>
      </w:tblGrid>
      <w:tr>
        <w:trPr/>
        <w:tc>
          <w:tcPr>
            <w:tcW w:w="3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Note:</w:t>
            </w:r>
          </w:p>
        </w:tc>
        <w:tc>
          <w:tcPr>
            <w:tcW w:w="9638" w:type="dxa"/>
            <w:tcBorders/>
            <w:vAlign w:val="center"/>
          </w:tcPr>
          <w:p>
            <w:pPr>
              <w:pStyle w:val="TableContents"/>
              <w:bidi w:val="0"/>
              <w:spacing w:before="0" w:after="283"/>
              <w:jc w:val="both"/>
              <w:rPr/>
            </w:pPr>
            <w:r>
              <w:rPr/>
              <w:t>If “no” to Section 3(d), the SEC’s staff has indicated that you should be identified as an underwriter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Beneficial Ownership of Securities of the Company Owned by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90"/>
        <w:gridCol w:w="9762"/>
      </w:tblGrid>
      <w:tr>
        <w:trPr/>
        <w:tc>
          <w:tcPr>
            <w:tcW w:w="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(a)</w:t>
            </w:r>
          </w:p>
        </w:tc>
        <w:tc>
          <w:tcPr>
            <w:tcW w:w="9762" w:type="dxa"/>
            <w:tcBorders/>
            <w:vAlign w:val="center"/>
          </w:tcPr>
          <w:p>
            <w:pPr>
              <w:pStyle w:val="TableContents"/>
              <w:bidi w:val="0"/>
              <w:spacing w:before="0" w:after="283"/>
              <w:jc w:val="both"/>
              <w:rPr/>
            </w:pPr>
            <w:r>
              <w:rPr/>
              <w:t>Type and Amount of other securities beneficially owned by the Investor: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40"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Relationships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40"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tbl>
      <w:tblPr>
        <w:tblW w:w="2355" w:type="dxa"/>
        <w:jc w:val="left"/>
        <w:tblInd w:w="0" w:type="dxa"/>
        <w:tblLayout w:type="fixed"/>
        <w:tblCellMar>
          <w:top w:w="0" w:type="dxa"/>
          <w:left w:w="0" w:type="dxa"/>
          <w:bottom w:w="0" w:type="dxa"/>
          <w:right w:w="0" w:type="dxa"/>
        </w:tblCellMar>
      </w:tblPr>
      <w:tblGrid>
        <w:gridCol w:w="470"/>
        <w:gridCol w:w="260"/>
        <w:gridCol w:w="60"/>
        <w:gridCol w:w="149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6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6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EMAIL A .PDF COPY OF THE COMPLETED AND EXECUTED QUESTIONNAIRE TO: agidwani@gibsondunn.com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3" w:name="tm2620428d1_ex10-5.htm"/>
      <w:bookmarkStart w:id="34" w:name="kstm2620428d1_ex105"/>
      <w:bookmarkEnd w:id="33"/>
      <w:bookmarkEnd w:id="3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Exhibit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 Virginia Manor Road, Suite 200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Beltsville, MD 20705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signatory of this lock-up agreement (this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understands that NextCure,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entered into an Agreement and Plan of Merger and Reorganization, dated as of July 14, 2026 (as the same may be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Neptune Merger Sub Corp., a Delaware corporation and a wholly owned subsidiary of Parent, Neptune Second Merger Sub, LLC, a Delaware limited liability company and a wholly owned subsidiary of Parent, and Avere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otherwise defined herein shall have the respective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(including as constituted following the Closing), the undersigned will not, during the period commencing upon the Closing and ending on the date that is 180 days after the Closing Date (the “</w:t>
            </w:r>
            <w:r>
              <w:rPr>
                <w:u w:val="single"/>
              </w:rPr>
              <w:t>Restricted Period</w:t>
            </w:r>
            <w:r>
              <w:rPr/>
              <w:t xml:space="preserve">”); </w:t>
            </w:r>
            <w:r>
              <w:rPr>
                <w:u w:val="single"/>
              </w:rPr>
              <w:t>provided</w:t>
            </w:r>
            <w:r>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u w:val="single"/>
              </w:rPr>
              <w:t>provided further</w:t>
            </w:r>
            <w:r>
              <w:rPr/>
              <w:t>, that, this Lock-Up Agreement shall terminate immediately upon the undersigned’s termination of employment with Parent or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Awards or (iii) exercise of any warrant to purchase shares of Parent Common Stock) that are currently or hereafter owned of record or beneficially (including holding as a custodian) by the undersigned, except as set forth below (collectively, the “</w:t>
            </w:r>
            <w:r>
              <w:rPr>
                <w:u w:val="single"/>
              </w:rPr>
              <w:t>Undersigned’s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make any demand for, or exercise any right with respect to, the registration of any shares of Parent Common Stock or any security convertible into or exercisable or exchangeable for shares of Parent Common Stock (other than such rights set forth in the Merger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e.</w:t>
            </w:r>
          </w:p>
        </w:tc>
        <w:tc>
          <w:tcPr>
            <w:tcW w:w="9802" w:type="dxa"/>
            <w:tcBorders/>
            <w:vAlign w:val="center"/>
          </w:tcPr>
          <w:p>
            <w:pPr>
              <w:pStyle w:val="TableContents"/>
              <w:bidi w:val="0"/>
              <w:spacing w:before="0" w:after="283"/>
              <w:jc w:val="both"/>
              <w:rPr/>
            </w:pPr>
            <w:r>
              <w:rPr/>
              <w:t>publicly disclose the intention to do any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7"/>
        <w:gridCol w:w="9936"/>
      </w:tblGrid>
      <w:tr>
        <w:trPr/>
        <w:tc>
          <w:tcPr>
            <w:tcW w:w="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The restrictions and obligations contemplated by this Lock-Up Agreement shall not apply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92"/>
        <w:gridCol w:w="9613"/>
      </w:tblGrid>
      <w:tr>
        <w:trPr/>
        <w:tc>
          <w:tcPr>
            <w:tcW w:w="1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a.</w:t>
            </w:r>
          </w:p>
        </w:tc>
        <w:tc>
          <w:tcPr>
            <w:tcW w:w="9613" w:type="dxa"/>
            <w:tcBorders/>
            <w:vAlign w:val="center"/>
          </w:tcPr>
          <w:p>
            <w:pPr>
              <w:pStyle w:val="TableContents"/>
              <w:bidi w:val="0"/>
              <w:spacing w:before="0" w:after="283"/>
              <w:jc w:val="both"/>
              <w:rPr/>
            </w:pPr>
            <w:r>
              <w:rPr/>
              <w:t>transfers of the Undersigned’s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if the undersigned is a natural person, (A) to any person related to the undersigned (or to an ultimate beneficial owner of the undersigned) by blood or adoption who is an immediate family member of the undersigned, or by marriage or domestic partnership (each, a “</w:t>
            </w:r>
            <w:r>
              <w:rPr>
                <w:u w:val="single"/>
              </w:rPr>
              <w:t>Family Member</w:t>
            </w:r>
            <w:r>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if the undersigned is an Entity, (A) to another Entity that is an affiliate (as defined under Rule 12b-2 of the Exchange Act) of the undersigned, including investment funds or other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77"/>
        <w:gridCol w:w="9773"/>
      </w:tblGrid>
      <w:tr>
        <w:trPr/>
        <w:tc>
          <w:tcPr>
            <w:tcW w:w="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iii.</w:t>
            </w:r>
          </w:p>
        </w:tc>
        <w:tc>
          <w:tcPr>
            <w:tcW w:w="9773" w:type="dxa"/>
            <w:tcBorders/>
            <w:vAlign w:val="center"/>
          </w:tcPr>
          <w:p>
            <w:pPr>
              <w:pStyle w:val="TableContents"/>
              <w:bidi w:val="0"/>
              <w:spacing w:before="0" w:after="283"/>
              <w:jc w:val="both"/>
              <w:rPr/>
            </w:pPr>
            <w:r>
              <w:rPr/>
              <w:t>if the undersigned is a trust, to any grantors or beneficiaries of the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w:t>
            </w:r>
            <w:r>
              <w:rPr>
                <w:u w:val="single"/>
              </w:rPr>
              <w:t>provided</w:t>
            </w:r>
            <w:r>
              <w:rPr/>
              <w:t xml:space="preserve"> that, for the avoidance of doubt, the underlying shares of Parent Common Stock shall continue to be subject to the restrictions on transfer set forth in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 xml:space="preserve">transfers to Parent in connection with the net settlement of any Parent Restricted Stock Awards or other equity award that represents the right to receive in the future shares of Parent Common Stock, settled in shares of Parent Common Stock, to pay any tax withholding obligations; </w:t>
            </w:r>
            <w:r>
              <w:rPr>
                <w:u w:val="single"/>
              </w:rPr>
              <w:t>provided</w:t>
            </w:r>
            <w:r>
              <w:rPr/>
              <w:t xml:space="preserve"> that, for the avoidance of doubt, the underlying shares of Parent Common Stock shall continue to be subject to the restrictions on transfer set forth in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 xml:space="preserve">the establishment of, or amendment to, a trading plan pursuant to Rule 10b5-1 under the Exchange Act for the transfer of shares of Parent Common Stock; </w:t>
            </w:r>
            <w:r>
              <w:rPr>
                <w:u w:val="single"/>
              </w:rPr>
              <w:t>provided</w:t>
            </w:r>
            <w:r>
              <w:rPr/>
              <w:t xml:space="preserve"> that such plan does not provide for any transfers of shares of Parent Common Stock during the Restricted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the disposition (including a forfeiture or repurchase) to Parent of any shares of Parent Common Stock issued pursuant to a Parent Restricted Stock Award or otherwise granted pursuant to the terms of any employee benefit plan or restricted stock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transfers, distributions, sales or other transactions by the undersigned of shares of Parent Common Stock purchased by the undersigned on the open market or in a public offering by Parent, in each case following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t xml:space="preserve">transfers pursuant to a bona fide third party tender offer, merger, consolidation or other similar transaction made to all holders of Parent’s capital stock involving a change of control of Parent; </w:t>
            </w:r>
            <w:r>
              <w:rPr>
                <w:u w:val="single"/>
              </w:rPr>
              <w:t>provided</w:t>
            </w:r>
            <w:r>
              <w:rPr/>
              <w:t xml:space="preserve"> that in the event that such tender offer, merger, consolidation or other such transaction is not completed, the Undersigned’s Shares shall remain subject to the restrictions contained in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4"/>
        <w:gridCol w:w="9820"/>
      </w:tblGrid>
      <w:tr>
        <w:trPr/>
        <w:tc>
          <w:tcPr>
            <w:tcW w:w="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h.</w:t>
            </w:r>
          </w:p>
        </w:tc>
        <w:tc>
          <w:tcPr>
            <w:tcW w:w="9820" w:type="dxa"/>
            <w:tcBorders/>
            <w:vAlign w:val="center"/>
          </w:tcPr>
          <w:p>
            <w:pPr>
              <w:pStyle w:val="TableContents"/>
              <w:bidi w:val="0"/>
              <w:spacing w:before="0" w:after="283"/>
              <w:jc w:val="both"/>
              <w:rPr/>
            </w:pPr>
            <w:r>
              <w:rPr/>
              <w:t>transfers pursuant to an order of a court or regulatory agency;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transfers by the undersigned of shares of Parent Common Stock issued pursuant to the Merger Agreement in respect of shares of the Company, if any, purchased from the Company on or about the Closing Date but prior to the Closing;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AND MAY ONLY BE TRANSFERRED IN COMPLIANCE WITH A LOCK-UP AGREEMENT, A COPY OF WHICH IS ON FILE AT THE PRINCIPAL OFFICE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both"/>
              <w:rPr/>
            </w:pPr>
            <w:r>
              <w:rPr/>
              <w:t>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5.</w:t>
            </w:r>
          </w:p>
        </w:tc>
        <w:tc>
          <w:tcPr>
            <w:tcW w:w="10012" w:type="dxa"/>
            <w:tcBorders/>
            <w:vAlign w:val="center"/>
          </w:tcPr>
          <w:p>
            <w:pPr>
              <w:pStyle w:val="TableContents"/>
              <w:bidi w:val="0"/>
              <w:spacing w:before="0" w:after="283"/>
              <w:jc w:val="both"/>
              <w:rPr/>
            </w:pPr>
            <w:r>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6.</w:t>
            </w:r>
          </w:p>
        </w:tc>
        <w:tc>
          <w:tcPr>
            <w:tcW w:w="10025" w:type="dxa"/>
            <w:tcBorders/>
            <w:vAlign w:val="center"/>
          </w:tcPr>
          <w:p>
            <w:pPr>
              <w:pStyle w:val="TableContents"/>
              <w:bidi w:val="0"/>
              <w:spacing w:before="0" w:after="283"/>
              <w:jc w:val="both"/>
              <w:rPr/>
            </w:pPr>
            <w:r>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7.</w:t>
            </w:r>
          </w:p>
        </w:tc>
        <w:tc>
          <w:tcPr>
            <w:tcW w:w="10025" w:type="dxa"/>
            <w:tcBorders/>
            <w:vAlign w:val="center"/>
          </w:tcPr>
          <w:p>
            <w:pPr>
              <w:pStyle w:val="TableContents"/>
              <w:bidi w:val="0"/>
              <w:spacing w:before="0" w:after="283"/>
              <w:jc w:val="both"/>
              <w:rPr/>
            </w:pPr>
            <w:r>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u w:val="single"/>
              </w:rPr>
              <w:t>Pro-Rata Release</w:t>
            </w:r>
            <w:r>
              <w:rPr/>
              <w:t xml:space="preserve">”); </w:t>
            </w:r>
            <w:r>
              <w:rPr>
                <w:u w:val="single"/>
              </w:rPr>
              <w:t>provided</w:t>
            </w:r>
            <w:r>
              <w:rPr/>
              <w:t xml:space="preserve">, </w:t>
            </w:r>
            <w:r>
              <w:rPr>
                <w:u w:val="single"/>
              </w:rPr>
              <w:t>however</w:t>
            </w:r>
            <w:r>
              <w:rPr/>
              <w:t>,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pPr>
            <w:r>
              <w:rPr/>
              <w:t>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9.</w:t>
            </w:r>
          </w:p>
        </w:tc>
        <w:tc>
          <w:tcPr>
            <w:tcW w:w="9992" w:type="dxa"/>
            <w:tcBorders/>
            <w:vAlign w:val="center"/>
          </w:tcPr>
          <w:p>
            <w:pPr>
              <w:pStyle w:val="TableContents"/>
              <w:bidi w:val="0"/>
              <w:spacing w:before="0" w:after="283"/>
              <w:jc w:val="both"/>
              <w:rPr/>
            </w:pPr>
            <w:r>
              <w:rPr/>
              <w:t>The undersigned understands that this Lock-Up Agreement is irrevocable and is binding upon the undersigned’s heirs, legal representatives, successors and assigns.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10.</w:t>
            </w:r>
          </w:p>
        </w:tc>
        <w:tc>
          <w:tcPr>
            <w:tcW w:w="9905" w:type="dxa"/>
            <w:tcBorders/>
            <w:vAlign w:val="center"/>
          </w:tcPr>
          <w:p>
            <w:pPr>
              <w:pStyle w:val="TableContents"/>
              <w:bidi w:val="0"/>
              <w:spacing w:before="0" w:after="283"/>
              <w:jc w:val="both"/>
              <w:rPr/>
            </w:pPr>
            <w:r>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u w:val="single"/>
              </w:rPr>
              <w:t>Section 11</w:t>
            </w:r>
            <w:r>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HEREBY WAIVE ANY RIGHT TO TRIAL BY JURY WITH RESPECT TO ANY ACTION OR LEGAL PROCEEDING RELATED TO OR ARISING OUT OF THIS LOCK-UP AGREEMENT, ANY DOCUMENT EXECUTED IN CONNECTION HEREWITH AND THE MATTERS CONTEMPLATED HEREBY AND THEREBY.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11.</w:t>
            </w:r>
          </w:p>
        </w:tc>
        <w:tc>
          <w:tcPr>
            <w:tcW w:w="9899" w:type="dxa"/>
            <w:tcBorders/>
            <w:vAlign w:val="center"/>
          </w:tcPr>
          <w:p>
            <w:pPr>
              <w:pStyle w:val="TableContents"/>
              <w:bidi w:val="0"/>
              <w:spacing w:before="0" w:after="283"/>
              <w:jc w:val="both"/>
              <w:rPr/>
            </w:pPr>
            <w:r>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12.</w:t>
            </w:r>
          </w:p>
        </w:tc>
        <w:tc>
          <w:tcPr>
            <w:tcW w:w="9896" w:type="dxa"/>
            <w:tcBorders/>
            <w:vAlign w:val="center"/>
          </w:tcPr>
          <w:p>
            <w:pPr>
              <w:pStyle w:val="TableContents"/>
              <w:bidi w:val="0"/>
              <w:spacing w:before="0" w:after="283"/>
              <w:jc w:val="both"/>
              <w:rPr/>
            </w:pPr>
            <w:r>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75"/>
        <w:gridCol w:w="2225"/>
        <w:gridCol w:w="1168"/>
        <w:gridCol w:w="1071"/>
      </w:tblGrid>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 Name of Stockholder:</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(for individuals):</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(for entities):</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pPr>
            <w:r>
              <w:rPr/>
              <w:t> </w:t>
            </w:r>
          </w:p>
        </w:tc>
        <w:tc>
          <w:tcPr>
            <w:tcW w:w="107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071"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07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071"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NEXTCURE,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560"/>
        <w:gridCol w:w="293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9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5" w:name="tm2620428d1_ex10-6.htm"/>
      <w:bookmarkStart w:id="36" w:name="kstm2620428d1_ex106"/>
      <w:bookmarkEnd w:id="35"/>
      <w:bookmarkEnd w:id="3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VALUE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CONTINGENT VALUE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is entered into by and between NextCure,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 a [●], as the Rights Agent (as defined herein), and [●], a [●], solely in its capacity as the initial representative, agent and attorney in fact of the Holders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Neptune Merger Sub Corp., a Delaware corporation and wholly-owned subsidiary of the Company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Neptune Second Merger Sub, LLC, a Delaware limited liability company and wholly-owned subsidiary of the Company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Avere Therapeutics, Inc., a Delaware corporation (“</w:t>
      </w:r>
      <w:r>
        <w:rPr>
          <w:rFonts w:ascii="Times New Roman;Times;Serif" w:hAnsi="Times New Roman;Times;Serif"/>
          <w:b/>
          <w:i w:val="false"/>
          <w:caps w:val="false"/>
          <w:smallCaps w:val="false"/>
          <w:sz w:val="20"/>
        </w:rPr>
        <w:t>Avere</w:t>
      </w:r>
      <w:r>
        <w:rPr>
          <w:rFonts w:ascii="Times New Roman;Times;Serif" w:hAnsi="Times New Roman;Times;Serif"/>
          <w:b w:val="false"/>
          <w:i w:val="false"/>
          <w:caps w:val="false"/>
          <w:smallCaps w:val="false"/>
          <w:sz w:val="20"/>
        </w:rPr>
        <w:t>”), have entered into an Agreement and Plan of Merger and Reorganization, dated as of July 14,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First Merger Sub will merge with and into Avere, with Avere surviving the First Merger as a wholly-owned Subsidiary of the Company, and immediately following the First Merger and as part of the same overall transaction as the First Merger, Avere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and in accordance with the terms and conditions thereof, the Company has agreed to issue to the Holders (as defined herein) contingent value rights as hereinafter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formed a new wholly owned subsidiary of the Company (“</w:t>
      </w:r>
      <w:r>
        <w:rPr>
          <w:rFonts w:ascii="Times New Roman;Times;Serif" w:hAnsi="Times New Roman;Times;Serif"/>
          <w:b/>
          <w:i w:val="false"/>
          <w:caps w:val="false"/>
          <w:smallCaps w:val="false"/>
          <w:sz w:val="20"/>
        </w:rPr>
        <w:t>NewCo</w:t>
      </w:r>
      <w:r>
        <w:rPr>
          <w:rFonts w:ascii="Times New Roman;Times;Serif" w:hAnsi="Times New Roman;Times;Serif"/>
          <w:b w:val="false"/>
          <w:i w:val="false"/>
          <w:caps w:val="false"/>
          <w:smallCaps w:val="false"/>
          <w:sz w:val="20"/>
        </w:rPr>
        <w:t xml:space="preserve">”) and, prior to the date hereof, has transferred, assigned, conveyed and delivered to NewCo substantially all of the assets and liabilities of the Company relating to the assets of the Company or any of its Subsidiaries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NewCo Assets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but not otherwise defined herein have the meanings ascribed thereto in the Merger Agreement. The following terms have the meanings ascribed to them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Acting Holders</w:t>
      </w:r>
      <w:r>
        <w:rPr>
          <w:rFonts w:ascii="Times New Roman;Times;Serif" w:hAnsi="Times New Roman;Times;Serif"/>
          <w:b w:val="false"/>
          <w:i w:val="false"/>
          <w:caps w:val="false"/>
          <w:smallCaps w:val="false"/>
          <w:sz w:val="20"/>
        </w:rPr>
        <w:t>” means, at the time of determination, the Holders of more than fifty percent (50%) of the outstanding CVRs, as reflected on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w:t>
      </w:r>
      <w:r>
        <w:rPr>
          <w:rFonts w:ascii="Times New Roman;Times;Serif" w:hAnsi="Times New Roman;Times;Serif"/>
          <w:b w:val="false"/>
          <w:i w:val="false"/>
          <w:caps w:val="false"/>
          <w:smallCaps w:val="false"/>
          <w:sz w:val="20"/>
        </w:rPr>
        <w:t>” means shares of Parent Common Stock (including, for the avoidance of doubt, those shares of Parent Common Stock with respect to Parent Restricted Stock Awards accelerated pursuant to Section 6.6(e) of the Merger Agreement) and shares of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w:t>
      </w:r>
      <w:r>
        <w:rPr>
          <w:rFonts w:ascii="Times New Roman;Times;Serif" w:hAnsi="Times New Roman;Times;Serif"/>
          <w:b w:val="false"/>
          <w:i w:val="false"/>
          <w:caps w:val="false"/>
          <w:smallCaps w:val="false"/>
          <w:sz w:val="20"/>
        </w:rPr>
        <w:t>” means a contingent contractual right of Holders to receive CVR Proceeds pursuant to the Merger Agreement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Expense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Amount</w:t>
      </w:r>
      <w:r>
        <w:rPr>
          <w:rFonts w:ascii="Times New Roman;Times;Serif" w:hAnsi="Times New Roman;Times;Serif"/>
          <w:b w:val="false"/>
          <w:i w:val="false"/>
          <w:caps w:val="false"/>
          <w:smallCaps w:val="false"/>
          <w:sz w:val="20"/>
        </w:rPr>
        <w:t>”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Date</w:t>
      </w:r>
      <w:r>
        <w:rPr>
          <w:rFonts w:ascii="Times New Roman;Times;Serif" w:hAnsi="Times New Roman;Times;Serif"/>
          <w:b w:val="false"/>
          <w:i w:val="false"/>
          <w:caps w:val="false"/>
          <w:smallCaps w:val="false"/>
          <w:sz w:val="20"/>
        </w:rPr>
        <w:t>” means a date that is no later than thirty (30) days following the receipt of the corresponding portion of Gross Proceeds by the Company or any of its Affiliates, pursuant to which CVR Proceeds are payable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Proceeds</w:t>
      </w:r>
      <w:r>
        <w:rPr>
          <w:rFonts w:ascii="Times New Roman;Times;Serif" w:hAnsi="Times New Roman;Times;Serif"/>
          <w:b w:val="false"/>
          <w:i w:val="false"/>
          <w:caps w:val="false"/>
          <w:smallCaps w:val="false"/>
          <w:sz w:val="20"/>
        </w:rPr>
        <w:t>” means, without duplication, ninety percent (90%) of the Net Proceeds in the case of any Legacy Assets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Term</w:t>
      </w:r>
      <w:r>
        <w:rPr>
          <w:rFonts w:ascii="Times New Roman;Times;Serif" w:hAnsi="Times New Roman;Times;Serif"/>
          <w:b w:val="false"/>
          <w:i w:val="false"/>
          <w:caps w:val="false"/>
          <w:smallCaps w:val="false"/>
          <w:sz w:val="20"/>
        </w:rPr>
        <w:t xml:space="preserve">” means the period beginning on the Closing Date and ending upon the second (2nd) anniversary of expiration of the Legacy Assets Transaction Period; provided, that, with respect to the Legacy Assets Transaction Agreements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the CVR Term shall automatically extend until the eighth (8th) anniversary of the expiration of the Legacy Assets Transaction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Gross Proceeds</w:t>
      </w:r>
      <w:r>
        <w:rPr>
          <w:rFonts w:ascii="Times New Roman;Times;Serif" w:hAnsi="Times New Roman;Times;Serif"/>
          <w:b w:val="false"/>
          <w:i w:val="false"/>
          <w:caps w:val="false"/>
          <w:smallCaps w:val="false"/>
          <w:sz w:val="20"/>
        </w:rPr>
        <w:t>” means, without duplication, the sum of all cash consideration actually received by the Company or Newco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CVRs are registered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w:t>
      </w:r>
      <w:r>
        <w:rPr>
          <w:rFonts w:ascii="Times New Roman;Times;Serif" w:hAnsi="Times New Roman;Times;Serif"/>
          <w:b w:val="false"/>
          <w:i w:val="false"/>
          <w:caps w:val="false"/>
          <w:smallCaps w:val="false"/>
          <w:sz w:val="20"/>
        </w:rPr>
        <w:t>” means all of the Company’s interest in Newco and Newco’s right, title and interest in and to the Newco Assets as of immediately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 Transaction</w:t>
      </w:r>
      <w:r>
        <w:rPr>
          <w:rFonts w:ascii="Times New Roman;Times;Serif" w:hAnsi="Times New Roman;Times;Serif"/>
          <w:b w:val="false"/>
          <w:i w:val="false"/>
          <w:caps w:val="false"/>
          <w:smallCaps w:val="false"/>
          <w:sz w:val="20"/>
        </w:rPr>
        <w:t>” means the sale, transfer, license or other disposition by the Company or Newco of all or any part of any Legacy Asset to any third party (including any sale or disposition of equity securities in any Subsidiary of the Company that holds any right, title or interest in or to any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 Transaction Agreement</w:t>
      </w:r>
      <w:r>
        <w:rPr>
          <w:rFonts w:ascii="Times New Roman;Times;Serif" w:hAnsi="Times New Roman;Times;Serif"/>
          <w:b w:val="false"/>
          <w:i w:val="false"/>
          <w:caps w:val="false"/>
          <w:smallCaps w:val="false"/>
          <w:sz w:val="20"/>
        </w:rPr>
        <w:t xml:space="preserve">” means a definitive agreement, contract or other definitive arrangement entered into by the Company or Newco providing for a transaction or series of transactions regarding a Legacy Assets Transaction, in each case, as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hereto or entered into during the Legacy Assets Transaction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 Transaction Period</w:t>
      </w:r>
      <w:r>
        <w:rPr>
          <w:rFonts w:ascii="Times New Roman;Times;Serif" w:hAnsi="Times New Roman;Times;Serif"/>
          <w:b w:val="false"/>
          <w:i w:val="false"/>
          <w:caps w:val="false"/>
          <w:smallCaps w:val="false"/>
          <w:sz w:val="20"/>
        </w:rPr>
        <w:t>” means the period commencing on the Closing Date and ending on the second (2nd)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and the chief financial officer of the Company, in their respective official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the Company or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Deductions</w:t>
      </w:r>
      <w:r>
        <w:rPr>
          <w:rFonts w:ascii="Times New Roman;Times;Serif" w:hAnsi="Times New Roman;Times;Serif"/>
          <w:b w:val="false"/>
          <w:i w:val="false"/>
          <w:caps w:val="false"/>
          <w:smallCaps w:val="false"/>
          <w:sz w:val="20"/>
        </w:rPr>
        <w:t>” means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 Cap to the extent not included in the determination of the Parent Net Cash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proceeds in consideration for a Legacy Assets Transaction pursuant to a Legacy Assets Transaction Agreement included in the final determination of the Parent Net Cash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royalties or other amounts payable by the Company or any of its Affiliates to any third party in connection with any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Liabilities borne by the Company or any of its Affiliates pursuant to Contracts related to Legacy Assets, including costs arising from the termination thereof (in each case, only to the extent not included in the calculation of Parent Net Cash);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Liabilities existing or incurred during the CVR Term that would have been required to be included in the calculation of the Parent Net Cash to the extent not taken account in the calculation of the Parent Net Cash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CONTINGENT VALUE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Holders of CVRs; Appointment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appoints the Rights Agent to act as Rights Agent for the Company in accordance with the express terms and conditions set forth in this Agreement, and the Rights Agent hereby accepts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Non-transferable</w:t>
      </w:r>
      <w:r>
        <w:rPr>
          <w:rFonts w:ascii="Times New Roman;Times;Serif" w:hAnsi="Times New Roman;Times;Serif"/>
          <w:b w:val="false"/>
          <w:i w:val="false"/>
          <w:caps w:val="false"/>
          <w:smallCaps w:val="false"/>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be void ab initio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No Certificate; Registration; Registration of Transfer; Change of Address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be issued in book-entry form only and will not be evidenced by a certificate or other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create and maintain a register (the “</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all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provide written instructions to the Rights Agent for the distribution of CVRs to holders of Company Shares as of the Business Day immediately prior to the Effective Time (the “</w:t>
      </w:r>
      <w:r>
        <w:rPr>
          <w:rFonts w:ascii="Times New Roman;Times;Serif" w:hAnsi="Times New Roman;Times;Serif"/>
          <w:b/>
          <w:i w:val="false"/>
          <w:caps w:val="false"/>
          <w:smallCaps w:val="false"/>
          <w:sz w:val="20"/>
        </w:rPr>
        <w:t>Record Time</w:t>
      </w:r>
      <w:r>
        <w:rPr>
          <w:rFonts w:ascii="Times New Roman;Times;Serif" w:hAnsi="Times New Roman;Times;Serif"/>
          <w:b w:val="false"/>
          <w:i w:val="false"/>
          <w:caps w:val="false"/>
          <w:smallCaps w:val="false"/>
          <w:sz w:val="20"/>
        </w:rPr>
        <w:t>”).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or prior to each CVR Payment Date and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Times;Serif" w:hAnsi="Times New Roman;Times;Serif"/>
          <w:b/>
          <w:i w:val="false"/>
          <w:caps w:val="false"/>
          <w:smallCaps w:val="false"/>
          <w:sz w:val="20"/>
        </w:rPr>
        <w:t>CVR Payment Notice</w:t>
      </w:r>
      <w:r>
        <w:rPr>
          <w:rFonts w:ascii="Times New Roman;Times;Serif" w:hAnsi="Times New Roman;Times;Serif"/>
          <w:b w:val="false"/>
          <w:i w:val="false"/>
          <w:caps w:val="false"/>
          <w:smallCaps w:val="false"/>
          <w:sz w:val="20"/>
        </w:rPr>
        <w:t xml:space="preserve">”), (ii) an officer’s certificate certifying such calculation, and (iii) a letter of instruction setting forth, for each CVR, the CVR Payment Amount with respect thereto (including each component included in the calculation thereof) together with any other letter of instruction reasonably required by the Rights Agent. On or prior to any CVR Payment Date and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the Company shall deliver to the Rights Agent the CVR Payment Amounts required by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the satisfaction of each of the Company’s obligations set forth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2.4(g)</w:t>
      </w:r>
      <w:r>
        <w:rPr>
          <w:rFonts w:ascii="Times New Roman;Times;Serif" w:hAnsi="Times New Roman;Times;Serif"/>
          <w:b w:val="false"/>
          <w:i w:val="false"/>
          <w:caps w:val="false"/>
          <w:smallCaps w:val="false"/>
          <w:sz w:val="20"/>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Times;Serif" w:hAnsi="Times New Roman;Times;Serif"/>
          <w:b w:val="false"/>
          <w:i w:val="false"/>
          <w:caps w:val="false"/>
          <w:smallCaps w:val="false"/>
          <w:sz w:val="20"/>
          <w:u w:val="single"/>
        </w:rPr>
        <w:t>Section 22.4(g).7(b)</w:t>
      </w:r>
      <w:r>
        <w:rPr>
          <w:rFonts w:ascii="Times New Roman;Times;Serif" w:hAnsi="Times New Roman;Times;Serif"/>
          <w:b w:val="false"/>
          <w:i w:val="false"/>
          <w:caps w:val="false"/>
          <w:smallCaps w:val="false"/>
          <w:sz w:val="20"/>
        </w:rPr>
        <w:t xml:space="preserve"> herein. The Rights Agent shall have no responsibility or liability for any diminution of funds that may result from any deposit made by the Rights Agent in accordance with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the Representative acknowledges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will promptly, and in any event within ten (10) Business Days after receipt of the CVR Payment Notice send each Holder at its registered address a copy of the CVR Payment Notice (at the Company’s sole cost and expense). Following the applicable CVR Payment Date, promptly (and in any event within fifteen (15) days following the date such CVR Payment Notice is sent to the Holders, the Rights Agent will also pay the applicable CVR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any Permitted Deductions, the Company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The Company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permitted by applicable Law, the Parties acknowledge that each Holder may elect treat the CVRs received with respect to the Company Shares pursuant to the Merger Agreement for all U.S. federal and applicable state and local income Tax purposes as additional consideration paid with respect to such Company Shares in connection with the First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No Voting, Dividends or Interest; No Equity or Ownership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and when issued, the CVRs will not have any voting or dividend rights, and interest will not accrue on any amounts payable in respect of CVRs to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and when issued, the CVRs will not represent any equity or ownership interest in the Company or in any constituent company to the Merger. It is hereby acknowledged and agreed that a CVR shall not constitute a security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is an essential and material term of this Agreement and that in no event shall the Company, its board of directors or its officers and Affiliates be deemed to have any fiduciary or similar duties to any Holder by virtue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Ability to Abandon CVR</w:t>
      </w:r>
      <w:r>
        <w:rPr>
          <w:rFonts w:ascii="Times New Roman;Times;Serif" w:hAnsi="Times New Roman;Times;Serif"/>
          <w:b w:val="false"/>
          <w:i w:val="false"/>
          <w:caps w:val="false"/>
          <w:smallCaps w:val="false"/>
          <w:sz w:val="20"/>
        </w:rPr>
        <w:t>.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bad faith or gross negligence of the Rights Agent.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Representative, acting by the written consent to the Acting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Certain Rights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on its part, not incur any liability and shall be held harmless by the Company for or in respect of any action taken or omitted to be taken by it under the provisions of this Agreement in reliance upon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permissive rights of the Rights Agent hereunder will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not be required to give any note or surety in respect of the execution of its powers or otherwise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shall not apply with respect to income, receipt, franchise or similar Taxes levied against the Rights Agent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agrees (i) to pay the fees of the Rights Agent in connection with the Rights Agent’s performance of its obligations hereunder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if the Company is found by a court of competent jurisdiction to be liable to the Rights Agent or the Holders, as applicable in such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Agent shall have no responsibility to the Company, any holders of CVRs, any holders of Company Shares or any other Person for interest or earnings on any moneys held by the Rights Agent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(x) the date so specified and (y) the appointment of a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Rights Agent resigns, is removed or becomes incapable of acting, the Company will promptly appoint a qualified successor Rights Agent who may not be an Affiliate (including a director or officer) of the Company. Notwithstanding the foregoing, if the Company fails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give notice to the Holders of each resignation or removal of the Rights Agent and each appointment of a successor Rights Agent by mailing written notice of such event by first-class mail to the Holders as their names and addresses appear in the CVR Register. Each notice will include the name and address of the successor Rights Agent. If the Company fails to send such notice within ten (10) days after acceptance of appointment by a successor Rights Agent, the successor Rights Agent will cause the notice to be mailed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Representative, the Company will not appoint as a successor Rights Agent any Person that is not a stock transfer agent of national reputation or the corporate trust department of a commercial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w:t>
        <w:tab/>
      </w:r>
      <w:r>
        <w:rPr>
          <w:rFonts w:ascii="Times New Roman;Times;Serif" w:hAnsi="Times New Roman;Times;Serif"/>
          <w:b/>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List of Holders</w:t>
      </w:r>
      <w:r>
        <w:rPr>
          <w:rFonts w:ascii="Times New Roman;Times;Serif" w:hAnsi="Times New Roman;Times;Serif"/>
          <w:b w:val="false"/>
          <w:i w:val="false"/>
          <w:caps w:val="false"/>
          <w:smallCaps w:val="false"/>
          <w:sz w:val="20"/>
        </w:rPr>
        <w:t>.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Obligations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4.2(b), (i)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(ii) none of the Company or any of its Affiliates (or any directors, officer, employee, or other representative of the foregoing) owes any fiduciary duty or similar duty to any Holder in respect of the Legacy Assets, and (iii) following the Legacy Assets Transaction Period, the Company shall be permitted to take any action in respect of the Legacy Assets in order to satisfy any wind-down and termination Liabilities of the Legacy Assets. Except as set forth in Section 4.2(b), during and after the Legacy Assets Transaction Period, the Company shall not be required to use any efforts to pursue one or more Legacy Assets Transactions with respect to the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Legacy Assets Transaction Period, the Company shall expend up to $500,000 (the “</w:t>
      </w:r>
      <w:r>
        <w:rPr>
          <w:rFonts w:ascii="Times New Roman;Times;Serif" w:hAnsi="Times New Roman;Times;Serif"/>
          <w:b/>
          <w:i w:val="false"/>
          <w:caps w:val="false"/>
          <w:smallCaps w:val="false"/>
          <w:sz w:val="20"/>
        </w:rPr>
        <w:t>CVR Expense Cap</w:t>
      </w:r>
      <w:r>
        <w:rPr>
          <w:rFonts w:ascii="Times New Roman;Times;Serif" w:hAnsi="Times New Roman;Times;Serif"/>
          <w:b w:val="false"/>
          <w:i w:val="false"/>
          <w:caps w:val="false"/>
          <w:smallCaps w:val="false"/>
          <w:sz w:val="20"/>
        </w:rPr>
        <w:t>”) solely to fund the fees, costs and expenses of one or more consultants or third party vendors engaged by Newco prior to the Closing (“</w:t>
      </w:r>
      <w:r>
        <w:rPr>
          <w:rFonts w:ascii="Times New Roman;Times;Serif" w:hAnsi="Times New Roman;Times;Serif"/>
          <w:b/>
          <w:i w:val="false"/>
          <w:caps w:val="false"/>
          <w:smallCaps w:val="false"/>
          <w:sz w:val="20"/>
        </w:rPr>
        <w:t>Legacy Assets Consultants</w:t>
      </w:r>
      <w:r>
        <w:rPr>
          <w:rFonts w:ascii="Times New Roman;Times;Serif" w:hAnsi="Times New Roman;Times;Serif"/>
          <w:b w:val="false"/>
          <w:i w:val="false"/>
          <w:caps w:val="false"/>
          <w:smallCaps w:val="false"/>
          <w:sz w:val="20"/>
        </w:rPr>
        <w:t>”) to assist in (i) maintaining the Legacy Assets; (ii) the marketing or sale of the Legacy Assets by the Legacy Assets Consultant, (iii) the performance of any obligations or enforcement of any rights under any agreement relating to the sale of the Legacy Assets, and (iv) the conversion of non-cash proceeds into cash or cash equivalents. In particular, the Legacy Assets Consultants may be engaged by Newco to maintain (and pay all expenses associated therewith), consistent with past practices, all material documentation supporting the research and development of the Legacy Assets, the master cell bank associated with the Legacy Assets and all Parent IP Rights (and Parent IP Rights Agreements), with all such costs counting towards the CVR Expense Cap. The costs associated with the foregoing efforts shall be included as a deduction in the determination of the Parent Net Cash in accordance with the Merger Agreement. Notwithstanding anything to the contrary in this Agreement, the Company shall use commercially reasonable efforts to not, and shall use commercially reasonable efforts to cause its Affiliates not to, take any action or fail to take any action, in either case, with the primary purpose of avoiding, or intended to prevent or materially delay (A) during the Legacy Assets Transaction Period, the entry into any Legacy Assets Transaction Agreement or (B) during the CVR Term, the receipt of Gross Proceeds or the payment of any CVR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Books and Records</w:t>
      </w:r>
      <w:r>
        <w:rPr>
          <w:rFonts w:ascii="Times New Roman;Times;Serif" w:hAnsi="Times New Roman;Times;Serif"/>
          <w:b w:val="false"/>
          <w:i w:val="false"/>
          <w:caps w:val="false"/>
          <w:smallCaps w:val="false"/>
          <w:sz w:val="20"/>
        </w:rPr>
        <w:t>.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w:t>
      </w:r>
      <w:r>
        <w:rPr>
          <w:rFonts w:ascii="Times New Roman;Times;Serif" w:hAnsi="Times New Roman;Times;Serif"/>
          <w:b/>
          <w:i w:val="false"/>
          <w:caps w:val="false"/>
          <w:smallCaps w:val="false"/>
          <w:sz w:val="20"/>
          <w:u w:val="single"/>
        </w:rPr>
        <w:t>Audits and Information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thirty (30) days following the end of each Calendar Year during the CVR Term, the Legacy Assets Consultants shall prepare and deliver to the Rights Agent a high-level written report summarizing (i) the performance of, and significant activity related to, the Legacy Assets Transaction Agreements (including status updates on negotiations related to potential Legacy Assets Transaction Agreements not yet executed and the conduct of any material development and commercialization activities pertaining to the Legacy Assets following the Closing Date) and (ii) any CVR Payment Amounts paid or payable (including expectations around upcoming payments and the timing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Until the expiration of this Agreement and for a period of one (1) year thereafter, the Company shall keep complete and accurate 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unless after an accounting period has been audited by the Representative, the Company restates its financial results for such accounting period, in which event the Representative may conduct a second audit of such accounting period in accordance with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The fees charged by the accountant shall be borne by such Holders, unless such audit identifies an aggregate underpayment by the Company of the CVR Payment Amounts owed to Holders by more than ten percent (10%), in which case such fees shall be paid by the Company. The accountant shall provide the Company with a copy of all disclosures made to such Holders. The decision of the accountant shall be final, conclusive and binding on the Company and the Holders, shall be non-appealable and shall not be subject to further review, absent manifest error. The Company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without interest or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w:t>
      </w:r>
      <w:r>
        <w:rPr>
          <w:rFonts w:ascii="Times New Roman;Times;Serif" w:hAnsi="Times New Roman;Times;Serif"/>
          <w:b/>
          <w:i w:val="false"/>
          <w:caps w:val="false"/>
          <w:smallCaps w:val="false"/>
          <w:sz w:val="20"/>
          <w:u w:val="single"/>
        </w:rPr>
        <w:t>Payment of CVR Payment Amounts</w:t>
      </w:r>
      <w:r>
        <w:rPr>
          <w:rFonts w:ascii="Times New Roman;Times;Serif" w:hAnsi="Times New Roman;Times;Serif"/>
          <w:b w:val="false"/>
          <w:i w:val="false"/>
          <w:caps w:val="false"/>
          <w:smallCaps w:val="false"/>
          <w:sz w:val="20"/>
        </w:rPr>
        <w:t xml:space="preserve">. The Company shall, promptly following receipt of a payment of CVR Proceeds, deposit with the Rights Agent, for payment to the Holders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w:t>
      </w:r>
      <w:r>
        <w:rPr>
          <w:rFonts w:ascii="Times New Roman;Times;Serif" w:hAnsi="Times New Roman;Times;Serif"/>
          <w:b/>
          <w:i w:val="false"/>
          <w:caps w:val="false"/>
          <w:smallCaps w:val="false"/>
          <w:sz w:val="20"/>
          <w:u w:val="single"/>
        </w:rPr>
        <w:t>Prohibited Actions</w:t>
      </w:r>
      <w:r>
        <w:rPr>
          <w:rFonts w:ascii="Times New Roman;Times;Serif" w:hAnsi="Times New Roman;Times;Serif"/>
          <w:b w:val="false"/>
          <w:i w:val="false"/>
          <w:caps w:val="false"/>
          <w:smallCaps w:val="false"/>
          <w:sz w:val="20"/>
        </w:rPr>
        <w:t>. Unless approved by the Representative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w:t>
      </w:r>
      <w:r>
        <w:rPr>
          <w:rFonts w:ascii="Times New Roman;Times;Serif" w:hAnsi="Times New Roman;Times;Serif"/>
          <w:b/>
          <w:i w:val="false"/>
          <w:caps w:val="false"/>
          <w:smallCaps w:val="false"/>
          <w:sz w:val="20"/>
          <w:u w:val="single"/>
        </w:rPr>
        <w:t>Representative</w:t>
      </w:r>
      <w:r>
        <w:rPr>
          <w:rFonts w:ascii="Times New Roman;Times;Serif" w:hAnsi="Times New Roman;Times;Serif"/>
          <w:b w:val="false"/>
          <w:i w:val="false"/>
          <w:caps w:val="false"/>
          <w:smallCaps w:val="false"/>
          <w:sz w:val="20"/>
        </w:rPr>
        <w:t>. The Acting Holders may enter into an engagement agreement (the “</w:t>
      </w:r>
      <w:r>
        <w:rPr>
          <w:rFonts w:ascii="Times New Roman;Times;Serif" w:hAnsi="Times New Roman;Times;Serif"/>
          <w:b/>
          <w:i w:val="false"/>
          <w:caps w:val="false"/>
          <w:smallCaps w:val="false"/>
          <w:sz w:val="20"/>
        </w:rPr>
        <w:t>Representative Engagement Agreement</w:t>
      </w:r>
      <w:r>
        <w:rPr>
          <w:rFonts w:ascii="Times New Roman;Times;Serif" w:hAnsi="Times New Roman;Times;Serif"/>
          <w:b w:val="false"/>
          <w:i w:val="false"/>
          <w:caps w:val="false"/>
          <w:smallCaps w:val="false"/>
          <w:sz w:val="20"/>
        </w:rPr>
        <w:t>”) with the Representative and provide direction to the Representative in connection with its services under this Agreement and the Representative Engagement Agreement (such Holders, including their individual representatives, collectively hereinafter referred to as the “</w:t>
      </w:r>
      <w:r>
        <w:rPr>
          <w:rFonts w:ascii="Times New Roman;Times;Serif" w:hAnsi="Times New Roman;Times;Serif"/>
          <w:b/>
          <w:i w:val="false"/>
          <w:caps w:val="false"/>
          <w:smallCaps w:val="false"/>
          <w:sz w:val="20"/>
        </w:rPr>
        <w:t>Advisory Group</w:t>
      </w:r>
      <w:r>
        <w:rPr>
          <w:rFonts w:ascii="Times New Roman;Times;Serif" w:hAnsi="Times New Roman;Times;Serif"/>
          <w:b w:val="false"/>
          <w:i w:val="false"/>
          <w:caps w:val="false"/>
          <w:smallCaps w:val="false"/>
          <w:sz w:val="20"/>
        </w:rPr>
        <w:t>”). Neither the Representative nor its members, managers, directors, officers, contractors, agents and employees nor any member of the Advisory Group (collectively, the “</w:t>
      </w:r>
      <w:r>
        <w:rPr>
          <w:rFonts w:ascii="Times New Roman;Times;Serif" w:hAnsi="Times New Roman;Times;Serif"/>
          <w:b/>
          <w:i w:val="false"/>
          <w:caps w:val="false"/>
          <w:smallCaps w:val="false"/>
          <w:sz w:val="20"/>
        </w:rPr>
        <w:t>Representative Group</w:t>
      </w:r>
      <w:r>
        <w:rPr>
          <w:rFonts w:ascii="Times New Roman;Times;Serif" w:hAnsi="Times New Roman;Times;Serif"/>
          <w:b w:val="false"/>
          <w:i w:val="false"/>
          <w:caps w:val="false"/>
          <w:smallCaps w:val="false"/>
          <w:sz w:val="20"/>
        </w:rPr>
        <w:t>”),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w:t>
      </w:r>
      <w:r>
        <w:rPr>
          <w:rFonts w:ascii="Times New Roman;Times;Serif" w:hAnsi="Times New Roman;Times;Serif"/>
          <w:b/>
          <w:i w:val="false"/>
          <w:caps w:val="false"/>
          <w:smallCaps w:val="false"/>
          <w:sz w:val="20"/>
        </w:rPr>
        <w:t>Representative Expenses</w:t>
      </w:r>
      <w:r>
        <w:rPr>
          <w:rFonts w:ascii="Times New Roman;Times;Serif" w:hAnsi="Times New Roman;Times;Serif"/>
          <w:b w:val="false"/>
          <w:i w:val="false"/>
          <w:caps w:val="false"/>
          <w:smallCaps w:val="false"/>
          <w:sz w:val="20"/>
        </w:rPr>
        <w:t>”)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 (A) for the purposes of paying directly or reimbursing the Representative for any Representative Expenses incurred pursuant to this Agreement or the Representative Engagement Agreement, or (B) as otherwise determined by the Advisory Group (such fund, the “</w:t>
      </w:r>
      <w:r>
        <w:rPr>
          <w:rFonts w:ascii="Times New Roman;Times;Serif" w:hAnsi="Times New Roman;Times;Serif"/>
          <w:b/>
          <w:i w:val="false"/>
          <w:caps w:val="false"/>
          <w:smallCaps w:val="false"/>
          <w:sz w:val="20"/>
        </w:rPr>
        <w:t>Representative Expense Fund</w:t>
      </w:r>
      <w:r>
        <w:rPr>
          <w:rFonts w:ascii="Times New Roman;Times;Serif" w:hAnsi="Times New Roman;Times;Serif"/>
          <w:b w:val="false"/>
          <w:i w:val="false"/>
          <w:caps w:val="false"/>
          <w:smallCaps w:val="false"/>
          <w:sz w:val="20"/>
        </w:rPr>
        <w:t>”).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Amendments Without Consent of Holders or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the consent of the Representative, any Holders or the Rights Agent, the Company may, at any time and from time to time, enter into one or more amendments hereto to evidence any successor or permitted assignee of the Company and the assumption by any such successor or permitted assignee of the covenants of the Company herein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add to the covenants of the Company such further covenants, restrictions, conditions or provisions as the Company and the Rights Agent will consider to be for the protection and benefit of the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may be necessary or appropriate to ensure that the CVRs are not subject to registration under the Securities Act or the Exchange Act and the rules and regulations promulgated thereunder, or any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or appropriate to ensure that the Company is not required to produce a prospectus or an admission document in order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cancel the CVRs (i) in the event that any Holder has abandoned its rights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(ii) in order to give effect to the provisions of </w:t>
      </w:r>
      <w:r>
        <w:rPr>
          <w:rFonts w:ascii="Times New Roman;Times;Serif" w:hAnsi="Times New Roman;Times;Serif"/>
          <w:b w:val="false"/>
          <w:i w:val="false"/>
          <w:caps w:val="false"/>
          <w:smallCaps w:val="false"/>
          <w:sz w:val="20"/>
          <w:u w:val="single"/>
        </w:rPr>
        <w:t>Section 2.4(g)</w:t>
      </w:r>
      <w:r>
        <w:rPr>
          <w:rFonts w:ascii="Times New Roman;Times;Serif" w:hAnsi="Times New Roman;Times;Serif"/>
          <w:b w:val="false"/>
          <w:i w:val="false"/>
          <w:caps w:val="false"/>
          <w:smallCaps w:val="false"/>
          <w:sz w:val="20"/>
        </w:rPr>
        <w:t xml:space="preserve"> or (iii) following a transfer of such CVRs to the Company or its Affiliates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may be necessary or appropriate to ensure that the Company complies with applicable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to effect any other amendment to this Agreement for the purpose of adding, eliminating or changing any provisions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such additions, eliminations or changes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the execution by the Company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any amendments to this Agreement that may be made by the Company without the consent of any Holder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Representative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Effect of Amendments</w:t>
      </w:r>
      <w:r>
        <w:rPr>
          <w:rFonts w:ascii="Times New Roman;Times;Serif" w:hAnsi="Times New Roman;Times;Serif"/>
          <w:b w:val="false"/>
          <w:i w:val="false"/>
          <w:caps w:val="false"/>
          <w:smallCaps w:val="false"/>
          <w:sz w:val="20"/>
        </w:rPr>
        <w:t xml:space="preserve">. 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w:t>
      </w:r>
      <w:r>
        <w:rPr>
          <w:rFonts w:ascii="Times New Roman;Times;Serif" w:hAnsi="Times New Roman;Times;Serif"/>
          <w:b/>
          <w:i w:val="false"/>
          <w:caps w:val="false"/>
          <w:smallCaps w:val="false"/>
          <w:sz w:val="20"/>
          <w:u w:val="single"/>
        </w:rPr>
        <w:t>Notices to Rights Agent and to the Company</w:t>
      </w:r>
      <w:r>
        <w:rPr>
          <w:rFonts w:ascii="Times New Roman;Times;Serif" w:hAnsi="Times New Roman;Times;Serif"/>
          <w:b w:val="false"/>
          <w:i w:val="false"/>
          <w:caps w:val="false"/>
          <w:smallCaps w:val="false"/>
          <w:sz w:val="20"/>
        </w:rPr>
        <w:t>. All notices, requests and other communications (each, 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facsimile number as such party may hereafter specify for the purpose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w:t>
      </w:r>
      <w:r>
        <w:rPr>
          <w:rFonts w:ascii="Times New Roman;Times;Serif" w:hAnsi="Times New Roman;Times;Serif"/>
          <w:b/>
          <w:i w:val="false"/>
          <w:caps w:val="false"/>
          <w:smallCaps w:val="false"/>
          <w:sz w:val="20"/>
          <w:u w:val="single"/>
        </w:rPr>
        <w:t>Notice to Holders</w:t>
      </w:r>
      <w:r>
        <w:rPr>
          <w:rFonts w:ascii="Times New Roman;Times;Serif" w:hAnsi="Times New Roman;Times;Serif"/>
          <w:b w:val="false"/>
          <w:i w:val="false"/>
          <w:caps w:val="false"/>
          <w:smallCaps w:val="false"/>
          <w:sz w:val="20"/>
        </w:rPr>
        <w:t>.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           </w:t>
      </w:r>
      <w:r>
        <w:rPr>
          <w:rFonts w:ascii="Times New Roman;Times;Serif" w:hAnsi="Times New Roman;Times;Serif"/>
          <w:b/>
          <w:i w:val="false"/>
          <w:caps w:val="false"/>
          <w:smallCaps w:val="false"/>
          <w:sz w:val="20"/>
          <w:u w:val="single"/>
        </w:rPr>
        <w:t>Merger or Consolidation or Change of Name of Rights Agent</w:t>
      </w:r>
      <w:r>
        <w:rPr>
          <w:rFonts w:ascii="Times New Roman;Times;Serif" w:hAnsi="Times New Roman;Times;Serif"/>
          <w:b w:val="false"/>
          <w:i w:val="false"/>
          <w:caps w:val="false"/>
          <w:smallCaps w:val="false"/>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6.5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 xml:space="preserve">ab initio </w:t>
      </w:r>
      <w:r>
        <w:rPr>
          <w:rFonts w:ascii="Times New Roman;Times;Serif" w:hAnsi="Times New Roman;Times;Serif"/>
          <w:b w:val="false"/>
          <w:i w:val="false"/>
          <w:caps w:val="false"/>
          <w:smallCaps w:val="false"/>
          <w:sz w:val="20"/>
        </w:rPr>
        <w:t>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6.6           </w:t>
      </w:r>
      <w:r>
        <w:rPr>
          <w:rFonts w:ascii="Times New Roman;Times;Serif" w:hAnsi="Times New Roman;Times;Serif"/>
          <w:b/>
          <w:i w:val="false"/>
          <w:caps w:val="false"/>
          <w:smallCaps w:val="false"/>
          <w:sz w:val="20"/>
          <w:u w:val="single"/>
        </w:rPr>
        <w:t>Benefits of Agreement; Action by Acting Holders</w:t>
      </w:r>
      <w:r>
        <w:rPr>
          <w:rFonts w:ascii="Times New Roman;Times;Serif" w:hAnsi="Times New Roman;Times;Serif"/>
          <w:b w:val="false"/>
          <w:i w:val="false"/>
          <w:caps w:val="false"/>
          <w:smallCaps w:val="false"/>
          <w:sz w:val="20"/>
        </w:rPr>
        <w:t>.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6.7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CVRs will be governed by, and construed in accordance with, the laws of the State of Delaware without regard to the conflicts of law rules of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6.8           </w:t>
      </w:r>
      <w:r>
        <w:rPr>
          <w:rFonts w:ascii="Times New Roman;Times;Serif" w:hAnsi="Times New Roman;Times;Serif"/>
          <w:b/>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sz w:val="20"/>
          <w:u w:val="single"/>
        </w:rPr>
        <w:t>SECTION 6.9</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w:t>
      </w:r>
      <w:r>
        <w:rPr>
          <w:rFonts w:ascii="Times New Roman;Times;Serif" w:hAnsi="Times New Roman;Times;Serif"/>
          <w:b/>
          <w:i w:val="false"/>
          <w:caps w:val="false"/>
          <w:smallCaps w:val="false"/>
          <w:sz w:val="20"/>
          <w:u w:val="single"/>
        </w:rPr>
        <w:t>Severability Clause</w:t>
      </w:r>
      <w:r>
        <w:rPr>
          <w:rFonts w:ascii="Times New Roman;Times;Serif" w:hAnsi="Times New Roman;Times;Serif"/>
          <w:b w:val="false"/>
          <w:i w:val="false"/>
          <w:caps w:val="false"/>
          <w:smallCaps w:val="false"/>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         </w:t>
      </w:r>
      <w:r>
        <w:rPr>
          <w:rFonts w:ascii="Times New Roman;Times;Serif" w:hAnsi="Times New Roman;Times;Serif"/>
          <w:b/>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will automatically terminate and be of no further force or effect and, except as provided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6.13     </w:t>
      </w:r>
      <w:r>
        <w:rPr>
          <w:rFonts w:ascii="Times New Roman;Times;Serif" w:hAnsi="Times New Roman;Times;Serif"/>
          <w:b/>
          <w:i w:val="false"/>
          <w:caps w:val="false"/>
          <w:smallCaps w:val="false"/>
          <w:sz w:val="20"/>
          <w:u w:val="single"/>
        </w:rPr>
        <w:t>Funds</w:t>
      </w:r>
      <w:r>
        <w:rPr>
          <w:rFonts w:ascii="Times New Roman;Times;Serif" w:hAnsi="Times New Roman;Times;Serif"/>
          <w:b w:val="false"/>
          <w:i w:val="false"/>
          <w:caps w:val="false"/>
          <w:smallCaps w:val="false"/>
          <w:sz w:val="20"/>
        </w:rPr>
        <w:t>. All funds received by Rights Agent under this Agreement that are to be distributed or applied by Rights Agent in the performance of services hereunder (the “</w:t>
      </w:r>
      <w:r>
        <w:rPr>
          <w:rFonts w:ascii="Times New Roman;Times;Serif" w:hAnsi="Times New Roman;Times;Serif"/>
          <w:b/>
          <w:i w:val="false"/>
          <w:caps w:val="false"/>
          <w:smallCaps w:val="false"/>
          <w:sz w:val="20"/>
        </w:rPr>
        <w:t>Funds</w:t>
      </w:r>
      <w:r>
        <w:rPr>
          <w:rFonts w:ascii="Times New Roman;Times;Serif" w:hAnsi="Times New Roman;Times;Serif"/>
          <w:b w:val="false"/>
          <w:i w:val="false"/>
          <w:caps w:val="false"/>
          <w:smallCaps w:val="false"/>
          <w:sz w:val="20"/>
        </w:rPr>
        <w:t>”)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         </w:t>
      </w:r>
      <w:r>
        <w:rPr>
          <w:rFonts w:ascii="Times New Roman;Times;Serif" w:hAnsi="Times New Roman;Times;Serif"/>
          <w:b/>
          <w:i w:val="false"/>
          <w:caps w:val="false"/>
          <w:smallCaps w:val="false"/>
          <w:sz w:val="20"/>
          <w:u w:val="single"/>
        </w:rPr>
        <w:t>Further Assurance by Company</w:t>
      </w:r>
      <w:r>
        <w:rPr>
          <w:rFonts w:ascii="Times New Roman;Times;Serif" w:hAnsi="Times New Roman;Times;Serif"/>
          <w:b w:val="false"/>
          <w:i w:val="false"/>
          <w:caps w:val="false"/>
          <w:smallCaps w:val="false"/>
          <w:sz w:val="20"/>
        </w:rPr>
        <w:t>. The Company agrees that it will perform, execute, acknowledge and deliver or cause to be performed, 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6.15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references herein to “$” are to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1894" w:type="dxa"/>
        <w:jc w:val="left"/>
        <w:tblInd w:w="0" w:type="dxa"/>
        <w:tblLayout w:type="fixed"/>
        <w:tblCellMar>
          <w:top w:w="0" w:type="dxa"/>
          <w:left w:w="0" w:type="dxa"/>
          <w:bottom w:w="0" w:type="dxa"/>
          <w:right w:w="0" w:type="dxa"/>
        </w:tblCellMar>
      </w:tblPr>
      <w:tblGrid>
        <w:gridCol w:w="75"/>
        <w:gridCol w:w="555"/>
        <w:gridCol w:w="1264"/>
      </w:tblGrid>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AGENT]</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Legacy Assets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pPr>
            <w:r>
              <w:rPr/>
              <w:t>1.</w:t>
            </w:r>
          </w:p>
        </w:tc>
        <w:tc>
          <w:tcPr>
            <w:tcW w:w="9254" w:type="dxa"/>
            <w:tcBorders/>
            <w:vAlign w:val="center"/>
          </w:tcPr>
          <w:p>
            <w:pPr>
              <w:pStyle w:val="TableContents"/>
              <w:bidi w:val="0"/>
              <w:spacing w:before="0" w:after="283"/>
              <w:jc w:val="left"/>
              <w:rPr/>
            </w:pPr>
            <w:r>
              <w:rPr/>
              <w:t>ADC Clinical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1631"/>
        <w:gridCol w:w="8240"/>
      </w:tblGrid>
      <w:tr>
        <w:trPr/>
        <w:tc>
          <w:tcPr>
            <w:tcW w:w="33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pPr>
            <w:r>
              <w:rPr/>
              <w:t>a.</w:t>
            </w:r>
          </w:p>
        </w:tc>
        <w:tc>
          <w:tcPr>
            <w:tcW w:w="8240" w:type="dxa"/>
            <w:tcBorders/>
            <w:vAlign w:val="center"/>
          </w:tcPr>
          <w:p>
            <w:pPr>
              <w:pStyle w:val="TableContents"/>
              <w:bidi w:val="0"/>
              <w:spacing w:before="0" w:after="283"/>
              <w:jc w:val="left"/>
              <w:rPr/>
            </w:pPr>
            <w:r>
              <w:rPr/>
              <w:t>SIM0505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1740"/>
        <w:gridCol w:w="8135"/>
      </w:tblGrid>
      <w:tr>
        <w:trPr/>
        <w:tc>
          <w:tcPr>
            <w:tcW w:w="3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pPr>
            <w:r>
              <w:rPr/>
              <w:t>b.</w:t>
            </w:r>
          </w:p>
        </w:tc>
        <w:tc>
          <w:tcPr>
            <w:tcW w:w="8135" w:type="dxa"/>
            <w:tcBorders/>
            <w:vAlign w:val="center"/>
          </w:tcPr>
          <w:p>
            <w:pPr>
              <w:pStyle w:val="TableContents"/>
              <w:bidi w:val="0"/>
              <w:spacing w:before="0" w:after="283"/>
              <w:jc w:val="left"/>
              <w:rPr/>
            </w:pPr>
            <w:r>
              <w:rPr/>
              <w:t>LNCB74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2.</w:t>
            </w:r>
          </w:p>
        </w:tc>
        <w:tc>
          <w:tcPr>
            <w:tcW w:w="9626" w:type="dxa"/>
            <w:tcBorders/>
            <w:vAlign w:val="center"/>
          </w:tcPr>
          <w:p>
            <w:pPr>
              <w:pStyle w:val="TableContents"/>
              <w:bidi w:val="0"/>
              <w:spacing w:before="0" w:after="283"/>
              <w:jc w:val="left"/>
              <w:rPr/>
            </w:pPr>
            <w:r>
              <w:rPr/>
              <w:t>Neuroscience and Age-Related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961"/>
        <w:gridCol w:w="7842"/>
      </w:tblGrid>
      <w:tr>
        <w:trPr/>
        <w:tc>
          <w:tcPr>
            <w:tcW w:w="40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pPr>
            <w:r>
              <w:rPr/>
              <w:t>a.</w:t>
            </w:r>
          </w:p>
        </w:tc>
        <w:tc>
          <w:tcPr>
            <w:tcW w:w="7842" w:type="dxa"/>
            <w:tcBorders/>
            <w:vAlign w:val="center"/>
          </w:tcPr>
          <w:p>
            <w:pPr>
              <w:pStyle w:val="TableContents"/>
              <w:bidi w:val="0"/>
              <w:spacing w:before="0" w:after="283"/>
              <w:jc w:val="left"/>
              <w:rPr/>
            </w:pPr>
            <w:r>
              <w:rPr/>
              <w:t>NC181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087"/>
        <w:gridCol w:w="7722"/>
      </w:tblGrid>
      <w:tr>
        <w:trPr/>
        <w:tc>
          <w:tcPr>
            <w:tcW w:w="39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pPr>
            <w:r>
              <w:rPr/>
              <w:t>b.</w:t>
            </w:r>
          </w:p>
        </w:tc>
        <w:tc>
          <w:tcPr>
            <w:tcW w:w="7722" w:type="dxa"/>
            <w:tcBorders/>
            <w:vAlign w:val="center"/>
          </w:tcPr>
          <w:p>
            <w:pPr>
              <w:pStyle w:val="TableContents"/>
              <w:bidi w:val="0"/>
              <w:spacing w:before="0" w:after="283"/>
              <w:jc w:val="left"/>
              <w:rPr/>
            </w:pPr>
            <w:r>
              <w:rPr/>
              <w:t>NC605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9"/>
        <w:gridCol w:w="9624"/>
      </w:tblGrid>
      <w:tr>
        <w:trPr/>
        <w:tc>
          <w:tcPr>
            <w:tcW w:w="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3.</w:t>
            </w:r>
          </w:p>
        </w:tc>
        <w:tc>
          <w:tcPr>
            <w:tcW w:w="9624" w:type="dxa"/>
            <w:tcBorders/>
            <w:vAlign w:val="center"/>
          </w:tcPr>
          <w:p>
            <w:pPr>
              <w:pStyle w:val="TableContents"/>
              <w:bidi w:val="0"/>
              <w:spacing w:before="0" w:after="283"/>
              <w:jc w:val="left"/>
              <w:rPr/>
            </w:pPr>
            <w:r>
              <w:rPr/>
              <w:t>Autoimmunity and Respiratory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792"/>
        <w:gridCol w:w="8045"/>
      </w:tblGrid>
      <w:tr>
        <w:trPr/>
        <w:tc>
          <w:tcPr>
            <w:tcW w:w="36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pPr>
            <w:r>
              <w:rPr/>
              <w:t>a.</w:t>
            </w:r>
          </w:p>
        </w:tc>
        <w:tc>
          <w:tcPr>
            <w:tcW w:w="8045" w:type="dxa"/>
            <w:tcBorders/>
            <w:vAlign w:val="center"/>
          </w:tcPr>
          <w:p>
            <w:pPr>
              <w:pStyle w:val="TableContents"/>
              <w:bidi w:val="0"/>
              <w:spacing w:before="0" w:after="283"/>
              <w:jc w:val="left"/>
              <w:rPr/>
            </w:pPr>
            <w:r>
              <w:rPr/>
              <w:t>VSTM1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left"/>
              <w:rPr/>
            </w:pPr>
            <w:r>
              <w:rPr/>
              <w:t>LAIR-1 Clinical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961"/>
        <w:gridCol w:w="7842"/>
      </w:tblGrid>
      <w:tr>
        <w:trPr/>
        <w:tc>
          <w:tcPr>
            <w:tcW w:w="40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pPr>
            <w:r>
              <w:rPr/>
              <w:t>a.</w:t>
            </w:r>
          </w:p>
        </w:tc>
        <w:tc>
          <w:tcPr>
            <w:tcW w:w="7842" w:type="dxa"/>
            <w:tcBorders/>
            <w:vAlign w:val="center"/>
          </w:tcPr>
          <w:p>
            <w:pPr>
              <w:pStyle w:val="TableContents"/>
              <w:bidi w:val="0"/>
              <w:spacing w:before="0" w:after="283"/>
              <w:jc w:val="left"/>
              <w:rPr/>
            </w:pPr>
            <w:r>
              <w:rPr/>
              <w:t>NC410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087"/>
        <w:gridCol w:w="7722"/>
      </w:tblGrid>
      <w:tr>
        <w:trPr/>
        <w:tc>
          <w:tcPr>
            <w:tcW w:w="39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pPr>
            <w:r>
              <w:rPr/>
              <w:t>b.</w:t>
            </w:r>
          </w:p>
        </w:tc>
        <w:tc>
          <w:tcPr>
            <w:tcW w:w="7722" w:type="dxa"/>
            <w:tcBorders/>
            <w:vAlign w:val="center"/>
          </w:tcPr>
          <w:p>
            <w:pPr>
              <w:pStyle w:val="TableContents"/>
              <w:bidi w:val="0"/>
              <w:spacing w:before="0" w:after="283"/>
              <w:jc w:val="left"/>
              <w:rPr/>
            </w:pPr>
            <w:r>
              <w:rPr/>
              <w:t>NC525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07"/>
        <w:gridCol w:w="9840"/>
      </w:tblGrid>
      <w:tr>
        <w:trPr/>
        <w:tc>
          <w:tcPr>
            <w:tcW w:w="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5.</w:t>
            </w:r>
          </w:p>
        </w:tc>
        <w:tc>
          <w:tcPr>
            <w:tcW w:w="9840" w:type="dxa"/>
            <w:tcBorders/>
            <w:vAlign w:val="center"/>
          </w:tcPr>
          <w:p>
            <w:pPr>
              <w:pStyle w:val="TableContents"/>
              <w:bidi w:val="0"/>
              <w:spacing w:before="0" w:after="283"/>
              <w:jc w:val="left"/>
              <w:rPr/>
            </w:pPr>
            <w:r>
              <w:rPr/>
              <w:t>Products directed to the following novel discovery oncology targets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9"/>
        <w:gridCol w:w="1845"/>
        <w:gridCol w:w="7981"/>
      </w:tblGrid>
      <w:tr>
        <w:trPr/>
        <w:tc>
          <w:tcPr>
            <w:tcW w:w="37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pPr>
            <w:r>
              <w:rPr/>
              <w:t>a.</w:t>
            </w:r>
          </w:p>
        </w:tc>
        <w:tc>
          <w:tcPr>
            <w:tcW w:w="7981" w:type="dxa"/>
            <w:tcBorders/>
            <w:vAlign w:val="center"/>
          </w:tcPr>
          <w:p>
            <w:pPr>
              <w:pStyle w:val="TableContents"/>
              <w:bidi w:val="0"/>
              <w:spacing w:before="0" w:after="283"/>
              <w:jc w:val="left"/>
              <w:rPr/>
            </w:pPr>
            <w:r>
              <w:rPr/>
              <w:t>CDCP1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2055"/>
        <w:gridCol w:w="7760"/>
      </w:tblGrid>
      <w:tr>
        <w:trPr/>
        <w:tc>
          <w:tcPr>
            <w:tcW w:w="39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pPr>
            <w:r>
              <w:rPr/>
              <w:t>b.</w:t>
            </w:r>
          </w:p>
        </w:tc>
        <w:tc>
          <w:tcPr>
            <w:tcW w:w="7760" w:type="dxa"/>
            <w:tcBorders/>
            <w:vAlign w:val="center"/>
          </w:tcPr>
          <w:p>
            <w:pPr>
              <w:pStyle w:val="TableContents"/>
              <w:bidi w:val="0"/>
              <w:spacing w:before="0" w:after="283"/>
              <w:jc w:val="left"/>
              <w:rPr/>
            </w:pPr>
            <w:r>
              <w:rPr/>
              <w:t>FLRT3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1930"/>
        <w:gridCol w:w="7879"/>
      </w:tblGrid>
      <w:tr>
        <w:trPr/>
        <w:tc>
          <w:tcPr>
            <w:tcW w:w="39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pPr>
            <w:r>
              <w:rPr/>
              <w:t>c.</w:t>
            </w:r>
          </w:p>
        </w:tc>
        <w:tc>
          <w:tcPr>
            <w:tcW w:w="7879" w:type="dxa"/>
            <w:tcBorders/>
            <w:vAlign w:val="center"/>
          </w:tcPr>
          <w:p>
            <w:pPr>
              <w:pStyle w:val="TableContents"/>
              <w:bidi w:val="0"/>
              <w:spacing w:before="0" w:after="283"/>
              <w:jc w:val="left"/>
              <w:rPr/>
            </w:pPr>
            <w:r>
              <w:rPr/>
              <w:t>BCAM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2260"/>
        <w:gridCol w:w="7516"/>
      </w:tblGrid>
      <w:tr>
        <w:trPr/>
        <w:tc>
          <w:tcPr>
            <w:tcW w:w="42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pPr>
            <w:r>
              <w:rPr/>
              <w:t>d.</w:t>
            </w:r>
          </w:p>
        </w:tc>
        <w:tc>
          <w:tcPr>
            <w:tcW w:w="7516" w:type="dxa"/>
            <w:tcBorders/>
            <w:vAlign w:val="center"/>
          </w:tcPr>
          <w:p>
            <w:pPr>
              <w:pStyle w:val="TableContents"/>
              <w:bidi w:val="0"/>
              <w:spacing w:before="0" w:after="283"/>
              <w:jc w:val="left"/>
              <w:rPr/>
            </w:pPr>
            <w:r>
              <w:rPr/>
              <w:t>LY6H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Legacy Assets Transaction Agreements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left"/>
              <w:rPr/>
            </w:pPr>
            <w:r>
              <w:rPr/>
              <w:t>Research Collaboration and Co-Development Agreement, by and between the Company and LigaChem Biosciences, Inc. (f/k/a LegoChem Biosciences), dated November 9, 2022, as amended or modified.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7" w:name="tm2620428d1_ex99-1.htm"/>
      <w:bookmarkStart w:id="38" w:name="kstm2620428d1_ex991"/>
      <w:bookmarkEnd w:id="37"/>
      <w:bookmarkEnd w:id="3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716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NextCure and Avere Therapeutics Announce Merger to Advance Once-Weekly Oral IL-23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Avere Therapeutics’ lead program, AVR-001, is a differentiated oral peptide interleukin-23 (IL-23) receptor antagonist, with Phase 1b psoriasis data supporting its potential to be rapidly developed as a convenient, once-weekly oral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Concurrent $320 million private investment from world-class investor syndicate ensures combined company is well-capitalized to accelerate development of AVR-001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Company’s financial runway expected to fund AVR-001 through Phase 2b readout in psoriasis, initiation of a Phase 3 trial in psoriasis, and initiation of a Phase 2b trial in ulcerative colitis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be led by a seasoned team of biotech executives: Andrew Cheng, MD, PhD as CEO, President, &amp; Chairman of the Board; Kitty Yale as CDO; William White as CFO &amp; Head of Corporate Development; and Brett Pletcher as General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Francisco, CA, July 14, 2026</w:t>
      </w:r>
      <w:r>
        <w:rPr>
          <w:rFonts w:ascii="Times New Roman;Times;Serif" w:hAnsi="Times New Roman;Times;Serif"/>
          <w:b w:val="false"/>
          <w:i w:val="false"/>
          <w:caps w:val="false"/>
          <w:smallCaps w:val="false"/>
          <w:sz w:val="20"/>
        </w:rPr>
        <w:t xml:space="preserve"> – NextCure, Inc. (Nasdaq: NXTC) (“NextCure”) and Avere Therapeutics, Inc. (“Avere”), a privately-held biotechnology company advancing oral therapies for IL-23 driven inflammatory diseases, today announced they have entered into a definitive merger agreement (the “Agreement”) for an all-stock transaction. The Agreement brings together Avere’s differentiated oral IL-23 program with NextCure’s public market infrastructure to accelerate development of AVR-001. Upon completion of the transaction, which is expected to occur in the second half of 2026, the combined company is expected to operate as Avere Therapeutics, Inc., and trade on Nasdaq under the ticker symbol “AVRX.”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is led by a seasoned executive team that guided Akero Therapeutics (Nasdaq: AKRO) from pre-IPO through its sale to Novo Nordisk for up to $5.2 billion in December 2025. The team is led by Andrew Cheng, MD, PhD, Chief Executive Officer, President, and Chairman of the Board and includes Kitty Yale, Chief Development Officer; William White, Chief Financial Officer and Head of Corporate Development; and Brett Pletcher,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concurrent $320 million private placement was led by Fairmount and Hansoh Pharmaceutical Group Co., Ltd. (“Hansoh”), with participation from Venrock Healthcare Capital Partners; General Atlantic; Janus Henderson Investors; Wellington Management; Boyu Capital; Sirona Capital; </w:t>
      </w:r>
      <w:r>
        <w:rPr>
          <w:rFonts w:ascii="Times New Roman;Times;Serif" w:hAnsi="Times New Roman;Times;Serif"/>
          <w:b w:val="false"/>
          <w:i w:val="false"/>
          <w:caps w:val="false"/>
          <w:smallCaps w:val="false"/>
          <w:color w:val="222222"/>
          <w:sz w:val="20"/>
          <w:shd w:fill="FFFFFF" w:val="clear"/>
        </w:rPr>
        <w:t>funds and accounts advised by </w:t>
      </w:r>
      <w:r>
        <w:rPr>
          <w:rFonts w:ascii="Times New Roman;Times;Serif" w:hAnsi="Times New Roman;Times;Serif"/>
          <w:b w:val="false"/>
          <w:i w:val="false"/>
          <w:caps w:val="false"/>
          <w:smallCaps w:val="false"/>
          <w:sz w:val="20"/>
        </w:rPr>
        <w:t xml:space="preserve">T. Rowe Price Investment Management Inc.; </w:t>
      </w:r>
      <w:r>
        <w:rPr>
          <w:rFonts w:ascii="Times New Roman;Times;Serif" w:hAnsi="Times New Roman;Times;Serif"/>
          <w:b w:val="false"/>
          <w:i w:val="false"/>
          <w:caps w:val="false"/>
          <w:smallCaps w:val="false"/>
          <w:sz w:val="20"/>
          <w:shd w:fill="FFFFFF" w:val="clear"/>
        </w:rPr>
        <w:t>RTW Investments</w:t>
      </w:r>
      <w:r>
        <w:rPr>
          <w:rFonts w:ascii="Times New Roman;Times;Serif" w:hAnsi="Times New Roman;Times;Serif"/>
          <w:b w:val="false"/>
          <w:i w:val="false"/>
          <w:caps w:val="false"/>
          <w:smallCaps w:val="false"/>
          <w:sz w:val="20"/>
        </w:rPr>
        <w:t>; Sirenia Capital Management LP; Logos Capital; Redmile; Affinity Asset Advisors, LLC; Balyasny Asset Management; Wedbush Healthcare Partners; and other institutional investors. The financing includes $251 million of convertible notes (and interest thereon) that will be exchanged for common stock concurrently with the closing of the merger. The private placement is expected to fully fund company operations through the readout of a global Phase 2b trial in psoriasis, commencement of a Phase 3 trial in psoriasis, and commencement of a Phase 2b trial in ulcerative colitis.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recently completed a global, ex-Greater China exclusive licensing agreement with Hansoh, a leading innovation-driven pharmaceutical enterprise, granting Avere ex-China rights for the development, manufacture, and commercialization of AVR-001, a cyclic peptide IL-23 receptor antagonist. In exchange, Hansoh will receive upfront payments totaling $120 million and is eligible to receive up to $2.18 billion in customary development and sales milestones as well as mid-single to low-double digit sales royalty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combination of the strong clinical data from Hansoh’s Phase 1b psoriasis study, the capital raised through this financing from a world-class investor syndicate, and immediate access to the public markets positions us to be highly competitive in the emerging oral IL-23 market,” said Andrew Cheng, MD, PhD, CEO of Avere. “We have a clear line of sight to potentially value-generating clinical data and the resources to execute our plans. We are focused on rapidly delivering a once-weekly oral IL-23 therapy that combines best-in-class convenience with efficacy competitive with other emerging oral IL-23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AVR-001 is engineered for enhanced pharmacokinetic properties, including a half-life of approximately 100 hours, enabling once-weekly oral dosing. Clinical data from the Phase 1b trial conducted by Hansoh in patients with moderate-to-severe plaque psoriasis demonstrate once-weekly AVR-001 achieved Week 4 and Week 8 PASI and PASI 75 responses comparable on a cross-trial basis to the first-generation once-daily oral inhibitor, despite only 4 weeks of dosing, suggesting durable pharmacodynamic activity. After four weeks of dosing, AVR-001 was generally well-tolerated, with an overall adverse event profile supporting continued clinical development. A US IND for AVR-001 is open, and initiation of the Phase 2b study by Avere is anticipated in early 2027, with an expected readout in the first half of 2028. A Phase 2b psoriasis study in China conducted by Hansoh is also expected to read out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Since our founding, NextCure has been committed to advancing innovative therapies designed to improve outcomes for patients. I am incredibly proud of the dedication, talent, and perseverance of the NextCure team and the important contributions they have made in pursuit of our mission,” said Michael Richman, President and CEO of NextCure. “We are pleased to announce this transaction with Avere, which represents a compelling opportunity for NextCure’s stockholders to participate in the development of once-weekly AVR-001 and its significant therapeutic and commercial potential. NextCure’s Board of Directors and management team are in full support of this transaction, and we believe Avere’s strong balance sheet and experienced management team are well-positioned to successfully execute on the development plans for AVR-001.”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as of the closing of the proposed merger, the pre-merger NextCure stockholders are expected to own approximately 1.21% of the combined company and the pre-merger Avere stockholders (inclusive of those investors participating in the pre-closing financing) are expected to own approximately 98.79% of the combined company. The percentage of the combined company that NextCure’s stockholders will own as of the closing of the proposed merger is subject to adjustment based on the estimated amount of NextCure’s net cash immediately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received approval by the Board of Directors of both companies and is expected to close in the second half of 2026, subject to certain closing conditions, including, among others, approval by the stockholders of each company, the effectiveness of a registration statement to be filed with the U.S. Securities and Exchange Commission (the “SEC”) to register the securities to be issued in connection with the proposed merger and the satisfaction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combined company plans to operate under the name Avere Therapeutics, Inc. and will be led by Dr. Andrew Cheng, Avere’s current Chief Executive Officer. Avere’s existing Board of Directors will become directors of the combined company. The Board is chaired by Dr. Cheng and includes Julianne Bruno (Fairmount) and two representatives from Hansoh. </w:t>
      </w:r>
      <w:r>
        <w:rPr>
          <w:rFonts w:ascii="Times New Roman;Times;Serif" w:hAnsi="Times New Roman;Times;Serif"/>
          <w:b w:val="false"/>
          <w:i w:val="false"/>
          <w:caps w:val="false"/>
          <w:smallCaps w:val="false"/>
          <w:sz w:val="20"/>
          <w:shd w:fill="FFFFFF" w:val="clear"/>
        </w:rPr>
        <w:t>In addition, Nimish Shah (Venrock Healthcare Capital Partners) is expected to join the Board prior to transaction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stockholders are eligible to receive a contingent value right (CVR) entitling them to 90% of net proceeds from any future license, divestiture or other monetization of NextCure’s pipeline assets and other programs for a period of two years following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Wedbush Securities Inc. is serving as exclusive strategic financial advisor and Gibson, Dunn &amp; Crutcher LLP is serving as legal counsel to Avere. </w:t>
      </w:r>
      <w:r>
        <w:rPr>
          <w:rFonts w:ascii="Times New Roman;Times;Serif" w:hAnsi="Times New Roman;Times;Serif"/>
          <w:b w:val="false"/>
          <w:i w:val="false"/>
          <w:caps w:val="false"/>
          <w:smallCaps w:val="false"/>
          <w:sz w:val="20"/>
          <w:shd w:fill="FFFFFF" w:val="clear"/>
        </w:rPr>
        <w:t>Jefferies and Wedbush &amp; Co., LLC are serving as placement agents to Avere</w:t>
      </w:r>
      <w:r>
        <w:rPr>
          <w:rFonts w:ascii="Times New Roman;Times;Serif" w:hAnsi="Times New Roman;Times;Serif"/>
          <w:b w:val="false"/>
          <w:i w:val="false"/>
          <w:caps w:val="false"/>
          <w:smallCaps w:val="false"/>
          <w:sz w:val="20"/>
        </w:rPr>
        <w:t>. Cooley LLP is serving as legal counsel to the placement agents. Tungsten Advisors is serving as financial advisor and Sidley Austin LLP is serving as legal counsel to NextCure.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NextCure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is a clinical-stage biopharmaceutical company focused on advancing innovative medicines to treat cancer patients through the use of targeted therapies including antibody-drug conjugates. It focuses on advancing therapies that leverage core strengths in understanding biological pathways and biomarkers, the interactions of cells within and beyond the tumor microenvironment and the role each interaction plays in biologic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Avere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is a biotechnology company developing oral therapies for the treatment of IL-23-driven inflammatory diseases. Avere's lead asset, AVR-001, is an oral IL-23 receptor antagonist with the potential to deliver competitive efficacy with emerging oral IL-23 therapies in a convenient, once-weekly dose. Avere is initially advancing AVR-001 in psoriasis, with potential to expand into multiple indications, including ulcerative colitis, Crohn's disease, and psoriatic arthritis, where the IL-23 pathway is validated and the need for more convenient and effective therapies remains high. For more information, visit www.averetx.com.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concerning NextCure, Avere, the proposed pre-closing financing and the proposed merger (collectively, the “Proposed Transactions”) and other matters. These forward-looking statements include, but are not limited to, express or implied statements relating to NextCure’s and Avere’s management teams’ expectations, hopes, beliefs, intentions or strategies regarding the future including, without limitation, statements regarding: the Proposed Transactions and their expected effects, perceived benefits or opportunities, including expected investment amounts and proceeds from investors, and related timing with respect thereto; expectations regarding or plans for discovery, preclinical studies, clinical trials and research and development programs, in particular with respect to AVR-001, and any developments or results in connection therewith; the anticipated timing of the commencement of and results from those studies and trials; expectations regarding the use of proceeds, the sufficiency of post-transaction resources to support the advancement of Avere’s pipeline through certain milestones and the time period over which the combined company’s post-transaction capital resources will be sufficient to fund the combined company’s anticipated operations; and statements related to the Company’s intellectual property, its freedom to operate and the intellectual property of others; the combined company operating under the name Avere Therapeutics, Inc. and trading on Nasdaq under the ticker symbol “AVRX”; the expected ownership percentages of pre-merger NextCure and Avere stockholders following the closing of the proposed merger; the potential for AVR-001 to be a treatment for IL-23-driven inflammatory diseases; and whether AVR-001 will achieve clinical proof of concept, match the efficacy of other oral IL-23 therapies, or achieve once-weekly dosing convenience.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All statements contained in this press release that do not relate to matters of historical fact should be considered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current expectations and assumptions as of the date of this press release and are subject to a number of known and unknown risks, uncertainties, and other factors that could cause actual results to differ materially from those expressed or implied by such statements, including, without limitation, the following: the risk that the Proposed Transactions may not be completed on the anticipated timeline or at all; the failure to satisfy the conditions to the closing of the merger, including obtaining the requisite approvals of the stockholders of each of NextCure and Avere and the effectiveness of the registration statement to be filed with the SEC in connection with the Proposed Transactions; risks related to the clinical development of AVR-001, including the possibility of delays, unfavorable clinical results, safety or tolerability issues, or the failure to obtain regulatory approval; uncertainties regarding the capabilities and potential of Avere’s pipeline programs; the risk that the financing may not close or may not generate the anticipated proceeds; market, macroeconomic, or other conditions that could adversely affect the combined company’s cash runway or ability to raise additional capital; risks related to the integration of the two companies and the management of a newly public company; the highly competitive nature of the IL-23-driven inflammatory disease therapeutic landscape, including the risk that competitors may develop superior or more cost-effective therapies; risks related to the Company’s dependence on the in-licensed Hansoh program and the terms of the Hansoh license, including the associated milestone and royalty obligations; the risk that clinical data generated by Hansoh outside the United States may not be replicated in the Company’s own clinical trials or accepted by the U.S. Food and Drug Administration; risks related to the Company’s ability to obtain, maintain, protect and enforce its intellectual property rights, including the scope, validity, enforceability and duration of those rights; risks related to third-party claims that the Company’s products, product candidates or technologies infringe, misappropriate or otherwise violate the rights of others; and the adjustment to the exchange ratio based on the estimated amount of NextCure’s net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may cause actual results to differ materially from those expressed or implied by the forward-looking statements in this press release are discussed in NextCure’s filings with the SEC, including its most recent Annual Report on Form 10-K, Quarterly Reports on Form 10-Q, and other reports filed with the SEC from time to time, and will be discussed in the registration statement to be filed by NextCure with the SEC in connection with the Proposed Transactions. Readers are cautioned not to place undue reliance on these forward-looking statements. Each of NextCure and Avere expressly disclaims any obligation to update or revise any forward-looking statements, whether as a result of new information, future events, or otherwise, except as required by applicable law. All forward-looking statements are made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the information contained herein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in accordance with the requirements of the Securities Act of 1933, as amended, or an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PRESS RELEASE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Transactions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is not a substitute for the registration statement or for any other document that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may file with the SEC in connection with the Proposed Transactions. In connection with the Proposed Transactions between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and Avere,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intends to file relevant materials with the SEC, including a registration statement on Form S-4 that will contain a proxy statement/prospectus of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AVERE, THE PROPOSED TRANSACTIONS AND RELATED MATTERS. Investors and stockholders will be able to obtain free copies of the proxy statement/prospectus and other documents filed by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Transactions. In addition, investors and stockholders should note that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communicates with investors and the public using its website (</w:t>
      </w:r>
      <w:r>
        <w:rPr>
          <w:rFonts w:ascii="Times New Roman;Times;Serif" w:hAnsi="Times New Roman;Times;Serif"/>
          <w:b w:val="false"/>
          <w:i w:val="false"/>
          <w:caps w:val="false"/>
          <w:smallCaps w:val="false"/>
          <w:sz w:val="20"/>
          <w:u w:val="single"/>
        </w:rPr>
        <w:t>www.NextCure.com).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Avere and their respective directors and executive officers may be deemed to be participants in the solicitation of proxies from stockholders in connection with the Proposed Transactions. Information about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’s directors and executive officers, including a description of their interests in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is included in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Transactions when it is filed with the SEC.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 Dangelico</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Deerfield Group</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lia.dangelico@deerfieldgroup.com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129710</Words>
  <Characters>695279</Characters>
  <CharactersWithSpaces>833910</CharactersWithSpaces>
  <Paragraphs>5156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