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62230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88900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67" w:lineRule="exact"/>
        <w:rPr>
          <w:sz w:val="24"/>
          <w:szCs w:val="24"/>
          <w:color w:val="auto"/>
        </w:rPr>
      </w:pPr>
    </w:p>
    <w:p>
      <w:pPr>
        <w:ind w:left="3760" w:right="2540" w:hanging="3489"/>
        <w:spacing w:after="0" w:line="342" w:lineRule="auto"/>
        <w:tabs>
          <w:tab w:leader="none" w:pos="66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jc w:val="center"/>
        <w:spacing w:after="0"/>
        <w:rPr>
          <w:sz w:val="20"/>
          <w:szCs w:val="20"/>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660" w:hanging="389"/>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260"/>
          </w:cols>
          <w:pgMar w:left="820" w:top="233" w:right="819" w:bottom="1440" w:gutter="0" w:footer="0" w:header="0"/>
        </w:sectPr>
      </w:pPr>
    </w:p>
    <w:p>
      <w:pPr>
        <w:spacing w:after="0" w:line="73" w:lineRule="exact"/>
        <w:rPr>
          <w:sz w:val="24"/>
          <w:szCs w:val="24"/>
          <w:color w:val="auto"/>
        </w:rPr>
      </w:pPr>
    </w:p>
    <w:p>
      <w:pPr>
        <w:ind w:left="3620"/>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67" w:lineRule="exact"/>
        <w:rPr>
          <w:sz w:val="24"/>
          <w:szCs w:val="24"/>
          <w:color w:val="auto"/>
        </w:rPr>
      </w:pPr>
    </w:p>
    <w:p>
      <w:pPr>
        <w:sectPr>
          <w:pgSz w:w="11900" w:h="16838" w:orient="portrait"/>
          <w:cols w:equalWidth="0" w:num="3">
            <w:col w:w="5260" w:space="620"/>
            <w:col w:w="120" w:space="580"/>
            <w:col w:w="3680"/>
          </w:cols>
          <w:pgMar w:left="820" w:top="233" w:right="819" w:bottom="1440" w:gutter="0" w:footer="0" w:header="0"/>
          <w:type w:val="continuous"/>
        </w:sectPr>
      </w:pPr>
    </w:p>
    <w:p>
      <w:pPr>
        <w:jc w:val="center"/>
        <w:ind w:right="20"/>
        <w:spacing w:after="0"/>
        <w:rPr>
          <w:sz w:val="20"/>
          <w:szCs w:val="20"/>
          <w:color w:val="auto"/>
        </w:rPr>
      </w:pPr>
      <w:r>
        <w:rPr>
          <w:rFonts w:ascii="Arial" w:cs="Arial" w:eastAsia="Arial" w:hAnsi="Arial"/>
          <w:sz w:val="10"/>
          <w:szCs w:val="10"/>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92710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60"/>
          </w:cols>
          <w:pgMar w:left="820" w:top="233" w:right="819" w:bottom="1440" w:gutter="0" w:footer="0" w:header="0"/>
          <w:type w:val="continuous"/>
        </w:sectPr>
      </w:pPr>
    </w:p>
    <w:p>
      <w:pPr>
        <w:spacing w:after="0" w:line="236" w:lineRule="exact"/>
        <w:rPr>
          <w:sz w:val="24"/>
          <w:szCs w:val="24"/>
          <w:color w:val="auto"/>
        </w:rPr>
      </w:pPr>
    </w:p>
    <w:tbl>
      <w:tblPr>
        <w:tblLayout w:type="fixed"/>
        <w:tblInd w:w="10" w:type="dxa"/>
        <w:tblCellMar>
          <w:top w:w="0" w:type="dxa"/>
          <w:left w:w="0" w:type="dxa"/>
          <w:bottom w:w="0" w:type="dxa"/>
          <w:right w:w="0" w:type="dxa"/>
        </w:tblCellMar>
      </w:tblPr>
      <w:tr>
        <w:trPr>
          <w:trHeight w:val="351"/>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3"/>
          </w:tcPr>
          <w:p>
            <w:pPr>
              <w:jc w:val="center"/>
              <w:ind w:right="980"/>
              <w:spacing w:after="0"/>
              <w:rPr>
                <w:sz w:val="20"/>
                <w:szCs w:val="20"/>
                <w:color w:val="auto"/>
              </w:rPr>
            </w:pPr>
            <w:r>
              <w:rPr>
                <w:rFonts w:ascii="Arial" w:cs="Arial" w:eastAsia="Arial" w:hAnsi="Arial"/>
                <w:sz w:val="29"/>
                <w:szCs w:val="29"/>
                <w:b w:val="1"/>
                <w:bCs w:val="1"/>
                <w:color w:val="auto"/>
                <w:w w:val="92"/>
              </w:rPr>
              <w:t>NextCure, Inc.</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3560" w:type="dxa"/>
            <w:vAlign w:val="bottom"/>
            <w:gridSpan w:val="5"/>
          </w:tcPr>
          <w:p>
            <w:pPr>
              <w:jc w:val="center"/>
              <w:ind w:right="420"/>
              <w:spacing w:after="0"/>
              <w:rPr>
                <w:sz w:val="20"/>
                <w:szCs w:val="20"/>
                <w:color w:val="auto"/>
              </w:rPr>
            </w:pPr>
            <w:r>
              <w:rPr>
                <w:rFonts w:ascii="Arial" w:cs="Arial" w:eastAsia="Arial" w:hAnsi="Arial"/>
                <w:sz w:val="14"/>
                <w:szCs w:val="14"/>
                <w:color w:val="auto"/>
                <w:w w:val="93"/>
              </w:rPr>
              <w:t>(Exact name of registrant as specified in its charter)</w:t>
            </w: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410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tcPr>
          <w:p>
            <w:pPr>
              <w:jc w:val="right"/>
              <w:ind w:right="2148"/>
              <w:spacing w:after="0"/>
              <w:rPr>
                <w:sz w:val="20"/>
                <w:szCs w:val="20"/>
                <w:color w:val="auto"/>
              </w:rPr>
            </w:pPr>
            <w:r>
              <w:rPr>
                <w:rFonts w:ascii="Arial" w:cs="Arial" w:eastAsia="Arial" w:hAnsi="Arial"/>
                <w:sz w:val="14"/>
                <w:szCs w:val="14"/>
                <w:b w:val="1"/>
                <w:bCs w:val="1"/>
                <w:color w:val="auto"/>
              </w:rPr>
              <w:t>04-5231247</w:t>
            </w:r>
          </w:p>
        </w:tc>
        <w:tc>
          <w:tcPr>
            <w:tcW w:w="0" w:type="dxa"/>
            <w:vAlign w:val="bottom"/>
          </w:tcPr>
          <w:p>
            <w:pPr>
              <w:spacing w:after="0"/>
              <w:rPr>
                <w:sz w:val="1"/>
                <w:szCs w:val="1"/>
                <w:color w:val="auto"/>
              </w:rPr>
            </w:pPr>
          </w:p>
        </w:tc>
      </w:tr>
      <w:tr>
        <w:trPr>
          <w:trHeight w:val="148"/>
        </w:trPr>
        <w:tc>
          <w:tcPr>
            <w:tcW w:w="4100" w:type="dxa"/>
            <w:vAlign w:val="bottom"/>
            <w:gridSpan w:val="3"/>
          </w:tcPr>
          <w:p>
            <w:pPr>
              <w:jc w:val="center"/>
              <w:ind w:left="9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40" w:type="dxa"/>
            <w:vAlign w:val="bottom"/>
          </w:tcPr>
          <w:p>
            <w:pPr>
              <w:jc w:val="center"/>
              <w:ind w:right="192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4100" w:type="dxa"/>
            <w:vAlign w:val="bottom"/>
            <w:gridSpan w:val="3"/>
          </w:tcPr>
          <w:p>
            <w:pPr>
              <w:jc w:val="center"/>
              <w:ind w:left="968"/>
              <w:spacing w:after="0"/>
              <w:rPr>
                <w:sz w:val="20"/>
                <w:szCs w:val="20"/>
                <w:color w:val="auto"/>
              </w:rPr>
            </w:pPr>
            <w:r>
              <w:rPr>
                <w:rFonts w:ascii="Arial" w:cs="Arial" w:eastAsia="Arial" w:hAnsi="Arial"/>
                <w:sz w:val="14"/>
                <w:szCs w:val="14"/>
                <w:color w:val="auto"/>
                <w:w w:val="95"/>
              </w:rPr>
              <w:t>incorporation or organization)</w:t>
            </w: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tcPr>
          <w:p>
            <w:pPr>
              <w:jc w:val="center"/>
              <w:ind w:right="194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178"/>
        </w:trPr>
        <w:tc>
          <w:tcPr>
            <w:tcW w:w="410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auto"/>
                <w:w w:val="95"/>
              </w:rPr>
              <w:t>9000 Virginia Manor Road, Suite 200</w:t>
            </w: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vMerge w:val="restart"/>
          </w:tcPr>
          <w:p>
            <w:pPr>
              <w:jc w:val="right"/>
              <w:ind w:right="2328"/>
              <w:spacing w:after="0"/>
              <w:rPr>
                <w:sz w:val="20"/>
                <w:szCs w:val="20"/>
                <w:color w:val="auto"/>
              </w:rPr>
            </w:pPr>
            <w:r>
              <w:rPr>
                <w:rFonts w:ascii="Arial" w:cs="Arial" w:eastAsia="Arial" w:hAnsi="Arial"/>
                <w:sz w:val="14"/>
                <w:szCs w:val="14"/>
                <w:b w:val="1"/>
                <w:bCs w:val="1"/>
                <w:color w:val="auto"/>
              </w:rPr>
              <w:t>20705</w:t>
            </w:r>
          </w:p>
        </w:tc>
        <w:tc>
          <w:tcPr>
            <w:tcW w:w="0" w:type="dxa"/>
            <w:vAlign w:val="bottom"/>
          </w:tcPr>
          <w:p>
            <w:pPr>
              <w:spacing w:after="0"/>
              <w:rPr>
                <w:sz w:val="1"/>
                <w:szCs w:val="1"/>
                <w:color w:val="auto"/>
              </w:rPr>
            </w:pPr>
          </w:p>
        </w:tc>
      </w:tr>
      <w:tr>
        <w:trPr>
          <w:trHeight w:val="153"/>
        </w:trPr>
        <w:tc>
          <w:tcPr>
            <w:tcW w:w="4100" w:type="dxa"/>
            <w:vAlign w:val="bottom"/>
            <w:gridSpan w:val="3"/>
          </w:tcPr>
          <w:p>
            <w:pPr>
              <w:jc w:val="center"/>
              <w:ind w:left="948"/>
              <w:spacing w:after="0" w:line="153" w:lineRule="exact"/>
              <w:rPr>
                <w:sz w:val="20"/>
                <w:szCs w:val="20"/>
                <w:color w:val="auto"/>
              </w:rPr>
            </w:pPr>
            <w:r>
              <w:rPr>
                <w:rFonts w:ascii="Arial" w:cs="Arial" w:eastAsia="Arial" w:hAnsi="Arial"/>
                <w:sz w:val="14"/>
                <w:szCs w:val="14"/>
                <w:b w:val="1"/>
                <w:bCs w:val="1"/>
                <w:color w:val="auto"/>
                <w:w w:val="94"/>
              </w:rPr>
              <w:t>Beltsville, Maryland</w:t>
            </w: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100" w:type="dxa"/>
            <w:vAlign w:val="bottom"/>
            <w:gridSpan w:val="3"/>
          </w:tcPr>
          <w:p>
            <w:pPr>
              <w:jc w:val="center"/>
              <w:ind w:left="948"/>
              <w:spacing w:after="0"/>
              <w:rPr>
                <w:sz w:val="20"/>
                <w:szCs w:val="20"/>
                <w:color w:val="auto"/>
              </w:rPr>
            </w:pPr>
            <w:r>
              <w:rPr>
                <w:rFonts w:ascii="Arial" w:cs="Arial" w:eastAsia="Arial" w:hAnsi="Arial"/>
                <w:sz w:val="14"/>
                <w:szCs w:val="14"/>
                <w:color w:val="auto"/>
                <w:w w:val="95"/>
              </w:rPr>
              <w:t>(Address of principal executive offices)</w:t>
            </w: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tcPr>
          <w:p>
            <w:pPr>
              <w:jc w:val="center"/>
              <w:ind w:right="194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0"/>
        </w:trPr>
        <w:tc>
          <w:tcPr>
            <w:tcW w:w="7120" w:type="dxa"/>
            <w:vAlign w:val="bottom"/>
            <w:gridSpan w:val="6"/>
          </w:tcPr>
          <w:p>
            <w:pPr>
              <w:jc w:val="center"/>
              <w:ind w:left="304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(240) 399-4900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ind w:left="660"/>
              <w:spacing w:after="0"/>
              <w:rPr>
                <w:sz w:val="20"/>
                <w:szCs w:val="20"/>
                <w:color w:val="auto"/>
              </w:rPr>
            </w:pPr>
            <w:r>
              <w:rPr>
                <w:rFonts w:ascii="Arial" w:cs="Arial" w:eastAsia="Arial" w:hAnsi="Arial"/>
                <w:sz w:val="14"/>
                <w:szCs w:val="14"/>
                <w:color w:val="auto"/>
                <w:w w:val="96"/>
              </w:rPr>
              <w:t>Securities registered pursuant to Section 12(b) of the Act:</w:t>
            </w:r>
          </w:p>
        </w:tc>
        <w:tc>
          <w:tcPr>
            <w:tcW w:w="2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35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266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5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60" w:type="dxa"/>
            <w:vAlign w:val="bottom"/>
            <w:tcBorders>
              <w:bottom w:val="single" w:sz="8" w:color="auto"/>
              <w:right w:val="single" w:sz="8" w:color="auto"/>
            </w:tcBorders>
            <w:gridSpan w:val="2"/>
          </w:tcPr>
          <w:p>
            <w:pPr>
              <w:jc w:val="center"/>
              <w:ind w:right="580"/>
              <w:spacing w:after="0" w:line="142" w:lineRule="exact"/>
              <w:rPr>
                <w:sz w:val="20"/>
                <w:szCs w:val="20"/>
                <w:color w:val="auto"/>
              </w:rPr>
            </w:pPr>
            <w:r>
              <w:rPr>
                <w:rFonts w:ascii="Arial" w:cs="Arial" w:eastAsia="Arial" w:hAnsi="Arial"/>
                <w:sz w:val="14"/>
                <w:szCs w:val="14"/>
                <w:color w:val="auto"/>
                <w:w w:val="94"/>
              </w:rPr>
              <w:t>Trading Symbol(s)</w:t>
            </w:r>
          </w:p>
        </w:tc>
        <w:tc>
          <w:tcPr>
            <w:tcW w:w="360" w:type="dxa"/>
            <w:vAlign w:val="bottom"/>
            <w:tcBorders>
              <w:bottom w:val="single" w:sz="8" w:color="auto"/>
            </w:tcBorders>
          </w:tcPr>
          <w:p>
            <w:pPr>
              <w:spacing w:after="0"/>
              <w:rPr>
                <w:sz w:val="12"/>
                <w:szCs w:val="12"/>
                <w:color w:val="auto"/>
              </w:rPr>
            </w:pPr>
          </w:p>
        </w:tc>
        <w:tc>
          <w:tcPr>
            <w:tcW w:w="3140" w:type="dxa"/>
            <w:vAlign w:val="bottom"/>
            <w:tcBorders>
              <w:bottom w:val="single" w:sz="8" w:color="auto"/>
              <w:right w:val="single" w:sz="8" w:color="auto"/>
            </w:tcBorders>
          </w:tcPr>
          <w:p>
            <w:pPr>
              <w:jc w:val="center"/>
              <w:ind w:right="328"/>
              <w:spacing w:after="0" w:line="142" w:lineRule="exact"/>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76"/>
        </w:trPr>
        <w:tc>
          <w:tcPr>
            <w:tcW w:w="3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 per share</w:t>
            </w:r>
          </w:p>
        </w:tc>
        <w:tc>
          <w:tcPr>
            <w:tcW w:w="540" w:type="dxa"/>
            <w:vAlign w:val="bottom"/>
            <w:gridSpan w:val="2"/>
          </w:tcPr>
          <w:p>
            <w:pPr>
              <w:spacing w:after="0"/>
              <w:rPr>
                <w:sz w:val="15"/>
                <w:szCs w:val="15"/>
                <w:color w:val="auto"/>
              </w:rPr>
            </w:pPr>
          </w:p>
        </w:tc>
        <w:tc>
          <w:tcPr>
            <w:tcW w:w="26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4"/>
                <w:szCs w:val="14"/>
                <w:color w:val="auto"/>
              </w:rPr>
              <w:t>NXTC</w:t>
            </w:r>
          </w:p>
        </w:tc>
        <w:tc>
          <w:tcPr>
            <w:tcW w:w="360" w:type="dxa"/>
            <w:vAlign w:val="bottom"/>
          </w:tcPr>
          <w:p>
            <w:pPr>
              <w:spacing w:after="0"/>
              <w:rPr>
                <w:sz w:val="15"/>
                <w:szCs w:val="15"/>
                <w:color w:val="auto"/>
              </w:rPr>
            </w:pPr>
          </w:p>
        </w:tc>
        <w:tc>
          <w:tcPr>
            <w:tcW w:w="3140" w:type="dxa"/>
            <w:vAlign w:val="bottom"/>
            <w:tcBorders>
              <w:right w:val="single" w:sz="8" w:color="auto"/>
            </w:tcBorders>
          </w:tcPr>
          <w:p>
            <w:pPr>
              <w:jc w:val="center"/>
              <w:ind w:right="328"/>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3" w:lineRule="exact"/>
        <w:rPr>
          <w:sz w:val="24"/>
          <w:szCs w:val="24"/>
          <w:color w:val="auto"/>
        </w:rPr>
      </w:pPr>
    </w:p>
    <w:p>
      <w:pPr>
        <w:spacing w:after="0" w:line="161" w:lineRule="exact"/>
        <w:tabs>
          <w:tab w:leader="none" w:pos="5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jc w:val="both"/>
        <w:ind w:right="20"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right="2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233" w:right="819" w:bottom="1440" w:gutter="0" w:footer="0" w:header="0"/>
          <w:type w:val="continuous"/>
        </w:sectPr>
      </w:pP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3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60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3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7780" w:space="720"/>
            <w:col w:w="1760"/>
          </w:cols>
          <w:pgMar w:left="820" w:top="233" w:right="819" w:bottom="1440" w:gutter="0" w:footer="0" w:header="0"/>
          <w:type w:val="continuous"/>
        </w:sectPr>
      </w:pPr>
    </w:p>
    <w:p>
      <w:pPr>
        <w:ind w:right="2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140"/>
        <w:spacing w:after="0" w:line="290" w:lineRule="auto"/>
        <w:rPr>
          <w:sz w:val="20"/>
          <w:szCs w:val="20"/>
          <w:color w:val="auto"/>
        </w:rPr>
      </w:pPr>
      <w:r>
        <w:rPr>
          <w:rFonts w:ascii="Arial" w:cs="Arial" w:eastAsia="Arial" w:hAnsi="Arial"/>
          <w:sz w:val="13"/>
          <w:szCs w:val="13"/>
          <w:color w:val="auto"/>
        </w:rPr>
        <w:t>The aggregate market value of the registrant’s common stock held by non-affiliates as of June 28, 2019, the last business day of the registrant’s most recently completed second fiscal quarter, was approximately $236.4 million, as computed by reference to the closing price of the common stock on the Nasdaq Global Select Market on that date.</w:t>
      </w:r>
    </w:p>
    <w:p>
      <w:pPr>
        <w:spacing w:after="0" w:line="1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March 11, 2020, the registrant had 27,509,510 shares of common stock, par value $0.001 per share, issued and outstanding.</w:t>
      </w:r>
    </w:p>
    <w:p>
      <w:pPr>
        <w:spacing w:after="0" w:line="105"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 w:lineRule="exact"/>
        <w:rPr>
          <w:sz w:val="24"/>
          <w:szCs w:val="24"/>
          <w:color w:val="auto"/>
        </w:rPr>
      </w:pPr>
    </w:p>
    <w:p>
      <w:pPr>
        <w:ind w:right="20"/>
        <w:spacing w:after="0" w:line="237"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which will be filed with the Commission within 120 days after December 31, 2019,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67945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625475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60"/>
          </w:cols>
          <w:pgMar w:left="820" w:top="233" w:right="8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480" w:type="dxa"/>
            <w:vAlign w:val="bottom"/>
            <w:gridSpan w:val="3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4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w w:val="92"/>
              </w:rPr>
              <w:t>NextCure, Inc.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w w:val="96"/>
              </w:rPr>
              <w:t>Form 10-K</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8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11"/>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gridSpan w:val="3"/>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40" w:type="dxa"/>
            <w:vAlign w:val="bottom"/>
            <w:gridSpan w:val="5"/>
            <w:vMerge w:val="restart"/>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0"/>
        </w:trPr>
        <w:tc>
          <w:tcPr>
            <w:tcW w:w="600" w:type="dxa"/>
            <w:vAlign w:val="bottom"/>
            <w:tcBorders>
              <w:bottom w:val="single" w:sz="8" w:color="0000EE"/>
            </w:tcBorders>
            <w:gridSpan w:val="3"/>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360" w:type="dxa"/>
            <w:vAlign w:val="bottom"/>
            <w:gridSpan w:val="7"/>
          </w:tcPr>
          <w:p>
            <w:pPr>
              <w:spacing w:after="0"/>
              <w:rPr>
                <w:sz w:val="18"/>
                <w:szCs w:val="18"/>
                <w:color w:val="auto"/>
              </w:rPr>
            </w:pPr>
          </w:p>
        </w:tc>
        <w:tc>
          <w:tcPr>
            <w:tcW w:w="76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Item 1A</w:t>
              </w:r>
            </w:hyperlink>
          </w:p>
        </w:tc>
        <w:tc>
          <w:tcPr>
            <w:tcW w:w="220" w:type="dxa"/>
            <w:vAlign w:val="bottom"/>
            <w:gridSpan w:val="4"/>
          </w:tcPr>
          <w:p>
            <w:pPr>
              <w:spacing w:after="0"/>
              <w:rPr>
                <w:sz w:val="17"/>
                <w:szCs w:val="17"/>
                <w:color w:val="auto"/>
              </w:rPr>
            </w:pPr>
          </w:p>
        </w:tc>
        <w:tc>
          <w:tcPr>
            <w:tcW w:w="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672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Item 1B</w:t>
              </w:r>
            </w:hyperlink>
          </w:p>
        </w:tc>
        <w:tc>
          <w:tcPr>
            <w:tcW w:w="240" w:type="dxa"/>
            <w:vAlign w:val="bottom"/>
            <w:gridSpan w:val="5"/>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Unresolved Staff Comments</w:t>
              </w:r>
            </w:hyperlink>
          </w:p>
        </w:tc>
        <w:tc>
          <w:tcPr>
            <w:tcW w:w="558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Item 2</w:t>
              </w:r>
            </w:hyperlink>
          </w:p>
        </w:tc>
        <w:tc>
          <w:tcPr>
            <w:tcW w:w="360" w:type="dxa"/>
            <w:vAlign w:val="bottom"/>
            <w:gridSpan w:val="7"/>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Properties</w:t>
              </w:r>
            </w:hyperlink>
          </w:p>
        </w:tc>
        <w:tc>
          <w:tcPr>
            <w:tcW w:w="690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Item 3</w:t>
              </w:r>
            </w:hyperlink>
          </w:p>
        </w:tc>
        <w:tc>
          <w:tcPr>
            <w:tcW w:w="360" w:type="dxa"/>
            <w:vAlign w:val="bottom"/>
            <w:gridSpan w:val="7"/>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Legal Proceedings</w:t>
              </w:r>
            </w:hyperlink>
          </w:p>
        </w:tc>
        <w:tc>
          <w:tcPr>
            <w:tcW w:w="630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Item 4</w:t>
              </w:r>
            </w:hyperlink>
          </w:p>
        </w:tc>
        <w:tc>
          <w:tcPr>
            <w:tcW w:w="360" w:type="dxa"/>
            <w:vAlign w:val="bottom"/>
            <w:gridSpan w:val="7"/>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Mine Safety Disclosures</w:t>
              </w:r>
            </w:hyperlink>
          </w:p>
        </w:tc>
        <w:tc>
          <w:tcPr>
            <w:tcW w:w="586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840" w:type="dxa"/>
            <w:vAlign w:val="bottom"/>
            <w:gridSpan w:val="8"/>
          </w:tcPr>
          <w:p>
            <w:pPr>
              <w:spacing w:after="0" w:line="19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Item 5</w:t>
              </w:r>
            </w:hyperlink>
          </w:p>
        </w:tc>
        <w:tc>
          <w:tcPr>
            <w:tcW w:w="180" w:type="dxa"/>
            <w:vAlign w:val="bottom"/>
            <w:tcBorders>
              <w:top w:val="single" w:sz="8" w:color="0000EE"/>
            </w:tcBorders>
            <w:gridSpan w:val="4"/>
          </w:tcPr>
          <w:p>
            <w:pPr>
              <w:spacing w:after="0"/>
              <w:rPr>
                <w:sz w:val="17"/>
                <w:szCs w:val="17"/>
                <w:color w:val="auto"/>
              </w:rPr>
            </w:pPr>
          </w:p>
        </w:tc>
        <w:tc>
          <w:tcPr>
            <w:tcW w:w="180" w:type="dxa"/>
            <w:vAlign w:val="bottom"/>
            <w:gridSpan w:val="3"/>
          </w:tcPr>
          <w:p>
            <w:pPr>
              <w:spacing w:after="0"/>
              <w:rPr>
                <w:sz w:val="17"/>
                <w:szCs w:val="17"/>
                <w:color w:val="auto"/>
              </w:rPr>
            </w:pPr>
          </w:p>
        </w:tc>
        <w:tc>
          <w:tcPr>
            <w:tcW w:w="7640" w:type="dxa"/>
            <w:vAlign w:val="bottom"/>
            <w:gridSpan w:val="24"/>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Market for Registrant’s Common Equity, Related Stockholder Matters, and Issuer Purchases of Equity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Securities</w:t>
              </w:r>
            </w:hyperlink>
          </w:p>
        </w:tc>
        <w:tc>
          <w:tcPr>
            <w:tcW w:w="6640" w:type="dxa"/>
            <w:vAlign w:val="bottom"/>
            <w:tcBorders>
              <w:top w:val="single" w:sz="8" w:color="0000EE"/>
            </w:tcBorders>
            <w:gridSpan w:val="19"/>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Item 6</w:t>
              </w:r>
            </w:hyperlink>
          </w:p>
        </w:tc>
        <w:tc>
          <w:tcPr>
            <w:tcW w:w="360" w:type="dxa"/>
            <w:vAlign w:val="bottom"/>
            <w:gridSpan w:val="7"/>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Selected Financial Data</w:t>
              </w:r>
            </w:hyperlink>
          </w:p>
        </w:tc>
        <w:tc>
          <w:tcPr>
            <w:tcW w:w="59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Item 7</w:t>
              </w:r>
            </w:hyperlink>
          </w:p>
        </w:tc>
        <w:tc>
          <w:tcPr>
            <w:tcW w:w="360" w:type="dxa"/>
            <w:vAlign w:val="bottom"/>
            <w:gridSpan w:val="7"/>
          </w:tcPr>
          <w:p>
            <w:pPr>
              <w:spacing w:after="0"/>
              <w:rPr>
                <w:sz w:val="17"/>
                <w:szCs w:val="17"/>
                <w:color w:val="auto"/>
              </w:rPr>
            </w:pPr>
          </w:p>
        </w:tc>
        <w:tc>
          <w:tcPr>
            <w:tcW w:w="7640" w:type="dxa"/>
            <w:vAlign w:val="bottom"/>
            <w:gridSpan w:val="2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4"/>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Item 7A</w:t>
              </w:r>
            </w:hyperlink>
          </w:p>
        </w:tc>
        <w:tc>
          <w:tcPr>
            <w:tcW w:w="220" w:type="dxa"/>
            <w:vAlign w:val="bottom"/>
            <w:gridSpan w:val="4"/>
          </w:tcPr>
          <w:p>
            <w:pPr>
              <w:spacing w:after="0"/>
              <w:rPr>
                <w:sz w:val="17"/>
                <w:szCs w:val="17"/>
                <w:color w:val="auto"/>
              </w:rPr>
            </w:pPr>
          </w:p>
        </w:tc>
        <w:tc>
          <w:tcPr>
            <w:tcW w:w="7640" w:type="dxa"/>
            <w:vAlign w:val="bottom"/>
            <w:gridSpan w:val="2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Quantitative and Qualitative Disclosures About Market Risk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Item 8</w:t>
              </w:r>
            </w:hyperlink>
          </w:p>
        </w:tc>
        <w:tc>
          <w:tcPr>
            <w:tcW w:w="14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3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28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119">
              <w:r>
                <w:rPr>
                  <w:rFonts w:ascii="Arial" w:cs="Arial" w:eastAsia="Arial" w:hAnsi="Arial"/>
                  <w:sz w:val="18"/>
                  <w:szCs w:val="18"/>
                  <w:color w:val="0000EE"/>
                  <w:w w:val="91"/>
                </w:rPr>
                <w:t>Item 9</w:t>
              </w:r>
            </w:hyperlink>
          </w:p>
        </w:tc>
        <w:tc>
          <w:tcPr>
            <w:tcW w:w="360" w:type="dxa"/>
            <w:vAlign w:val="bottom"/>
            <w:gridSpan w:val="7"/>
          </w:tcPr>
          <w:p>
            <w:pPr>
              <w:spacing w:after="0"/>
              <w:rPr>
                <w:sz w:val="17"/>
                <w:szCs w:val="17"/>
                <w:color w:val="auto"/>
              </w:rPr>
            </w:pPr>
          </w:p>
        </w:tc>
        <w:tc>
          <w:tcPr>
            <w:tcW w:w="7640" w:type="dxa"/>
            <w:vAlign w:val="bottom"/>
            <w:gridSpan w:val="2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 9A</w:t>
              </w:r>
            </w:hyperlink>
          </w:p>
        </w:tc>
        <w:tc>
          <w:tcPr>
            <w:tcW w:w="220" w:type="dxa"/>
            <w:vAlign w:val="bottom"/>
            <w:gridSpan w:val="4"/>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Controls and Procedures</w:t>
              </w:r>
            </w:hyperlink>
          </w:p>
        </w:tc>
        <w:tc>
          <w:tcPr>
            <w:tcW w:w="586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Item 9B</w:t>
              </w:r>
            </w:hyperlink>
          </w:p>
        </w:tc>
        <w:tc>
          <w:tcPr>
            <w:tcW w:w="240" w:type="dxa"/>
            <w:vAlign w:val="bottom"/>
            <w:gridSpan w:val="5"/>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Other Information</w:t>
              </w:r>
            </w:hyperlink>
          </w:p>
        </w:tc>
        <w:tc>
          <w:tcPr>
            <w:tcW w:w="632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III</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10</w:t>
              </w:r>
            </w:hyperlink>
          </w:p>
        </w:tc>
        <w:tc>
          <w:tcPr>
            <w:tcW w:w="7640" w:type="dxa"/>
            <w:vAlign w:val="bottom"/>
            <w:gridSpan w:val="2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Item 11</w:t>
              </w:r>
            </w:hyperlink>
          </w:p>
        </w:tc>
        <w:tc>
          <w:tcPr>
            <w:tcW w:w="280" w:type="dxa"/>
            <w:vAlign w:val="bottom"/>
            <w:gridSpan w:val="6"/>
          </w:tcPr>
          <w:p>
            <w:pPr>
              <w:spacing w:after="0"/>
              <w:rPr>
                <w:sz w:val="17"/>
                <w:szCs w:val="17"/>
                <w:color w:val="auto"/>
              </w:rPr>
            </w:pPr>
          </w:p>
        </w:tc>
        <w:tc>
          <w:tcPr>
            <w:tcW w:w="4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35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12</w:t>
              </w:r>
            </w:hyperlink>
          </w:p>
        </w:tc>
        <w:tc>
          <w:tcPr>
            <w:tcW w:w="7640" w:type="dxa"/>
            <w:vAlign w:val="bottom"/>
            <w:gridSpan w:val="24"/>
          </w:tcPr>
          <w:p>
            <w:pPr>
              <w:spacing w:after="0" w:line="196" w:lineRule="exact"/>
              <w:rPr>
                <w:rFonts w:ascii="Arial" w:cs="Arial" w:eastAsia="Arial" w:hAnsi="Arial"/>
                <w:sz w:val="18"/>
                <w:szCs w:val="18"/>
                <w:color w:val="0000EE"/>
                <w:w w:val="95"/>
              </w:rPr>
            </w:pPr>
            <w:hyperlink w:anchor="page119">
              <w:r>
                <w:rPr>
                  <w:rFonts w:ascii="Arial" w:cs="Arial" w:eastAsia="Arial" w:hAnsi="Arial"/>
                  <w:sz w:val="18"/>
                  <w:szCs w:val="18"/>
                  <w:color w:val="0000EE"/>
                  <w:w w:val="95"/>
                </w:rPr>
                <w:t>Security Ownership of Certain Beneficial Owners and Management and Related Stockholder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13</w:t>
              </w:r>
            </w:hyperlink>
          </w:p>
        </w:tc>
        <w:tc>
          <w:tcPr>
            <w:tcW w:w="7640" w:type="dxa"/>
            <w:vAlign w:val="bottom"/>
            <w:gridSpan w:val="2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Transactions and Director Independence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14</w:t>
              </w:r>
            </w:hyperlink>
          </w:p>
        </w:tc>
        <w:tc>
          <w:tcPr>
            <w:tcW w:w="7640" w:type="dxa"/>
            <w:vAlign w:val="bottom"/>
            <w:gridSpan w:val="2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8"/>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IV</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15</w:t>
              </w:r>
            </w:hyperlink>
          </w:p>
        </w:tc>
        <w:tc>
          <w:tcPr>
            <w:tcW w:w="120" w:type="dxa"/>
            <w:vAlign w:val="bottom"/>
            <w:gridSpan w:val="2"/>
          </w:tcPr>
          <w:p>
            <w:pPr>
              <w:spacing w:after="0"/>
              <w:rPr>
                <w:sz w:val="17"/>
                <w:szCs w:val="17"/>
                <w:color w:val="auto"/>
              </w:rPr>
            </w:pPr>
          </w:p>
        </w:tc>
        <w:tc>
          <w:tcPr>
            <w:tcW w:w="7640" w:type="dxa"/>
            <w:vAlign w:val="bottom"/>
            <w:gridSpan w:val="2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Exhibits, Financial Statement Schedules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8"/>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16</w:t>
              </w:r>
            </w:hyperlink>
          </w:p>
        </w:tc>
        <w:tc>
          <w:tcPr>
            <w:tcW w:w="764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Summary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898"/>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80" w:type="dxa"/>
            <w:vAlign w:val="bottom"/>
            <w:gridSpan w:val="16"/>
          </w:tcPr>
          <w:p>
            <w:pPr>
              <w:jc w:val="center"/>
              <w:ind w:left="2750"/>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This Annual Report contains forward-looking statements, including with respect to our plans, objectives and expectations for our business, operations and financial performance and condition. Any statements contained herein that are not statements of historical facts may be deemed to be forward-looking statements. The forward-looking statements are contained principally in the sections entitled “Business,” “Risk Factors” and “Management’s Discussion and Analysis of Financial Condition and Results of Operations,” but are also contained elsewhere in this Annual Report.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94" w:lineRule="exact"/>
        <w:rPr>
          <w:sz w:val="20"/>
          <w:szCs w:val="20"/>
          <w:color w:val="auto"/>
        </w:rPr>
      </w:pPr>
    </w:p>
    <w:p>
      <w:pPr>
        <w:jc w:val="both"/>
        <w:ind w:left="700" w:right="59" w:hanging="332"/>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ind w:left="700" w:right="79" w:hanging="332"/>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or likelihood of regulatory filings for NC318, NC410 and any other product candidates we develop and our ability to obtain and maintain regulatory approvals for such product candidates for any indication;</w:t>
      </w:r>
    </w:p>
    <w:p>
      <w:pPr>
        <w:spacing w:after="0" w:line="146" w:lineRule="exact"/>
        <w:rPr>
          <w:rFonts w:ascii="Arial" w:cs="Arial" w:eastAsia="Arial" w:hAnsi="Arial"/>
          <w:sz w:val="17"/>
          <w:szCs w:val="17"/>
          <w:color w:val="auto"/>
        </w:rPr>
      </w:pPr>
    </w:p>
    <w:p>
      <w:pPr>
        <w:ind w:left="700" w:right="79" w:hanging="33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companion or complimentary diagnostics for NC318, NC410 or any other product candidates we develop;</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of our manufacturing methods and processes;</w:t>
      </w:r>
    </w:p>
    <w:p>
      <w:pPr>
        <w:spacing w:after="0" w:line="248" w:lineRule="exact"/>
        <w:rPr>
          <w:rFonts w:ascii="Arial" w:cs="Arial" w:eastAsia="Arial" w:hAnsi="Arial"/>
          <w:sz w:val="16"/>
          <w:szCs w:val="16"/>
          <w:color w:val="auto"/>
        </w:rPr>
      </w:pPr>
    </w:p>
    <w:p>
      <w:pPr>
        <w:ind w:left="700" w:right="59" w:hanging="33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NC318, NC410 and any other product candidates we develop;</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and ability to successfully commercialize our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nature of the biological pathways we are targeting;</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Yale University and Dr. Lieping Chen;</w:t>
      </w:r>
    </w:p>
    <w:p>
      <w:pPr>
        <w:spacing w:after="0" w:line="170" w:lineRule="exact"/>
        <w:rPr>
          <w:rFonts w:ascii="Arial" w:cs="Arial" w:eastAsia="Arial" w:hAnsi="Arial"/>
          <w:sz w:val="18"/>
          <w:szCs w:val="18"/>
          <w:color w:val="auto"/>
        </w:rPr>
      </w:pPr>
    </w:p>
    <w:p>
      <w:pPr>
        <w:jc w:val="both"/>
        <w:ind w:left="700" w:right="79" w:hanging="332"/>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83"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reliance on and the performance of third parties, including collaborators, contract research organizations and third-party manufacturers;</w:t>
      </w:r>
    </w:p>
    <w:p>
      <w:pPr>
        <w:spacing w:after="0" w:line="170" w:lineRule="exact"/>
        <w:rPr>
          <w:sz w:val="20"/>
          <w:szCs w:val="20"/>
          <w:color w:val="auto"/>
        </w:rPr>
      </w:pPr>
    </w:p>
    <w:p>
      <w:pPr>
        <w:ind w:left="700" w:right="79" w:hanging="339"/>
        <w:spacing w:after="0" w:line="277" w:lineRule="auto"/>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ability to protect and enforce our intellectual property protection and the scope and duration of such protection;</w:t>
      </w:r>
    </w:p>
    <w:p>
      <w:pPr>
        <w:spacing w:after="0" w:line="170" w:lineRule="exact"/>
        <w:rPr>
          <w:sz w:val="20"/>
          <w:szCs w:val="20"/>
          <w:color w:val="auto"/>
        </w:rPr>
      </w:pPr>
    </w:p>
    <w:p>
      <w:pPr>
        <w:ind w:left="700" w:hanging="33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competing therapies; and</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w:t>
      </w:r>
    </w:p>
    <w:p>
      <w:pPr>
        <w:spacing w:after="0" w:line="225" w:lineRule="exact"/>
        <w:rPr>
          <w:sz w:val="20"/>
          <w:szCs w:val="20"/>
          <w:color w:val="auto"/>
        </w:rPr>
      </w:pPr>
    </w:p>
    <w:p>
      <w:pPr>
        <w:ind w:left="40" w:right="59"/>
        <w:spacing w:after="0" w:line="342" w:lineRule="auto"/>
        <w:rPr>
          <w:sz w:val="20"/>
          <w:szCs w:val="20"/>
          <w:color w:val="auto"/>
        </w:rPr>
      </w:pPr>
      <w:r>
        <w:rPr>
          <w:rFonts w:ascii="Arial" w:cs="Arial" w:eastAsia="Arial" w:hAnsi="Arial"/>
          <w:sz w:val="16"/>
          <w:szCs w:val="16"/>
          <w:color w:val="auto"/>
        </w:rPr>
        <w:t>These statements, and other forward-looking statements, are based on management's current expectations, estimates, forecasts and projections about our business and industry, are not guarantees of future performance and involve known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and unknown risks, uncertainties and other factors that are in some cases beyond our control and that may cause our or our industry's actual results, levels of activity, performance or achievements to be materially different from those anticipated by the forward-looking statements. Forward-looking statements contained in this Annual Report should be considered in light of these factors and the factors described elsewhere in this Annual Report, including in in the sections entitled “Risk Factors” and “Management’s Discussion and Analysis of Financial Condition and Results of Operations.” You should read these factors and the other cautionary statements made in this Annual Report as being applicable to all related forward-looking statements wherever they appear in this Annual Report.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w:t>
      </w:r>
    </w:p>
    <w:p>
      <w:pPr>
        <w:spacing w:after="0" w:line="18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We caution readers not to place undue reliance on any forward-looking statements made by us, which speak only as of the date of this Annual Report. We undertake no obligation to publicly update any forward-looking statements after the date of this Annual Report, whether as a result of new information, future events or otherwise, except as required by law. We qualify all of our forward-looking statements by the foregoing cautionary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lead product candidate, NC318, is a first-in-class immunomedicine targeting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was presented in November 2019 at the Society for Immunotherapy of Cancer, or SITC, annual meeting. As of November 9, 2019, NC318 had been well tolerated in the Phase 1 portion of the trial and only one dose-limiting toxicity had been observed. Most treatment-related adverse events were easily manageable, asymptomatic or mild or moderate. Data from the trial indicate activity in multiple tumor types, including a complete response and a partial response in patients with NSCLC and durable stable disease in patients with NSCLC, endometrial cell cancer, ovarian cancer, squamous cell carcinoma, Merkel cell cancer, and head and neck cancer. We began enrolling patients in the Phase 2 portion of the trial in October 2019 and expect to announce initial data from the Phase 2 portion by the end of 2020. In addition, in mid-2020, we intend to initiate a Phase 2 clinical trial to evaluate NC318 in combination with standard of care chemotherapies in patients with advanced or metastatic solid tumors.</w:t>
      </w:r>
    </w:p>
    <w:p>
      <w:pPr>
        <w:spacing w:after="0" w:line="17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second product candidate, NC410, is a novel immunomedicine designed to block immune suppression mediated by an immune modulator called Leukocyte-Associated Immunoglobulin-like Receptor 1, or LAIR-1. The U.S. Food and Drug Administration, or the FDA, accepted our investigational new drug application, or IND, for NC410 in the first quarter of 2020 and we intend to initiate a Phase 1/2 clinical trial in patients with advanced or metastatic solid tumors in the second quarter of 2020.</w:t>
      </w:r>
    </w:p>
    <w:p>
      <w:pPr>
        <w:spacing w:after="0" w:line="18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approach to identifying targets for new immunomedicines is based on our FIND-IO platform. FIND-IO embodies a rational approach to the discovery of novel cell surface and secretory molecules that drive functional immune responses. We use our immunology knowledge, experience and capabilities and tools we have developed, including our FIND-IO platform, to support our discovery efforts. We are working to discover novel targets that play a key role in mediating immune dysfunctions that allow tumors to evade the immune system. We seek to identify and develop</w:t>
      </w:r>
    </w:p>
    <w:p>
      <w:pPr>
        <w:sectPr>
          <w:pgSz w:w="11900" w:h="16838" w:orient="portrait"/>
          <w:cols w:equalWidth="0" w:num="1">
            <w:col w:w="9019"/>
          </w:cols>
          <w:pgMar w:left="1440" w:top="125"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immunomedicines that counteract these outcomes and to further validate and advance our product candidates. We have identified multiple novel targets using our FIND-IO platform, including those for which certain of our research programs are being designed to target. In addition, the immunosuppressive properties of S15, the target of NC318, were discovered using a predecessor of our FIND-IO platform.</w:t>
      </w:r>
    </w:p>
    <w:p>
      <w:pPr>
        <w:spacing w:after="0" w:line="187"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NC318, our lead immunomedicine program, is a monoclonal antibody targeting S15, which is expressed on highly immunosuppressive cells called M2 macrophages and on tumor cells. The immunosuppressive properties of S15 were discovered in 2015 at Yale University, or Yale, by our scientific founder Dr. Lieping Chen. Dr. Chen was also the first to discover a molecule he called B7-H1, which is now more widely known as PD-L1, or programmed cell death protein ligand 1, which is the ligand for PD-1, or programmed cell death 1. In preclinical research, we and others have observed that S15 promotes suppression of T cell proliferation and negatively regulates T cell function. NC318 is designed to block this S15-mediated immune suppression and restore T cell function and anti-tumor immunity in the tumor microenvironment, or TME, which we believe will reduce and kill tumors. We believe NC318 has the potential to treat multiple cancer indications because S15 is expressed in multiple tumor types and has a unique ability to modulate immune responses in the TME. In addition, because S15 and PD-L1 expression in tumors generally appear to be non-overlapping, we believe NC318 may be well suited to treat patients who are not responding to PD-1/PD-L1 directed cancer therapies. We are initially evaluating NC318 for the treatment of advanced or metastatic solid tumors, including ovarian cancer, non-small cell lung cancer, or NSCLC, head and neck squamous cell carcinoma, or HNSCC, and triple-negative breast cancer, or TNBC.</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NC410, our second immunomedicine program, is a fusion protein designed to block immune suppression mediated by LAIR-1. LAIR-1 is expressed on T cells and antigen-presenting cells, known as dendritic cells, that present tumor antigens to immune cells in order to generate immune responses. The binding of LAIR-1 to collagen or C1q results in loss of immune function in the TME and a reduction in T cell function and dendritic cell activity. By blocking the binding of LAIR-1, NC410 can promote T cell function and dendritic cell activity, which could result in anti-tumor immune responses that eliminate cancer cells. The FDA accepted our IND in the first quarter of 2020, and we intend to initiate a Phase 1/2 clinical trial in patients with advanced or metastatic solid tumors in the second quarter of 2020. We are currently focused on opportunities for NC410 in ovarian cancer, NSCLC and pancreatic cancer.</w:t>
      </w:r>
    </w:p>
    <w:p>
      <w:pPr>
        <w:spacing w:after="0" w:line="17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are using our FIND-IO platform as our discovery engine to identify targets and develop immunomedicines that restore normal immune function in the TME through novel mechanisms of action. Since our founding in 2015, we have developed, industrialized and optimized our FIND-IO platform based on the immunological expertise of our management team and the scientific leadership of our scientific founder, Dr. Lieping Chen. Our approach in creating the FIND-IO platform, and how we apply it, reflects our belief in the importance of understanding biological pathways of all cells in the immune system and restoring normal immune function. The platform uses our proprietary approaches to assess the suppressive or stimulatory function of immune pathways in T cells and other immune cells, as measured by effects on proliferation or induction of molecules known to impact immune responses, such as cytokines, which are signaling molecules secreted by cells in the immune system that mediate and regulate immunity and inflammation. We study primary immune cells from healthy donors and from patients with various diseases, as well as established cell lines from immune and non-immune cell lineages, including T cell subsets, monocytes, macrophage subpopulations and cancer cell lines. In oncology, we are using the FIND-IO platform to discover immunomedicines with the potential to intervene or modulate interactions of immune cells within the TME to restore anti-tumor activity. We are also expanding the functional screening approach of our FIND-IO platform for the identification of novel targets in other serious illnesses outside of oncology, including autoimmune, inflammatory and neuro-inflammatory diseases.</w:t>
      </w:r>
    </w:p>
    <w:p>
      <w:pPr>
        <w:spacing w:after="0" w:line="18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have assembled an experienced management team to execute on our mission to create novel immunomedicines. Our scientific founder and members of our management team collectively have extensive experience in drug discovery and product development and are leaders in the immuno-oncology field. Members of our management team have experience discovering, developing, manufacturing and commercializing biologics, including some of the earliest approved monoclonal antibodies, such as Synagis, as well as some of the first immune checkpoint inhibitor monoclonal antibodies and fusion proteins targeting the PD-1/PD-L1 pathway and CTLA-4, including Yervoy. Within three years, we advanced our company from formation to antibody generation to the clinic, and constructed a manufacturing facility that complies with current good manufacturing practice, or cGMP, and that we have used to manufacture our preclinical and clinical drug supply.</w:t>
      </w:r>
    </w:p>
    <w:p>
      <w:pPr>
        <w:spacing w:after="0" w:line="18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Members of our management team have a longstanding relationship with our scientific founder Dr. Chen, who is the United Technologies Corporation Professor in Cancer Research and Professor of Immunobiology, of Dermatology and</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of Medicine (Medical Oncology) at Yale, and the Co-Director of the Cancer Immunology Program at Yale Cancer Center. Dr. Chen was the first to discover PD-L1, and to show that it is expressed by multiple tumor types and its activity can cause the death of T cells, preventing those T cells from eliminating cancer cells. He also showed that blocking the interaction between PD-1 and PD-L1 with monoclonal antibodies improved the immune system’s ability to eliminate tumors. Dr. Chen’s work provided an important foundation for the subsequent development of immunotherapies that enable more effective immune treatments against cancer. Since then, his laboratory has identified and characterized various molecules in two of the major families of immune modulating proteins, the B7-CD28 and the tumor necrosis factor, or TNF, receptor/ligand superfamilies, and elucidated their interactions and functions in controlling immune responses. The immunosuppressive properties of S15, the target of our lead product candidate, NC318, were discovered in Dr. Chen’s lab using a predecessor of our FIND-IO platform. We continue to collaborate with Dr. Chen on discovering novel immunomedicines through an exclusive sponsored research agreement with Yale.</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believe the combination of our team’s capabilities and focus on understanding the biological pathways of the immune system, our product development expertise and manufacturing infrastructure and our relationship with Dr. Chen and Yale positions us to build a sustainable portfolio of first-in-class immunomedicines.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are leveraging our understanding of biological pathways and our FIND-IO platform to discover, validate and build a proprietary pipeline of immunomedicine candidates. The figure below details our pipeline of product candidates and principal discovery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2511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strategy is to use our fully integrated discovery and product development infrastructure to build a sustainable pipeline of product candidates to treat cancer patients who are not adequately served by currently available therapies. The key elements of our strategy include:</w:t>
      </w:r>
    </w:p>
    <w:p>
      <w:pPr>
        <w:spacing w:after="0" w:line="184" w:lineRule="exact"/>
        <w:rPr>
          <w:sz w:val="20"/>
          <w:szCs w:val="20"/>
          <w:color w:val="auto"/>
        </w:rPr>
      </w:pPr>
    </w:p>
    <w:p>
      <w:pPr>
        <w:jc w:val="both"/>
        <w:ind w:left="1020" w:right="59" w:hanging="328"/>
        <w:spacing w:after="0" w:line="27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Advancing the clinical development of our lead product candidates, NC318 and NC410. </w:t>
      </w:r>
      <w:r>
        <w:rPr>
          <w:rFonts w:ascii="Arial" w:cs="Arial" w:eastAsia="Arial" w:hAnsi="Arial"/>
          <w:sz w:val="17"/>
          <w:szCs w:val="17"/>
          <w:color w:val="auto"/>
        </w:rPr>
        <w:t>In October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initiated a Phase 1/2 clinical trial evaluating NC318 in patients with advanced or metastatic solid tumors. We completed enrollment of the Phase 1 portion of this trial in August 2019 and preliminary data from the Phase 1 portion was presented at the SITC annual meeting in November 2019. We began enrolling patients in the Phase 2 portion of the trial in October 2019 and expect to announce initial data from the Phase 2 portion by the end of 2020. In mid-2020, we intend to initiate a Phase 2 clinical trial to evaluate NC318 in combination with standard of care chemotherapies in patients with advanced or metastatic solid tumors. For NC410, the FDA accepted our IND in the first quarter of 2020 and we intend to initiate a Phase 1/2 clinical trial in the second quarter of 2020.</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hanging="328"/>
        <w:spacing w:after="0" w:line="30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Building an oncology pipeline of novel targets for new immunomedicines focused on non-responders</w:t>
      </w:r>
      <w:r>
        <w:rPr>
          <w:rFonts w:ascii="Arial" w:cs="Arial" w:eastAsia="Arial" w:hAnsi="Arial"/>
          <w:sz w:val="16"/>
          <w:szCs w:val="16"/>
          <w:color w:val="auto"/>
        </w:rPr>
        <w: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leveraging our immunological expertise and our FIND-IO platform to identify novel targets relevant to overcoming immune suppression. In addition to our internal discovery efforts, we also expect to leverage our relationship with Dr. Chen’s laboratory at Yale for the discovery of additional targets for immunomedicines.</w:t>
      </w:r>
    </w:p>
    <w:p>
      <w:pPr>
        <w:spacing w:after="0" w:line="157" w:lineRule="exact"/>
        <w:rPr>
          <w:rFonts w:ascii="Arial" w:cs="Arial" w:eastAsia="Arial" w:hAnsi="Arial"/>
          <w:sz w:val="16"/>
          <w:szCs w:val="16"/>
          <w:color w:val="auto"/>
        </w:rPr>
      </w:pPr>
    </w:p>
    <w:p>
      <w:pPr>
        <w:jc w:val="both"/>
        <w:ind w:left="1020" w:right="59" w:hanging="328"/>
        <w:spacing w:after="0" w:line="269"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our fully integrated development, quality systems and cGMP manufacturing capabilities.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is to integrate key aspects of product development within our organization. We have assembled a team with extensive experience in identifying, characterizing and developing novel immunomedicines. We seek to couple discovery of important targets with the capability to rapidly streamline target validation and conduct key IND-enabling studies, leading to clinical development of lead candidates. Our purpose-built, dedicated, state-of-the-art cGMP manufacturing facility utilizes single-use technology to support development of our pipeline and advancement of our product candidates into and through clinical development. The facility has an initial production capacity of 1,000 liters with additional room for expansion and is designed to operate as a multi-product facility. Compared to working with third-party manufacturers, we believe our facility provides better quality assurance, greater control in scheduling and prioritizing manufacturing activities and enhanced capital efficiency.</w:t>
      </w:r>
    </w:p>
    <w:p>
      <w:pPr>
        <w:spacing w:after="0" w:line="181" w:lineRule="exact"/>
        <w:rPr>
          <w:rFonts w:ascii="Arial" w:cs="Arial" w:eastAsia="Arial" w:hAnsi="Arial"/>
          <w:sz w:val="17"/>
          <w:szCs w:val="17"/>
          <w:color w:val="auto"/>
        </w:rPr>
      </w:pPr>
    </w:p>
    <w:p>
      <w:pPr>
        <w:jc w:val="both"/>
        <w:ind w:left="1020" w:right="59" w:hanging="328"/>
        <w:spacing w:after="0" w:line="272"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Expanding our current focus and creating new opportunities outside of the oncology field</w:t>
      </w:r>
      <w:r>
        <w:rPr>
          <w:rFonts w:ascii="Arial" w:cs="Arial" w:eastAsia="Arial" w:hAnsi="Arial"/>
          <w:sz w:val="17"/>
          <w:szCs w:val="17"/>
          <w:color w:val="auto"/>
        </w:rPr>
        <w:t>. While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primary focus is oncology, the functional screening approach and proprietary technology of our FIND-IO platform are broadly applicable to the identification of positive and negative immune modulators, and therefore can be used and expanded to discover novel targets in other inflammatory diseases. Our goal is to enable next-generation immunomedicines for other serious inflammatory diseases with significant unmet medical needs in fields beyond oncology. For example, we are developing our FIND-AI platform, a new platform focused on discovery efforts in autoimmunity and inflammation.</w:t>
      </w:r>
    </w:p>
    <w:p>
      <w:pPr>
        <w:spacing w:after="0" w:line="177" w:lineRule="exact"/>
        <w:rPr>
          <w:rFonts w:ascii="Arial" w:cs="Arial" w:eastAsia="Arial" w:hAnsi="Arial"/>
          <w:sz w:val="17"/>
          <w:szCs w:val="17"/>
          <w:color w:val="auto"/>
        </w:rPr>
      </w:pPr>
    </w:p>
    <w:p>
      <w:pPr>
        <w:jc w:val="both"/>
        <w:ind w:left="1020" w:right="59" w:hanging="328"/>
        <w:spacing w:after="0" w:line="25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Extending the reach of our product candidates through strategic partnerships and collaborations</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worldwide rights to our current product candidates and our FIND-IO platform. We expect to explore a variety of market opportunities for our current and future product candidates and our platforms, including through the pursuit of strategic partnerships or other collaborations with regard to selected indications or geographical areas such as Asia. We intend for our product candidates to be developed and commercialized globally, by us in key markets and in collaboration with other companies for other geographies.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Immuno-Oncology Background</w:t>
      </w:r>
    </w:p>
    <w:p>
      <w:pPr>
        <w:spacing w:after="0" w:line="22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immune system has powerful biological mechanisms to defend and protect the body from pathogens, such as viruses, parasites and bacteria. It also provides surveillance against cancers by recognizing and responding to antigens that are uniquely or highly expressed on cancer cells. In cancer, complex interactions between immune cells and growing tumor cells can prevent an immune response by blocking cellular interactions, resulting in immunosuppression in the TME. This phenomenon, referred to as immune evasion, is a hallmark of cancer where the tumor can prevent tumor-specific immune cells called T cells from functioning within the TME or gaining access to the tumor site, which allows the tumor to continue to grow, leading to disease progression. Tumors in advanced cancer have multiple mechanisms of evasion in the TME that can differ from tumor to tumor.</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TME is the cellular environment in which the tumor exists and encompasses the surrounding blood vessels, a variety of immune cells, fibroblasts, bone marrow-derived inflammatory cells, lymphocytes, signaling molecules and the extracellular matrix, or ECM. Immune cell types in the TME include T cells, natural killer, or NK, cells, dendritic cells, macrophages, suppressive myeloid cells and neutrophils. The tumor and the surrounding microenvironment interact constantly. Tumors and immune cells can express co-inhibitory proteins known as checkpoints that lead to immune tolerance by the tumor and/or immune cells, allowing the tumor to grow by evading the host immune response. In addition to modulating immune function, immune cells in the TME can also promote a pro-tumorigenic environment that fosters the growth and evolution of cancer cells.</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Remodeling the TME and overcoming its immunosuppressive properties is a major focus of cancer research and drug development. Checkpoint inhibitors are a drug class designed to counteract certain tumor defenses against the immune system. Currently approved checkpoint inhibitors were developed for the treatment of cancer based on the belief that inactivation of the immune system by checkpoints could be reversed to reactivate the immune system to recognize and</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attack the tumor. Therapies against checkpoints, such as PD-L1, PD-1 and CTLA-4, have produced impressive results in the clinic across an array of cancers and have been approved for several malignancies. However, despite the recent success of these checkpoint inhibitors, efficacy has been limited. It is estimated that up to 60% to 70% of cancer patients, including those with melanoma, renal cell cancer, colorectal cancer, NSCLC, urothelial cancer and HNSCC, do not respond to single-agent therapy with checkpoint inhibitors. Many of the patients who are non-responders possess so called “cold” tumors that do not contain meaningful numbers of T cells that recognize their tumors. In addition, some patients develop resistance after initial treatment with these checkpoint inhibitors. This limited efficacy highlights the importance of our effort to identify novel targets and molecular pathways responsible for tumor immune evasion mechanisms that we believe will work independently from current targets for cancer immunotherapy.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Approach to Developing Immunomedicines for Cancer</w:t>
      </w:r>
    </w:p>
    <w:p>
      <w:pPr>
        <w:spacing w:after="0" w:line="229"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approach to identifying targets for new immunomedicines in cancer is based on the combination of our FIND-IO platform, our immunological expertise and our belief in the importance of understanding biological pathways and the normal function of the immune system in the TME. Rather than focusing on a specific type of immune cell, we are targeting molecules that modulate the immune system in ways that we believe may provide new treatment opportunities for patients that are differentiated from currently marketed targeted therapies as well as those in development. Our primary goal is to develop immunomedicines that increase response rates, efficacy and durable overall survival among patients who do not respond to current therapies, patients whose cancer progresses despite treatment and patients with cancer types that are not adequately addressed by currently available therapies. We design our product candidates either to restore the normal effects of the immune system to promote elimination of the tumors or to counteract tumor immune evasion mechanisms.</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FIND-IO platform applies a function-based screening approach to identify human proteins and to determine whether those proteins alter or stop an immune response resulting in immune evasion. The platform is designed to identify novel cell surface molecular interactions that drive functional immune responses. Our FIND-IO platform broadly and quantitatively evaluates interactions between relevant protein components and different cellular types over time in order to identify novel targets that either increase or decrease immune-related functional responses associated with desired immune responses against tumors. By identifying novel immune modulators through the FIND-IO platform, we aim to develop next-generation immunomedicines that restore normal immune function in the TME.</w:t>
      </w:r>
    </w:p>
    <w:p>
      <w:pPr>
        <w:spacing w:after="0" w:line="17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To create our FIND-IO platform, we industrialized, expanded and optimized the T Cell Activity Array, or the TCAA, a predecessor of the FIND-IO platform that Dr. Chen used to discover the immunosuppressive properties of S15. Our work in developing the FIND-IO platform beyond the TCAA includes using different and expanded gene libraries, adding biological pathways and reporters, expanding immune cell types and, most importantly, increasing the repertoire of functional assay readouts. We also broadened the platform to look at signaling within both the immune cell and the cell expressing the library gene. By transfecting cells with library genes, which encode membrane-bound or soluble proteins, FIND-IO is designed to determine whether the genes have signaling functions when interacting with an immune cell.</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FIND-IO technology includes proprietary approaches to functionally assess immune pathways in both primary immune cells and established cell lines from immune lineages, including T cell subsets, monocytes, macrophage subpopulations, dendritic cells, cancer cell lines and cells isolated from diseased patients. This platform allows us to identify proteins that can be targeted with novel immunomedicines to repair and maintain anti-tumor immunity. By focusing on understanding the TME in oncology, we believe we can identify multiple new positive and negative modulators of immune cells, including T cells, NK cells, macrophages and myeloid-derived suppressor cells.</w:t>
      </w:r>
    </w:p>
    <w:p>
      <w:pPr>
        <w:spacing w:after="0" w:line="17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As shown in the figure below, our product candidates target a variety of cell types in the immune system. For example, NC318 targets macrophages and tumor cells and prevents suppressive myeloid cells from negatively regulating T cells, and NC410 targets the negative signaling from dendritic cells, macrophages and T cells mediated by the binding of LAIR-1 to its ligands collagen and C1q. We also have earlier stage discovery programs that are investigating the negative effects of NK cells and other immune cells in the TME on T cells.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Expanding Targets Beyond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154305</wp:posOffset>
            </wp:positionV>
            <wp:extent cx="4114800" cy="3985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0"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NC318</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NC318 is a monoclonal antibody that binds specifically to human S15 with high affinity. We have observed in preclinical studies that blocking S15 improved the immune response in multiple animal models. We believe that NC318 may help promote an effective anti-tumor immune response by targeting multiple cell types in the TME that express S15, including macrophages and S15-positive tumor cells. Based on the results of our preclinical studies, we initiated a Phase 1/2 clinical trial of NC318 in patients with advanced or metastatic solid tumors in October 2018. We completed enrollment of the Phase 1 portion of this trial in August 2019 and preliminary data from the Phase 1 portion was presented at the SITC annual meeting in November 2019. We began enrolling patients in the Phase 2 portion of the trial in October 2019 and expect to announce initial data from the Phase 2 portion by the end of 2020. In addition, we may develop a complementary diagnostic for NC318 if we determine it is advisable. We have exclusive worldwide rights to NC318.</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S15 Background</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S15 is a member of the sialic acid-binding immunoglobulin lectins, or Siglec, family, a distinct subgroup of the immunoglobulin superfamily of proteins. Siglecs are expressed on most white blood cells of the immune system, except for T cells. Siglecs recognize and bind to a sugar structure called sialic acid that coats proteins and fatty acids found on the surface of all mammalian cells. This binding can affect cell signaling on immune cells. Several Siglecs play key roles in helping immune cells distinguish between self and non-self and modulating immune responses. In 2015, Dr. Chen discovered the immunosuppressive properties of S15 using the TCAA. S15 is expressed on tumor cells and, importantly, on M2 macrophages, which are highly immunosuppressive in the TME.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S15 molecules on M2 macrophages, as well as on tumors themselves, appear to interact with unidentified receptors on T cells and inhibit T cell proliferation and functions, leading to decreased anti-tumor immune response. It also appears that S15 interacts with myeloid cells to promote their survival and differentiation so that they contribute to the overall immunosuppressive tumor environment through production of cytokines, such as IL-6, IL-1β and TNF-α, that are tumor-promoting and immunosuppressive in the context of the TME. As shown in the figure below, the presence of S15 on either tumor cells or M2 macrophages can lead to an immunosuppressive TME, resulting in tumor growth.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S15 is Highly Immunosuppressive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3334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mechanism of action of NC318 prevents immune suppression caused by S15 and promotes anti-tumor activity. As the figure below shows, by targeting M2 macrophages, S15-induced myeloid cells and S15-positive tumors, NC318 is engineered to decrease inflammatory cytokines associated with enhanced tumor growth, promote T cell proliferation and restore T cell function, which we believe will reduce and kill tumors.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NC318 is Designed to Block Immunosuppressive Activity Induced by 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3068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preclinical studies, we have observed that S15 is highly expressed on both tumor cells and M2 macrophages in the TME in multiple tumor types, including human lung cancer, ovarian cancer, breast cancer and melanoma. In contrast, S15 expression on normal tissues is minimal. Our analysis shows that S15 exhibits a distinct expression pattern on tumors and functions independently from the PD-L1 pathway. The left panel of the following figure illustrates the expression of S15 relative to PD-L1 among more than 200 NSCLC tumor samples across multiple microarrays. Three distinct populations are identified: S15-positive and PD-L1-negative tumors; PD-L1-positive and S15-negative tumors; and tumors that express neither S15 nor PD-L1. This observation suggests that the expression of S15 is generally non-overlapping from PD-L1 on tumors. As reflected in the right panel of the following figure, we believe NC318 may provide a therapeutic solution for patients who have S15-positive and PD-L1-negative tumors, a patient population that is less likely to respond to a PD-1/PD-L1 directed therapy. This is consistent with our goal to develop immunomedicines that restore normal immune function in ways that differ from existing immunotherapies in order to provide effective therapies for patients who are not adequately served by currently available therapies.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5554980" cy="2734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First in-Human Phase 1/2 Clinical Trial</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2018, we initiated a Phase 1/2 clinical trial to evaluate NC318 as a monotherapy in patients with advanced or metastatic solid tumors. This ongoing first-in-human trial is an open-label Phase 1/2 clinical trial designed to assess the safety and tolerability of NC318, to define the maximum tolerable dose and/or pharmacologically active dose and to assess preliminary efficacy. Patients receive NC318 on day one of each cycle. We initiated the trial with 14-day cycles; however, we may explore alternate doses and dose administration schedules. The trial is being conducted in two phases.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Phase 1 portion was designed to determine the pharmacologically active dose, defined as the dose that provides a maximal biologic effect, such as an increase in biomarkers of immune activation or a reduction of biomarkers associated with immune suppression, and/or the maximum tolerable dose of NC318, including defining the optimal dose administration schedule and the maximum number of tolerated doses. We completed enrollment of the Phase 1 portion of the trial in August 2019 and have dosed 49 patients across seven dose cohorts: 8 mg, 24 mg, 80 mg, 240 mg, 400 mg, 800 mg and 1,600 mg, the last of which was added to the trial because a maximum tolerated dose had not been reached through 800 mg. The most common tumors in the trial were NSCLC (13 patients), ovarian (seven patients), melanoma (seven patients), breast (four patients) and colorectal (three patients). Enrolled patients had all been subject to previous cancer treatments, with a median of three prior therapies, and all 13 NSCLC patients were PD-1 refractory and had been treated with a median of four prior therapies.</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Preliminary data from the Phase 1 portion was presented in November 2019 at the SITC annual meeting. As of November 9, 2019, NC318 had been well tolerated in the Phase 1 portion of the trial and only one dose-limiting toxicity, a grade 3 pneumonitis at the highest dose level, had been observed. Treatment-related adverse events experienced by more than 5% of patients as of that date were diarrhea, infusion reactions, fatigue, headaches, pruritis, elevated amylase and elevated lipase. Most treatment-related adverse events were easily manageable, asymptomatic or mild or moderate, with the exception of one case of grade 3 episcleritis/uveitis at the 400 mg dose level that resolved after steroid therapy and two cases of grade 3 pneumonitis (one at the 400 mg dose level and one at the 1,600 mg dose level). We also observed two grade 1 cases of vitiligo (one at the 80 mg dose level and one at the 400 mg dose level) that, along with other immune-related adverse events including diarrhea, elevated amylase and lipase, pruritis, episcleritis/uveitis and pneumonitis, indicate NC318’s activity as a modulator of the immune system.</w:t>
      </w:r>
    </w:p>
    <w:p>
      <w:pPr>
        <w:spacing w:after="0" w:line="18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Data from the trial indicate activity in multiple tumor types, including durable stable disease in patients with NSCLC, endometrial cell cancer, ovarian cancer, squamous cell carcinoma, Merkel cell cancer, and head and neck cancer. As of November 9, 2019, durable responses observed include one complete response, which remained ongoing at 55 weeks, and one partial response, which remained ongoing at 28 weeks, both in NSCLC patients, as well as 14 patients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with stable disease, which remained ongoing for between 16 and 42 weeks. The patient with the complete response had multiple lesions prior to treatment with NC318, including two lesions that were at least 10 mm. Among the 14 patients with stable disease, four patients have NSCLC, with stable disease ongoing for between 16 and 40 weeks. Three NSCLC patients (out of 13 NSCLC patients in total) had not been in the study long enough to confirm the status of their disease.</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began enrolling patients in the Phase 2 portion of the Phase 1/2 clinical trial of NC318 in October 2019. The Phase 2 portion of the trial is an open-label trial designed to detect a relevant efficacy signal, or response rate, for each tumor type at a 400 mg dose administered every two weeks. In this portion, we will enroll up to 100 patients with tumor types that have been shown to have elevated S15 expression, including NSCLC, ovarian cancer, HNSCC and TNBC. The primary endpoints for the Phase 2 portion of the trial are safety and tolerability, and secondary endpoints include response rate, progression-free survival, duration of response and overall survival. We expect to announce initial data from this portion of the trial by the end of 2020.</w:t>
      </w:r>
    </w:p>
    <w:p>
      <w:pPr>
        <w:spacing w:after="0" w:line="177"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designed the clinical trial for NC318 with a robust biomarker strategy to help evaluate clinical activity throughout the trial by focusing on markers of pharmacodynamics. During the trial, we are obtaining a series of blood samples from patients before and during treatment. These blood samples are being used for the analysis and characterization of the immune cell population. T cell receptor clones are also being analyzed to detect evidence of therapy-induced clonal expansion of a subpopulation of antigen-specific T cells. Other assays relevant to the objectives of the trial, such as flow cytometry analysis of intracellular cytokines, may be performed based upon emerging data. In the Phase 2 portion of this trial, we will also obtain tumor biopsy samples before the first dose of NC318 and at least once more after the third dose. The biopsy samples will be used to investigate molecular signatures associated with response or resistance to treatment with NC318. We may also examine tissue by histology and immunohistochemistry or by exploratory methods to evaluate markers of inflammation and effector T cell populations, growth, signaling, apoptosis and similar markers that may be associated with safety, response or resistance to treatment with NC318. We believe our biomarker strategy will allow us to better monitor the clinical trial and could help shape the treatment strategy of NC318 in future clinical trials and, if approved, in clinical practice.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Phase 2 Combination Clinical Trial</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mid-2020, we intend to initiate a Phase 2 clinical trial to evaluate NC318 in combination with standard of care chemotherapies in patients with advanced or metastatic solid tumors. This trial will be an open-label trial designed to assess the safety and tolerability of NC318 in combination with at least two different chemotherapy regimens and to define the maximum tolerable dose of NC318 when administered with each chemotherapy. The trial will also be designed to assess preliminary efficacy of each combination in specific tumor types in a manner that can potentially support the use of such combinations in first-line therapies of advanced or metastatic solid tumors.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 xml:space="preserve">Most syngeneic mouse tumor cell lines, which are common mouse models used to test immunotherapies, do not express S15. In order to study the effects of our S15-targeted antibody, we generated a tumor model where the mouse expresses S15. The model was initiated by differentiating mouse bone marrow cells into S15-positive M2 macrophages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vitro</w:t>
      </w:r>
      <w:r>
        <w:rPr>
          <w:rFonts w:ascii="Arial" w:cs="Arial" w:eastAsia="Arial" w:hAnsi="Arial"/>
          <w:sz w:val="16"/>
          <w:szCs w:val="16"/>
          <w:color w:val="auto"/>
        </w:rPr>
        <w:t>. These cells were then implanted into mice with an S15-negative mouse colon cancer cell line called CT26. The mice</w:t>
      </w:r>
      <w:r>
        <w:rPr>
          <w:rFonts w:ascii="Arial" w:cs="Arial" w:eastAsia="Arial" w:hAnsi="Arial"/>
          <w:sz w:val="16"/>
          <w:szCs w:val="16"/>
          <w:i w:val="1"/>
          <w:iCs w:val="1"/>
          <w:color w:val="auto"/>
        </w:rPr>
        <w:t xml:space="preserve"> </w:t>
      </w:r>
      <w:r>
        <w:rPr>
          <w:rFonts w:ascii="Arial" w:cs="Arial" w:eastAsia="Arial" w:hAnsi="Arial"/>
          <w:sz w:val="16"/>
          <w:szCs w:val="16"/>
          <w:color w:val="auto"/>
        </w:rPr>
        <w:t>were then treated with either the S15-targeted antibody 5G12, the murine parent antibody of NC318, which has similar overall functional properties to NC318, or a control antibody. Across multiple preclinical studies, we evaluated the safety and efficacy of 5G12 and observed that blocking the effects of S15 with 5G12 restored immune function and anti-tumor immunity. For example, as the figure below shows, mice treated with 5G12 every four days for seven doses had smaller tumors and increased survival when compared to the mice treated with a control antibody.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Treatment with 5G12 Reduced Tumor Growth and Increased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1680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498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p-value, or probability value, cited in figures in this Annual Report as “p,” is the likelihood that an observed result occurred by chance. The smaller the p-value, the less likely that chance caused the result. A result that is sufficiently unlikely to have occurred by chance is referred to as being statistically significant. The FDA generally considers a p-value of less than or equal to 0.05, meaning that there is a 5% or less chance that the results occurred by chance, to be statistically significant.</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also generated murine tumors expressing S15 on their surface. In our preclinical studies of an S15-positive murine colon cancer cell line, we observed that 5G12 delayed tumor growth and tumor metastasis, which was demonstrated by fewer lung nodules measured 28 days after treatment in the mice treated with 5G12 as compared to the mice treated with a control antibody, as shown in the figure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Treatment with 5G12 Delayed Tumor Metastasis in Lung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154305</wp:posOffset>
            </wp:positionV>
            <wp:extent cx="2674620" cy="2811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46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Based on in vitro studies, we understand that S15 drives an increase in pro-inflammatory and pro-tumorigenic cytokines, such as IL-1β, IL-6 and TNF-α. As indicated in the figure below, when human peripheral blood mononuclear cells, or PBMCs, which are blood cells that are critical components in the immune system, were cultured in the presence of S15, the amount of pro-inflammatory and pro-tumorigenic cytokines increased, indicating an immunosuppressive environment. However, when human PBMCs were cultured with S15 protein and 5G12 or NC318, the amount of pro-inflammatory and pro-tumorigenic cytokines was reduced relative to when cultured with S15 and a control antibody. In</w:t>
      </w:r>
    </w:p>
    <w:p>
      <w:pPr>
        <w:sectPr>
          <w:pgSz w:w="11900" w:h="16838" w:orient="portrait"/>
          <w:cols w:equalWidth="0" w:num="1">
            <w:col w:w="9019"/>
          </w:cols>
          <w:pgMar w:left="1440" w:top="125"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addition, 5G12 and NC318 promoted the ability of human T cells to proliferate and produce interferon-gamma, or IFN-γ. These data, which are shown in the figures below, suggest that 5G12 and NC318 have the potential to block immune suppression mediated by S15.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NC318 Decreased Inflammatory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3943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NC410</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NC410 is a fusion protein of LAIR-2, a naturally occurring soluble version of and decoy protein for LAIR-1, and is designed to block immune suppression mediated by LAIR-1. Multiple preclinical studies support our understanding that eliminating or blocking the binding of LAIR-1 restores normal immune function in multiple immune cells. Our translational work has shown that NC410 blocks the interaction of LAIR-1 with its binding partners, thereby promoting T cell function and dendritic cell activity to contribute to restoring anti-tumor immune activity. Consistent with our strategy, we believe NC410 has the potential to address the needs of patients who are not adequately addressed by currently available therapies. The FDA accepted our IND in the first quarter of 2020 and we intend to initiate a Phase 1/2 clinical trial in patients with advanced or metastatic solid tumors in the second quarter of 2020. We have exclusive worldwide rights to NC410.</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Background of LAIR Pathway in Cancer</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LAIR-1 is a co-inhibitory receptor expressed on T cells and several other immune cell subsets, including monocytes, macrophages and dendritic cells. Its binding partners include certain types of collagen and complement component 1q, or C1q.</w:t>
      </w:r>
    </w:p>
    <w:p>
      <w:pPr>
        <w:spacing w:after="0" w:line="18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Under normal conditions, collagen forms a scaffold to provide strength and structure to tissues. C1q is part of the innate immune system to protect the host from infection and other foreign agents. Both collagen and C1q are highly</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upregulated and expressed under pathologic conditions, such as in the TME and in the immune organelles close to the tumor site known as lymph nodes, which are important sites for mounting immune responses to the tumor. However, binding of LAIR-1 to collagen or C1q leads to immune suppression. Our preclinical studies have shown that LAIR-1 and LAIR-2 bind to similar ligands, including collagen and C1q. LAIR-2, which is a secreted protein as opposed to a membrane-bound protein like LAIR-1, binds to the same regions of these ligands with stronger affinity than LAIR-1. However, because LAIR-2 does not induce immune suppression when binding to these ligands, LAIR-2 functions as an efficient decoy for LAIR-1.</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Under the harsh conditions of the TME, collagen and C1q are overexpressed as a membrane protein on many types of tumor cells and in the ECM surrounding the tumor. This increased expression of collagen and C1q, combined with insufficient levels of natural LAIR-2, leads to increased binding of LAIR-1, resulting in immune suppression, tumor immune evasion and tumor growth.</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NC410 is a novel immunotherapeutic protein that was developed to block LAIR-1-mediated immune suppression by mimicking the natural decoy effects of LAIR-2. Our approach of using NC410 as a therapeutic is intended to take advantage of the natural LAIR-2 regulatory system in humans, which maintains human immune function under normal non-pathologic conditions.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mechanism of action of NC410 prevents immune suppression caused by LAIR-1 binding to collagen or C1q and promotes anti-tumor immune activity. As the figure below shows, when LAIR-2 and NC410 are present in the TME, they bind to collagen or C1q preferentially compared to LAIR-1 given their higher binding affinity. This has the effect of blocking the collagen or C1q from binding to LAIR-1, which otherwise would have resulted in an immunosuppressive effect. By blocking this interaction with LAIR-1 and its binding partners, T cell function and dendritic cell activity is promoted in order to restore anti-tumor immune activity.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NC410 is Designed to Prevent Immune Suppression Caused by LAIR-1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70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498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conducted multiple preclinical studies to assess the activity of NC410 across a variety of preclinical models. These studies support our understanding that eliminating or blocking the binding of LAIR-1 to collagen or C1q can restore normal immune function in multiple immune cells, including T cells and myeloid cells, resulting in activation of T cells and anti-tumor immunity.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 xml:space="preserve">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human cells that using NC410 to block LAIR-1 from binding with collagen or C1q reverses immune suppression and restores normal immune cell function for both peripheral blood monocytes, including T cells, and myeloid cells. In one study of peripheral blood monocytes, we added 0 µg/mL, 10 µg/mL and 100 µg/mL of NC410 to 20 µg/mL of collagen peptide </w:t>
      </w:r>
      <w:r>
        <w:rPr>
          <w:rFonts w:ascii="Arial" w:cs="Arial" w:eastAsia="Arial" w:hAnsi="Arial"/>
          <w:sz w:val="18"/>
          <w:szCs w:val="18"/>
          <w:i w:val="1"/>
          <w:iCs w:val="1"/>
          <w:color w:val="auto"/>
        </w:rPr>
        <w:t>in vitro</w:t>
      </w:r>
      <w:r>
        <w:rPr>
          <w:rFonts w:ascii="Arial" w:cs="Arial" w:eastAsia="Arial" w:hAnsi="Arial"/>
          <w:sz w:val="18"/>
          <w:szCs w:val="18"/>
          <w:color w:val="auto"/>
        </w:rPr>
        <w:t>. Similarly, we also evaluated the addition of 0 µg/mL, 2.5 µg/mL and 10 µg/mL of NC410 to 10 µg/mL of C1q on human myeloid cells. As shown in the figures below, NC410 promoted the activation of immune cells in the presence of high levels of collagen in peripheral blood monocytes and high levels of C1q in myeloid cells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132715</wp:posOffset>
            </wp:positionV>
            <wp:extent cx="5554980" cy="323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498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another preclinical study with human cells, we observed that NC410 promoted increases in the cytokines IL-2 and TNF-α, as shown in the left-hand panel of the following figure, which is indicative of increased immune function. In addition, simultaneous in vivo injections of NC410 and human T cells in immune-deficient mice resulted in increased amounts of CD4+ and CD8+ T cells, as shown in the right-hand panel of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117475</wp:posOffset>
            </wp:positionV>
            <wp:extent cx="5554980" cy="2219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 xml:space="preserve">Through multiple preclinical studies in several additional tumor models, we observed that eliminating or blocking LAIR-1-mediated immune suppression prolonged survival. In addition, anti-tumor activity of NC410 correlated with a local increase in antigen-specific T cells in the TME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using an engineered mouse model to measure localized antigen-specific responses. We used an antigen-specific tumor model of EL4, a murine lymphoma cell line. We measured the weight of the animals daily as a proxy for tumor growth. As shown in the figure below, we observed that mice treated with NC410 had smaller tumors than mice treated with a control, suggesting that NC410 has potential anti-tumor activity.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NC410 Showed Anti-Tumor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measured T cells specific for ovalbumin, and as shown in the figures below, we observed systemic and local increases, as measured in the spleen and lymph node, respectively, in mice treated with NC410 compared to those treated with control. We believe that these data support an immune response in and around the TME.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NC410 Increased T Cells Both Systemically and Locally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154305</wp:posOffset>
            </wp:positionV>
            <wp:extent cx="4732020" cy="2425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320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 xml:space="preserve">In addition, when human PBMCs were implanted into mice with mouse P815 mastocytoma tumor cells, we observed that NC410 mediated an increase in human T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that the increase in human T cells correlated with a delay in tumor growth. As shown in the figures below, NC410 increased the number of CD8+ T cells on day 13 in a dose-dependent manner and that increase corresponded to a decrease in tumor volume. To mimic human cancers, human PBMCs were also implanted into mice with human HT29 colon adenocarcinoma cells to test efficacy in a human tumor model. NC410 promoted an anti-tumor response against the human HT29 tumor cell line in a dose-dependent manner, as shown in the figure below.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Mouse P815 Mastocytoma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048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 HT29 Colon Adenocarcinoma Model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NC410 Decreased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074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Clinical Development Plan for NC410</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and others have analyzed genomic and protein databases and observed that LAIR-1 expression levels negatively correlate with survival rates for several cancers, including brain, renal, colorectal, glioma, lung, urothelial and ovarian cancers. These analyses support possible targeting of these tumor types as primary indications for therapeutic treatment with NC410. We are conducting expansive screening efforts on tumor samples from different solid tumor types to identify tumors that express LAIR-1 on the surface of either cancer cells or infiltrating immune cells to guide our ultimate selection of patients for planned clinical trials of NC410 in humans.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FDA accepted our IND for NC410 in the first quarter of 2020 and we intend to initiate a Phase 1/2 clinical trial in the second quarter of 2020 in patients with advanced or metastatic solid tumors in a variety of tumor types including lung, ovarian and pancreatic cancer.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Research Programs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 xml:space="preserve">In addition to NC318 and NC410, we are also pursuing preclinical evaluation of other potential novel immunomodulatory molecules. Among these is an antibody that targets a novel member of the B7-family of immunomodulatory proteins. In our preclinical studies, this antibody has shown highly reproducible and potent anti-tumor activity with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modeling and appears to involve an important immunomodulatory pathway in the TME that may complement the activity of NC318 and NC410. Consistent with our focus on patients who do not respond to current therapies, patients whose cancer progresses despite treatment and patients with cancer types that are not adequately addressed by currently available therapies, the target of this antibody appears to be non-overlapping with the expression of both S15 and PD-L1 on tumor cells.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also have an antibody in preclinical development targeting an immune modulator that is highly expressed in inflamed tissue and the TME in multiple tumor types. In our preclinical research, we observed that disrupting inhibitory signaling by this molecule with our antibody increased T cell and NK cell effector functions.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understanding of the LAIR pathway, including through our development of NC410, we are also pursuing monoclonal antibodies that target LAIR-1 and directly block LAIR-1 binding and signaling to prevent tumor growth or to eliminate the tumor. These novel LAIR-1 antibodies have unique functional properties that may provide additional opportunities in both cancer and autoimmune disorders.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FIND-IO Discovery Engine</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FIND-IO platform uses proprietary approaches to functionally assess immune pathways in both primary immune cells and established cell lines from immune lineages, including T cell subsets, monocytes, macrophage subpopulations, dendritic cells, cancer cell lines, and cells isolated from diseased patients. This platform allows us to identify proteins that can be targeted with novel immunomedicines to repair and maintain anti-tumor immunity. We have identified multiple novel targets using our FIND-IO platform, including those for which certain of our research programs are being designed to target.</w:t>
      </w:r>
    </w:p>
    <w:p>
      <w:pPr>
        <w:spacing w:after="0" w:line="192"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There are three integrated components to our FIND-IO platform. The first component consists of gene libraries, also called target libraries, comprising genes that are expressed and queried for immune or other functions. Our target libraries are composed of genes that encode a structurally diverse set of protein molecules and that are either inserted into the plasma membrane on the host cell surface or secreted outside of the host cell. The second component encompasses a variety of immune and non-immune cell types, called responder cells, used to evaluate the functional effects of the target libraries. The immune responder cell types include primarily immune cells obtained from human volunteers and multiple immune cell lines that have been grown in culture, and the non-immune responder cell types include tumor cell lines. The third component utilizes a broad set of outputs indicative of whether a newly discovered target inhibits or stimulates functional immune responses. We utilize a cube to illustrate these three components as shown in the figure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Unlike other screening platforms that often focus on a single parameter or cell type, our approach uses a broad search across multiple cell types and multiple functions and is purposefully designed to produce physiologically relevant results. Although the orchestration of an immune response is complex and dynamic within the TME, we have designed the FIND-IO platform to be simple yet functional. The platform integrates multiple components to assess immune function resulting from cellular interactions in order to identify new immune modulators in an approach that mimics physiological interactions. The goal is to identify proteins that can be targeted with immunomedicines, such as monoclonal antibodies or fusion proteins. Potential targets that are preliminarily identified through the FIND-IO platform undergo reproducible, robust, relevant and comprehensive characterization resulting in functional readouts that improve the likelihood of developing immunomedicines against novel immune modulatory molecules. This approach is intended to meet our goal of extending beyond the success of current immunotherapies to treat patients who are not adequately addressed by currently available therapies and to enhance overall survival in these patients.</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first step in the application of our FIND-IO platform is to transfect the target library into a host cell on a gene-by-gene basis. The host cells then express the library genes and the proteins are present on the cell surface or secreted into the surrounding space. In addition, the host cell has been engineered to express a reporter of transcriptional activity associated with a cellular function. For example, we engineer the host cells to report transcription factor activity in a cellular pathway by linking a selected DNA with a different fluorescent reporter, such as red fluorescent protein, or RFP. Thus, if the library gene expresses a protein that can signal via the applicable pathway, then the RFP gene is transcribed, expressed as a protein and the cell will glow red. The immune or non-immune responder cells are also engineered to express a reporter of transcriptional activity associated with a cellular function. For example, we engineer the responder cells to report transcription factor activity in a cellular pathway by linking a selected DNA with a fluorescent reporter such as green fluorescent protein, or GFP. Therefore, when transcription occurs in the responder cell, the GFP gene is transcribed, expressed as a protein and the cell will glow green. The red and/or green glow of the cells can be measured quantitatively. This is called bi-directional signaling as the FIND-IO platform was designed to look at signaling events in the host cells as well as the immune and non-immune responder cells.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5554980" cy="3025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5498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FIND-IO platform allows us to select and screen multiple immune and non-immune responder cell types, including T cells, myeloid cells, leukemia cells, epithelial cancer cells, plasma B cells and multiple myeloma cells, as well as primary immune cells from healthy donors. For each of these cell types, we undertake functional screening, including activity of many reporter pathways, effector function activity and effects on cell death, in order to identify novel immunomodulatory targets with common or differentiating effects across multiple cell types.</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Additionally, with our FIND-IO technology we can test for combination screens to search for synergistic or additive combinations with certain pathways, including immune checkpoint pathways, like the PD-1/PD-L1 pathway, that are currently approved for treating cancer patients. We expect that this screening will help with the identification of potential combination treatments to enhance response rates.</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goal of our FIND-IO platform is to sustain a pipeline of novel immunomedicines that restore normal immune function to treat cancer and other immune-related diseases. While we are primarily focused on cancer treatment, we believe that our proprietary technology, our approach, our understanding of biological pathways and the convergence of immunology and inflammation provide us with opportunity to explore novel immunomedicines for other significant unmet medical needs. To maximize the full potential of our platform and expertise, we are expanding the functional screening approach of our FIND-IO platform to the identification of novel targets in autoimmunity and inflammation, where we are using this approach to develop our FIND-AI platform, as well as in neuro-inflammatory diseases.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Collaboration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Agreements with Yale University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Agreement with Yale</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December 2015, we entered into a license agreement with Yale, or the Yale Agreement, pursuant to which we obtained an exclusive, royalty-bearing, sublicensable worldwide license to products that either incorporate certain licensed patents used in the discovery of targets or arise out of research and development of Dr. Chen’s laboratory at Yale, including S15. We are obligated to pay Yale low single-digit royalties on sales of products, including NC318, that are either covered by the patents licensed to us under the Yale Agreement or arise out of Dr. Chen’s laboratory, subject to minimum annual royalty payments in the low to mid hundreds of thousands of dollars. Until we are required to pay royalties under the Yale Agreement, we must pay an annual license maintenance fee to Yale in the mid to high tens of thousands of dollars. In addition, with respect to each product covered by licenses under the Yale Agreement, we are obligated to pay Yale</w:t>
      </w:r>
    </w:p>
    <w:p>
      <w:pPr>
        <w:sectPr>
          <w:pgSz w:w="11900" w:h="16838" w:orient="portrait"/>
          <w:cols w:equalWidth="0" w:num="1">
            <w:col w:w="9019"/>
          </w:cols>
          <w:pgMar w:left="1440" w:top="125"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milestone payments upon (i) the initiation of each of a Phase 1 clinical trial, Phase 2 clinical trial and Phase 3 clinical trial or a pivotal trial, (ii) first commercial sale in the United States and (iii) first commercial sale in China, Japan or a major European country, in an aggregate amount of up to $2,975,000. The term of the license agreement with Yale runs, on a country-by-country basis, until the later of the expiration of all licensed patents or 10 years from the first commercial sale in such country, unless Yale has cause to terminate earlier for our material breach of the license, bankruptcy or if we or any sublicensee bring a challenge against Yale in relation to the licensed patents. We have the right to terminate the Yale Agreement for Yale’s material breach or at any time during the term with six months’ prior written notice to Yale.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Sponsored Research Agreement with Yale</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connection with the Yale Agreement, we also entered into a corporate sponsored research agreement, or the SRA, with Yale, in which we agreed to provide an aggregate of up to $12.4 million to fund a research program aimed at discovering new targets for immunomedicines. The research program is under the direction and supervision of Dr. Chen. Pursuant to the SRA, we have the option to add any patents invented pursuant to the research program as a licensed patent under the Yale Agreement and the right to obtain a royalty-bearing, exclusive, worldwide license to any such patents. If we do not exercise our option within the exercise period, Yale is permitted to license any such patents to any third party. The SRA will expire on December 31, 2020, and we have the option of extending the term upon mutual agreement with Yale. We can terminate the SRA at any time upon 90 days’ written notice to Yale. Yale can terminate for an uncured breach or with 90 days’ written notice for cause.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Former Research and Development Collaboration with Lilly</w:t>
      </w:r>
    </w:p>
    <w:p>
      <w:pPr>
        <w:spacing w:after="0" w:line="229"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Effective March 3, 2020, Eli Lilly and Company, or Lilly, terminated the multi-year collaboration agreement that we had entered into with Lilly in November 2018, or the Lilly Agreement, focused on the discovery and development of immunomedicines for oncology using our FIND-IO platform. Under the agreement, we granted Lilly the exclusive option to obtain worldwide exclusive licenses to research, develop, manufacture and commercialize multiple compounds and products directed to oncology targets identified through our research collaboration. We received an upfront, non-refundable payment of $25.0 million in cash and a $15.0 million equity investment from Lilly upon entering into the agreement. Lilly was also required to pay us quarterly research and development support payments as well as option exercise fees upon the exercise of options by Lilly, development and regulatory milestone payments, sales milestone payments and royalties. In connection with the termination of the Lilly Agreement, we are no longer eligible to receive future amounts thereunder.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a purpose-built, dedicated, state-of-the-art cGMP manufacturing facility that utilizes single-use technology to support our pipeline and advance our product candidates into and through clinical development. The facility has an initial production capacity of 1,000 liters and was designed with additional room for expansion to support multiple product candidates. The investment in our manufacturing facility is a critical element of our ability to quickly identify whether a candidate is likely to be successful and to facilitate an efficient development path. While other companies may need to work with third parties for antibody production, we can do so in our own facility. Compared to working with third-party manufacturers, we believe our facility provides better quality assurance, greater control in scheduling and prioritizing manufacturing activities and enhanced capital efficiency. We are currently manufacturing all of the drug supply for our preclinical studies and our Phase 1/2 clinical trial of NC318 and intend to expand our cGMP manufacturing capacity, including to provide the drug supply for future clinical trials of NC318. As we advance the development of our growing pipeline of product candidates, we will continue to evaluate the merits of further expanding our internal manufacturing capabilities, including for the production of commercial drug supply, as compared to collaborating with third-party manufacturers.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biotechnology and pharmaceutical industries, and the immuno-oncology subsector, are characterized by rapid evolution of technologies, fierce competition and strong defense of intellectual property. We believe that our programs, platforms,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w:t>
      </w:r>
    </w:p>
    <w:p>
      <w:pPr>
        <w:sectPr>
          <w:pgSz w:w="11900" w:h="16838" w:orient="portrait"/>
          <w:cols w:equalWidth="0" w:num="1">
            <w:col w:w="9019"/>
          </w:cols>
          <w:pgMar w:left="1440" w:top="125"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such as Amgen, Inc., AstraZeneca plc, Bristol-Myers Squibb Company, or BMS, Genentech, Inc., GlaxoSmithKline PLC, Merck &amp; Co., Inc., Novartis AG, Pfizer Inc., Roche Holding Ltd and Sanofi S.A. Moreover, we may also compete with smaller or earlier-stage companies, universities and other research institutions that have developed, are developing or may be developing current and future cancer therapeutics.</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Product candidates that we successfully develop and commercialize will compete with a range of therapies that are currently approved and any new therapies that may become available in the future. Key product features that would affect our ability to effectively compete with other therapeutics include the efficacy, safety and convenience of our products. Currently marketed oncology drugs and therapeutics range from traditional cancer therapies, including chemotherapy, to antibody-drug conjugates, such as Genentech Inc.’s Kadcyla, to immune checkpoint inhibitors targeting CTLA-4, such as BMS’ Yervoy, and PD-1/PD-L1, such as BMS’ Opdivo, Merck &amp; Co.’s Keytruda and Genentech’s Tecentriq, to T cell-engager immunotherapies, such as Amgen’s Blincyto. In addition to these marketed therapies, numerous compounds are in clinical development for the potential treatment of cancer.</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our products, methods and manufacturing processes, to operate without infringing the proprietary rights of others and to prevent others from infringing our proprietary rights. We rely on a combination of patent applications and trade secrets, as well as contractual protections, to establish and protect our intellectual property rights. We seek to protect our proprietary position by, among other things, filing patent applications in the United States and internationally. Our patent estate includes patent applications with claims relating to our product candidates, methods of use and manufacturing processes, and claims for potential future products and developments. As of December 31, 2019, our intellectual property portfolio includes, on a worldwide basis, 18 pending foreign patent applications relating to NC318 and NC410, one pending U.S. patent application relating to NC318, one pending U.S. patent application relating to NC410 and additional pending patent applications for other discovery and research programs. Patents resulting from our patent applications for NC318 and NC410, if issued, are expected to expire beginning in 2037 absent any patent term adjustments or extensions.</w:t>
      </w:r>
    </w:p>
    <w:p>
      <w:pPr>
        <w:spacing w:after="0" w:line="17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addition, as described above, under the Yale Agreement, we have an exclusive, royalty-bearing, sublicensable worldwide license from Yale for an intellectual property portfolio, including patent applications, relating to methods of use for S15 that covers the use of NC318. Any patents from these patent applications, if issued, are expected to expire no earlier than 2036 absent any patent term adjustments or extensions.</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For all patent applications, we determine strategy for claim scope on a case-by-case basis, taking into account advice of counsel and our business model and needs. We file patents containing claims for 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6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also rely upon trade secrets, know-how and continuing technological innovation to develop and maintain our competitive position, including with respect to our FIND-IO platform. We seek to protect our proprietary technology and processes, in part, by confidentiality and invention assignment agreements with our employees, consultants, scientific advisors and other contractors. In addition, in the ordinary course of our business, we enter into agreements with other third parties for non-exclusive rights to intellectual property directed to other technologies that are ancillary to our business, including laboratory information management software and research and development tools. In addition, we have filed for trademark registration with the U.S. Patent and Trademark Office, or the USPTO, for “NextCure,” our logo and our FIND-IO platform.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biological products. Along with third-party contractors, we will be required to navigate the various preclinical, clinical and commercial approval requirements of the governing regulatory agencies of the countries in which we wish to conduct studies or seek approval or licensure of our product candidates. The processes for obtaining regulatory approvals in the United States and in foreign jurisdictions, along with subsequent compliance with applicable laws and regulations and other regulatory authorities, require the expenditure of substantial time and financial resources.</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Government policies may change and additional government regulations may be enacted that could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Review and Approval for Licensing Biologics in the United States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the United States, the FDA regulates our current product candidates as biological products, or biologics, under the Federal Food, Drug, and Cosmetic Act, or FDCA, the Public Health Service Act and associated implementing regulations. Biologics, like other drugs, are used for the treatment, prevention or cure of disease in humans. In contrast to small molecular weight drugs, which have a well-defined structure and can be thoroughly characterized, biologics are generally derived from living material (human, animal, or microorganism) are complex in structure, and thus are usually not fully characterized. Biologics include immunomedicines for cancer and other diseases.</w:t>
      </w:r>
    </w:p>
    <w:p>
      <w:pPr>
        <w:spacing w:after="0" w:line="16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Biologics are also subject to other federal, state and local statutes and regulations. The failure to comply with applicable statutory and regulatory requirements at any time during the product development process, approval process or after approval may subject a sponsor or applicant to administrative or judicial enforcement actions. These actions could include the suspension or termination of clinical trials by the FDA, the FDA’s refusal to approve pending applications or supplemental applications, withdrawal of an approval, Warning Letters or Untitled Letters, product recalls, product seizures, total or partial suspension of production or distribution, import detention, injunctions, fines, refusals of government contracts, restitution, disgorgement of profits, or civil or criminal investigations and penalties brought by the FDA, the Department of Justice, or the DOJ, or other governmental entities.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 applicant seeking approval to market and distribute a biologic in the United States must typically undertake the following:</w:t>
      </w:r>
    </w:p>
    <w:p>
      <w:pPr>
        <w:spacing w:after="0" w:line="170" w:lineRule="exact"/>
        <w:rPr>
          <w:sz w:val="20"/>
          <w:szCs w:val="20"/>
          <w:color w:val="auto"/>
        </w:rPr>
      </w:pPr>
    </w:p>
    <w:p>
      <w:pPr>
        <w:ind w:left="1020" w:right="59" w:hanging="32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performed in accordance with the FDA’s good laboratory practice, or GLP, regulations;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 labeling and distribution of investigational drug in compliance with cGMP;</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clinical trial may be initiated;</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FDA’s current Good Clinical Practices requirements, or cGCP, to establish the safety, purity and potency of the proposed biological product candidate for its intended purpose;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9" w:hanging="328"/>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biologics license application, or BLA, after completion of all pivotal clinical trials requesting marketing approval for one or more proposed indications;</w:t>
      </w:r>
    </w:p>
    <w:p>
      <w:pPr>
        <w:spacing w:after="0" w:line="146"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satisfactory completion of an FDA Advisory Committee review, where appropriate, as may be requested by the FDA to assist with its review;</w:t>
      </w:r>
    </w:p>
    <w:p>
      <w:pPr>
        <w:spacing w:after="0" w:line="170" w:lineRule="exact"/>
        <w:rPr>
          <w:rFonts w:ascii="Arial" w:cs="Arial" w:eastAsia="Arial" w:hAnsi="Arial"/>
          <w:sz w:val="18"/>
          <w:szCs w:val="18"/>
          <w:color w:val="auto"/>
        </w:rPr>
      </w:pPr>
    </w:p>
    <w:p>
      <w:pPr>
        <w:jc w:val="both"/>
        <w:ind w:left="1020" w:right="59" w:hanging="328"/>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proposed product, or certain components thereof, are produced to assess compliance with cGMP and data integrity requirements to assure that the facilities, methods and controls are adequate to preserve the biologic’s identity, safety, quality, purity and potency;</w:t>
      </w:r>
    </w:p>
    <w:p>
      <w:pPr>
        <w:spacing w:after="0" w:line="186"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FDA audits of selected clinical investigation sites to assure compliance with cGCP requirements and the integrity of the clinical data;</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user fees under the Prescription Drug User Fee Act for the relevant year;</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FDA review and approval of the BLA to permit commercial marketing of the licensed biologic for particular indications for use in the United States; and</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post-approval requirements, including the potential requirements to implement a Risk Evaluation and Mitigation Strategy, or REMS, adverse event and biological product deviation reporting and to complete any post-approval studies.</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 xml:space="preserve">Before an applicant can begin testing the potential candidate in human subjects, the applicant must first conduct preclinical studies. Preclinical studies include laboratory evaluations of product chemistry, toxicity and formulation,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activity of the drug for initial testing in humans and to establish a rationale for therapeutic use. Preclinical studies are subject to federal regulations and requirements, including GLP regulations. The results of an applicant’s preclinical studies are submitted to the FDA as part of an IND.</w:t>
      </w:r>
    </w:p>
    <w:p>
      <w:pPr>
        <w:spacing w:after="0" w:line="16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An IND is a request for authorization from the FDA to administer an investigational new drug product to humans. An IND is an exemption from the FDCA that allows an unapproved drug to be shipped in interstate commerce for use in an investigational clinical trial. Such authorization must be secured prior to interstate shipment and administration of a biologic that is not subject of an approved BLA. In support of a request for an IND, applicants must submit a protocol for each clinical trial. Any subsequent protocol amendments must be submitted to the FDA as part of the IND.</w:t>
      </w:r>
    </w:p>
    <w:p>
      <w:pPr>
        <w:spacing w:after="0" w:line="16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Human clinical trials may not begin until an IND is effective. The IND automatically becomes effective 30 days after receipt by the FDA, unless the FDA raises safety concerns or questions about the proposed clinical trial within the 30-day time period.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FDA may also place a clinical hold or partial clinical hold on such trial following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w:t>
      </w:r>
    </w:p>
    <w:p>
      <w:pPr>
        <w:sectPr>
          <w:pgSz w:w="11900" w:h="16838" w:orient="portrait"/>
          <w:cols w:equalWidth="0" w:num="1">
            <w:col w:w="9019"/>
          </w:cols>
          <w:pgMar w:left="1440" w:top="125"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regulations,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spacing w:after="0" w:line="17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cGCP regulations in order to use the study as support for an IND or application for marketing approval, including cGCP regulations, including review and approval by an independent ethics committee and informed consent from subjects.</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8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Some trials also include oversight by an independent group of qualified experts organized by the clinical trial sponsor, known as a data safety monitoring board, or DSMB. DSMBs provide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Other grounds for suspension or termination may be made based on evolving business objectives and/or competitive climate. There are also requirements governing the reporting of ongoing clinical trials and clinical trial results to public registries.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BLA approval, clinical trials are typically conducted in the following sequential phases:</w:t>
      </w:r>
    </w:p>
    <w:p>
      <w:pPr>
        <w:spacing w:after="0" w:line="225" w:lineRule="exact"/>
        <w:rPr>
          <w:sz w:val="20"/>
          <w:szCs w:val="20"/>
          <w:color w:val="auto"/>
        </w:rPr>
      </w:pPr>
    </w:p>
    <w:p>
      <w:pPr>
        <w:jc w:val="both"/>
        <w:ind w:left="1020" w:right="79" w:hanging="328"/>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Phase 1: The investigational product is initially introduced into healthy human subjects or patients with the target disease or condition. These trials are designed to test the safety, dosage tolerance, absorption, metabolism and distribution of the investigational product in humans and the side effects associated with increasing doses. These trials may also yield early evidence of effectiveness.</w:t>
      </w:r>
    </w:p>
    <w:p>
      <w:pPr>
        <w:spacing w:after="0" w:line="171" w:lineRule="exact"/>
        <w:rPr>
          <w:rFonts w:ascii="Arial" w:cs="Arial" w:eastAsia="Arial" w:hAnsi="Arial"/>
          <w:sz w:val="17"/>
          <w:szCs w:val="17"/>
          <w:color w:val="auto"/>
        </w:rPr>
      </w:pPr>
    </w:p>
    <w:p>
      <w:pPr>
        <w:jc w:val="both"/>
        <w:ind w:left="1020" w:right="59" w:hanging="328"/>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6" w:lineRule="exact"/>
        <w:rPr>
          <w:rFonts w:ascii="Arial" w:cs="Arial" w:eastAsia="Arial" w:hAnsi="Arial"/>
          <w:sz w:val="18"/>
          <w:szCs w:val="18"/>
          <w:color w:val="auto"/>
        </w:rPr>
      </w:pPr>
    </w:p>
    <w:p>
      <w:pPr>
        <w:jc w:val="both"/>
        <w:ind w:left="1020" w:right="59" w:hanging="328"/>
        <w:spacing w:after="0" w:line="25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generate sufficient data to statistically evaluate the efficacy and safety of the product for approval, to establish the overall risk/benefit ratio of the investigational product and to provide an adequate basis for product approval by the FDA.</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phases may overlap or be combined. In some cases, the FDA may require, or companies may voluntarily pursue, additional clinical trials after a product is approved to gain more information about the product, referred to as Phase 4 trials. Such post-approval trials, when applicable, are conducted following initial approval, typically to develop additional data and information relating to the biological characteristics of the product and treatment of patients in the intended therapeutic indication.</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suspected serious and unexpected adverse reactions; findings from epidemiological studies, pooled analysis of multiple studies,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clinical studies, whether or not conducted under an IND, and whether or not conducted by the sponsor, that suggest a significant risk in humans exposed to the drug; and any clinically important increase in the rate of a serious suspected adverse reaction over such rate listed in the protocol or investigator brochure.</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planned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cGCP and the integrity of the clinical data submitted.</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During clinical development, the sponsor often refines the indication and endpoints on which the BLA will be based. For endpoints based on patient-reported outcomes, or PROs, and outcome reported outcomes, or OROs, the process typically is an iterative one. The FDA has issued guidance on the framework it uses to evaluate PRO instruments. Although the agency may offer advice on optimizing PRO and ORO instruments during the clinical development process, the FDA usually reserves final judgment until it reviews the BLA.</w:t>
      </w:r>
    </w:p>
    <w:p>
      <w:pPr>
        <w:spacing w:after="0" w:line="18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Concurrent with clinical trials, companies often complete additional animal studies, and develop additional information about the chemistry and physical characteristics of the drug and finalize a process for manufacturing the product in commercial quantities in accordance with cGMP.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Assuming successful completion of all required clinical testing in accordance with all applicable regulatory requirements, an applicant may submit a BLA requesting licensing to market the biologic for one or more indications in the United States. The BLA must include the results of product development, nonclinical studies and clinical trials; detailed information on the product’s chemistry, manufacture, controls and proposed labeling. Under the Prescription Drug User Fee Amendments, a BLA submission is subject to an application user fee, unless a waiver or exemption applies.</w:t>
      </w:r>
    </w:p>
    <w:p>
      <w:pPr>
        <w:spacing w:after="0" w:line="16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FDA will initially review the BLA for completeness before accepting it for filing. Under the FDA’s procedures, the agency has 60 days from its receipt of a BLA to determine whether the application will be accepted for filing and substantive review. If the agency determines that the application does not meet this initial threshold standard, the FDA may refuse to file the application and request additional information, in which case the application must be resubmitted with the requested information and review of the application delayed.</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With certain exceptions, BLAs must include a pediatric assessment, generally based on clinical trial data, of the safety and effectiveness of the biologic in relevant pediatric populations. Under certain circumstances, the FDA may waive or defer the requirement for a pediatric assessment, either at the sponsor’s request or by the agency’s initiative.</w:t>
      </w:r>
    </w:p>
    <w:p>
      <w:pPr>
        <w:spacing w:after="0" w:line="149"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After the BLA is accepted for filing, the FDA reviews the BLA to determine, among other things, whether a product is safe, pure and potent and if the facility in which it is manufactured, processed, packed or held meets standards designed to assure the product’s continued identity, strength, quality,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In addition, the FDA expects that all data be reliable and accurate, and requires sponsors to implement meaningful and effective strategies to manage data integrity risks. Data integrity is an important component of the sponsor’s responsibility to ensure the safety, efficacy and quality of its product or products.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FDA will typically inspect one or more clinical sites to assure compliance with cGCP regulations before approving a BLA.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FDA performance goals generally provide for action on a BLA within 10 months of filing, which (as discussed above) typically occurs within 60 days of submission, but that deadline is extended in certain circumstances. Furthermore, the review process is often significantly extended by the FDA’s requests for additional information or clarification.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FDA may refer applications for novel products or products that present difficult questions of safety or efficacy to an advisory committee. Typically, an advisory committee consists of a panel that includes clinicians and other experts who will review, evaluate and provide a recommendation as to whether the application should be approved and, if so, under what conditions. The FDA is not bound by the recommendations of an advisory committee, but it considers such recommendations carefully when making decisions and usually has followed such recommendations.</w:t>
      </w:r>
    </w:p>
    <w:p>
      <w:pPr>
        <w:spacing w:after="0" w:line="16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components will be produced, the FDA may issue an approval letter or a Complete Response Letter, or CRL. An approval letter authorizes commercial marketing of the biologic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If and when the deficiencies have been addressed to the FDA’s satisfaction in a resubmission of the BLA, the FDA will issue an approval letter. In issuing the CRL, the FDA may recommend actions that the applicant might take to place the BLA in condition for approval, including requests for additional data, information or clarification. The FDA may delay or refuse approval of a BLA if applicable regulatory criteria are not satisfied, and may require additional testing or information and/or require post-marketing studies and clinical trials. Even with submission of this additional information, the FDA ultimately may decide that the application does not satisfy the regulatory criteria for approval.</w:t>
      </w:r>
    </w:p>
    <w:p>
      <w:pPr>
        <w:spacing w:after="0" w:line="17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During the approval process, the FDA will determine whether a REMS is necessary to assure the safe use of the biologic.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that a REMS is needed, the BLA sponsor must submit a proposed REMS and the FDA will not approve the BLA without a REMS that the agency has determined is acceptable.</w:t>
      </w:r>
    </w:p>
    <w:p>
      <w:pPr>
        <w:spacing w:after="0" w:line="16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If the FDA approves a product, it may limit the approved indications for use for the product, or require that contraindications, warnings or precautions be included in the product labeling. The FDA may also require that post-approval studies, including Phase 4 clinical trials, be conducted to further assess the drug’s safety after approval. The FDA may prevent or limit further marketing of a product based on the results of post-market studies or surveillance programs.</w:t>
      </w:r>
    </w:p>
    <w:p>
      <w:pPr>
        <w:spacing w:after="0" w:line="15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FDA may also require testing and surveillance programs to monitor the product after commercialization. For biologics, such testing may include official lot release, which requires the manufacturer to perform certain tests on each lot of the product before it is released for distribution. The manufacturer then typically must submit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itself, before releasing the lots for distribution by the manufacturer.</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After approval, many types of changes to the approved product, such as adding new indications, manufacturing changes and additional labeling claims, are often subject to further testing requirements and FDA review and approval, depending on the nature of the post-approval change. The FDA may withdraw the product approval if compliance with pre-and post-marketing requirements is not maintained or if problems occur after the product reaches the marketplace.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Pediatric Studies</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Under the Pediatric Research Equity Act, a BLA or BLA supplement must contain data that are adequate to assess the safety and effectiveness of the drug product for the claimed indications in all relevant pediatric subpopulations, and to</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support dosing and administration for each pediatric subpopulation for which the product is safe and effective. Those plans must contain an outline of the proposed pediatric study or studies the applicant plans to conduct, including study objectives and design, any deferral or waiver requests and any other information required by regulation. The applicant, the FDA and the FDA’s internal review committee must then review the information submitted, consult with each other, and agree upon a final plan. The FDA or the applicant may request an amendment to the plan at any time. In addition, the FDA Reauthorization Act of 2017 requires the FDA to meet early in the development process to discuss pediatric study plans with drug sponsors. The law requires the FDA to meet with drug sponsors by no later than the end-of-Phase 1 meeting for serious or life-threatening diseases and by no later than 90 days after the FDA’s receipt of the study plan.</w:t>
      </w:r>
    </w:p>
    <w:p>
      <w:pPr>
        <w:spacing w:after="0" w:line="16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For example, the requirement for such studies or clinical trials may be waived if necessary studies or clinical trials in children are impossible, there is strong evidence suggesting the drug will not be effective or safe in children, the drug does not represent a meaningful therapeutic benefit over existing therapies for children, or the drug is not likely to be used in a substantial number of children. Such studies or clinical trials may also be deferred if the drug is ready for approval in adults before pediatric studies or clinical trials are completed or due to concerns about the safety or effectiveness of the drugs in pediatric populations. When such studies or clinical trials are deferred, they will be reported as post-marketing requirements. Pediatric data requirements do not apply to products with orphan designation.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Any products manufactured or distributed pursuant to FDA approvals are subject to pervasive and continuing regulation by the FDA, including, among other things, requirements relating to recordkeeping, periodic reporting, reporting of certain deviations and adverse experiences, product sampling and distribution and advertising and promotion of the product. After approval, most changes to the approved product, such as adding new indications or other labeling claims, are subject to FDA review and approval. There also are continuing user fee requirements, under which FDA assesses an annual program fee for each product identified in an approved BLA. Biologic manufacturers and their third-party contractors are required to register their facilities with the FDA and certain state agencies. These facilities are subject to routine and periodic unannounced inspections by the FDA and certain state agencies for compliance with cGMP, postmarketing safety reporting and data integrity requirements, which impose certain procedural and documentation requirements to assure quality of manufacturing and product. FDA has increasingly observed cGMP violations involving data integrity during site inspections and is a significant focus of its oversight. Requirements with respect to data integrity include, among other things, controls to ensure data are complete and secure; activities documented at the time of performance; audit trail functionality; authorized access and limitations; validated computer systems; and review of records for accuracy, completeness and compliance with established standards.</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Post-approval changes to the manufacturing process are strictly regulated, and, depending on the significance of the change, may require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data integrity, pharmacovigilance and other aspects of regulatory compliance.</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post-approval studies or clinical trials to assess new safety risks; or imposition of distribution or other restrictions under a REMS. Other potential consequences include, among other things:</w:t>
      </w:r>
    </w:p>
    <w:p>
      <w:pPr>
        <w:spacing w:after="0" w:line="178" w:lineRule="exact"/>
        <w:rPr>
          <w:sz w:val="20"/>
          <w:szCs w:val="20"/>
          <w:color w:val="auto"/>
        </w:rPr>
      </w:pPr>
    </w:p>
    <w:p>
      <w:pPr>
        <w:ind w:left="1020" w:right="5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post-approval clinical studies;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59" w:hanging="32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 Import Alert; or</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A company can make only those claims relating to safety and efficacy, purity and potency that are approved by the FDA and in accordance with the provisions of the approved label. The FDA’s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relating to a product’s safety or effectiveness are prohibited before the drug is approved. After approval, a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If a company is found to have promoted off-label uses, it may become subject to adverse public relations and administrative and judicial enforcement by the FDA, the DOJ or the Office of the Inspector General of the Department of Health and Human Services, or HHS, as well as other federal and state authorities. This could subject a company to a range of penalties that could have a significant commercial impact, including civil and criminal fines and agreements that materially restrict the manner in which a company promotes or distributes products. The federal government has levied large civil and criminal fines against companies for alleged improper promotion, and has also requested that companies enter into consent decrees and permanent injunctions under which specified promotional conduct is changed or curtailed.</w:t>
      </w:r>
    </w:p>
    <w:p>
      <w:pPr>
        <w:spacing w:after="0" w:line="1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distribution of prescription drug and biologic are subject to the Drug Supply Chain Security Act, or DSCSA, which requires manufacturers and other stakeholders to comply with product identification, tracing, verification, detection and response, notification and licensing requirements. In addition, the Prescription Drug Marketing Act and its implementing regulations and state laws limit the distribution of prescription pharmaceutical product samples, and the DSCSA imposes requirements to ensure accountability in distribution and to identify and remove prescription drug and biological products that may be counterfeit, stolen, contaminated, or otherwise harmful from the market.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After approval, owners of relevant drug or biological product patents may apply for up to a five year patent extension to restore a portion of patent term lost during product development and FDA review of a BLA if approval of the application is the first permitted commercial marketing or use of a biologic containing the active ingredient under the Drug Price Competition and Patent Term Restoration Act of 1984, referred to as the Hatch-Waxman Act. The allowable patent term extension is calculated as one-half of the product’s testing phase, which is the time between IND and BLA submission, and all of the review phase, which is the time between BLA submission and approval, up to a maximum of five years. The time can be shortened if the FDA determines that the applicant did not pursue approval with due diligence. The total patent term after the extension may not exceed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product candidate covered by the patent for which a patent extension is being sought is likely. Interim patent extensions are not available for a product candidate for which a BLA has not been submitted.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Biosimilars and Marketing Exclusivities</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Biologics Price Competition and Innovation Act, or BPCIA, created an abbreviated approval pathway for biological product candidates shown to be highly similar to or interchangeable with an FDA licensed biological product. A biological product on which another biological product candidate’s BLA relies to establish biosimilarity is known as a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at least one clinical trial, unless the Secretary of HHS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Complexities associated with the larger, and often more complex, structures of biologics, as well as the process by which such products are manufactured, pose significant hurdles to implementation of the abbreviated approval pathway that are still being worked out by the FDA.</w:t>
      </w:r>
    </w:p>
    <w:p>
      <w:pPr>
        <w:spacing w:after="0" w:line="184"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w:t>
      </w:r>
    </w:p>
    <w:p>
      <w:pPr>
        <w:spacing w:after="0" w:line="2" w:lineRule="exact"/>
        <w:rPr>
          <w:sz w:val="20"/>
          <w:szCs w:val="20"/>
          <w:color w:val="auto"/>
        </w:rPr>
      </w:pPr>
    </w:p>
    <w:p>
      <w:pPr>
        <w:jc w:val="both"/>
        <w:ind w:left="40" w:right="59" w:firstLine="4"/>
        <w:spacing w:after="0" w:line="281" w:lineRule="auto"/>
        <w:tabs>
          <w:tab w:leader="none" w:pos="3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18 months after the first interchangeable biosimilar is approved if there is no patent challenge, (iii) 18 months after resolution of a lawsuit over the patents of the reference biologic in favor of the first interchangeable biosimilar applicant, or</w:t>
      </w:r>
    </w:p>
    <w:p>
      <w:pPr>
        <w:spacing w:after="0" w:line="1" w:lineRule="exact"/>
        <w:rPr>
          <w:rFonts w:ascii="Arial" w:cs="Arial" w:eastAsia="Arial" w:hAnsi="Arial"/>
          <w:sz w:val="16"/>
          <w:szCs w:val="16"/>
          <w:color w:val="auto"/>
        </w:rPr>
      </w:pPr>
    </w:p>
    <w:p>
      <w:pPr>
        <w:jc w:val="both"/>
        <w:ind w:left="40" w:right="59" w:firstLine="4"/>
        <w:spacing w:after="0" w:line="277" w:lineRule="auto"/>
        <w:tabs>
          <w:tab w:leader="none" w:pos="3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42 months after the first interchangeable biosimilar’s application has been approved if a patent lawsuit is ongoing within the 42 month period. At this time, it is unclear whether products deemed “interchangeable” by the FDA will, in fact, be readily substituted by pharmacies, which are governed by state pharmacy laws and regulations.</w:t>
      </w:r>
    </w:p>
    <w:p>
      <w:pPr>
        <w:spacing w:after="0" w:line="173"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If a biologic is designated and approved for an orphan indication, it will be granted seven years of orphan drug exclusivity. An orphan indication is granted to biological products and drugs designated and approved to treat diseases or conditions affecting fewer than 200,000 individuals in the United States, or if there is no reasonable expectation that the sponsor will be able to recover the costs of developing and marketing the drug or biological product in the United States. A biosimilar may not be licensed by FDA for the protected orphan indication until after the expiration of the seven year orphan drug exclusivity period or the 12 year reference product exclusivity, whichever is later.</w:t>
      </w:r>
    </w:p>
    <w:p>
      <w:pPr>
        <w:spacing w:after="0" w:line="16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Pediatric exclusivity adds an additional six month exclusivity period to any marketing exclusivities and patents that a biological product has obtained. In order to obtain pediatric exclusivity, a BLA sponsor must conduct pediatric studies as requested by the FDA in a Written Request.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While pediatric exclusivity is not an actual extension on a patent term, it effectively extends the preclusive effect of the patent on FDA’s authority to approve another application that relies on the product with pediatric exclusivity.</w:t>
      </w:r>
    </w:p>
    <w:p>
      <w:pPr>
        <w:spacing w:after="0" w:line="16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BPCIA is complex and continues to be interpreted and implemented by the FDA. On December 20, 2019, President Trump signed into law H.R. 1865, the “Further Consolidated Appropriations Act, 2020”, authorizing appropriations through September 30, 2020 to fund operations of certain governmental agencies, including the FDA. The law includes significant provisions related to the Trump Administration’s biosimilars policy framework and FDA’s implementation of the BPCIA, such as clarifying that “chemically synthesized peptides” are no longer excluded from being regulated as biologics. In addition, the Further Consolidated Appropriations Act, 2020 clarifies exclusivity and procedural issues related to certain biologics approved as drugs pursuant to new drug applications, or NDAs, to be the subject of an approved BLA, or transition biological products. The law also incorporates provisions intended to reduce price and increase competitiveness in the pharmaceutical industry. The law amends the FDCA to create a private right of action against NDA or BLA holders that refuse to provide sufficient quantities of samples of an approved reference product to generic and biosimilar developers. In July 2018, the FDA released its Biosimilars Action Plan to improve the efficiency of the biosimilar and interchangeable product development and approval process. The Further Consolidated Appropriations Act, 2020 is consistent with FDA guidance documents issued in December 2018 that were intended to</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advance the agency’s biosimilars policy framework. The implementation of the Further Consolidated Appropriations Act, 2020 and the ultimate impact of the agency’s Biosimilars Action Plan are uncertain and may evolve over time through future laws and regulations and guidance provided by regulatory and governing bodies. In addition, other aspects of the BPCIA, some of which may impact the BPCIA exclusivity provisions, have been the subject of recent litigation.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Regulation of Companion Diagnostics and Laboratory Developed Tests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 xml:space="preserve">A companion diagnostic is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that can: identify the patients most likely to benefit from a particular therapeutic product; identify those likely to be at an increased risk for serious side effects; or monitor responses to treatment with a particular therapeutic product for the purpose of adjusting treatment to achieve improved safety or effectiveness. Under the FDCA,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are generally regulated as medical devices. The FDA has generally classified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high-risk, Class III devices, which require FDA approval of a premarket approval application, or PMA, but recognizes the possibility of a moderate-risk IVD companion diagnostic (</w:t>
      </w:r>
      <w:r>
        <w:rPr>
          <w:rFonts w:ascii="Arial" w:cs="Arial" w:eastAsia="Arial" w:hAnsi="Arial"/>
          <w:sz w:val="17"/>
          <w:szCs w:val="17"/>
          <w:i w:val="1"/>
          <w:iCs w:val="1"/>
          <w:color w:val="auto"/>
        </w:rPr>
        <w:t>i.e</w:t>
      </w:r>
      <w:r>
        <w:rPr>
          <w:rFonts w:ascii="Arial" w:cs="Arial" w:eastAsia="Arial" w:hAnsi="Arial"/>
          <w:sz w:val="17"/>
          <w:szCs w:val="17"/>
          <w:color w:val="auto"/>
        </w:rPr>
        <w:t xml:space="preserve">., Class II device), which would require clearance of a 510(k) premarket notification or grant of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Approval or clearance of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will ensure that the device has been adequately evaluated and has adequate performance characteristics in the intended population.</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 xml:space="preserve">For those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that require PMA approval, the process involves gathering and submitting clinical and preclinical data on the device for review by the FDA. It involves a rigorous premarket review, during which the applicant must provide the FDA with reasonable assurance of the device’s safety and effectiveness, as well as information regarding the device’s design, manufacturing and labeling. In addition, the FDA will typically inspect the device manufacturer’s facilities for compliance with the Quality System Regulation, which imposes testing, control, documentation and other quality assurance requirements.</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 xml:space="preserve">The FDA has issued guidance on the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According to the FDA’s guidance, for novel therapeutic products including biologics,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and its corresponding therapeutic should be approved or cleared contemporaneously by the FDA for the use indicated in the therapeutic product’s labeling.</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 xml:space="preserve">In some cases, information from a diagnostic test may be useful to a prescriber, but not necessary for the safe and effective administration of the therapeutic product. In those cases, health care providers may employ information derived from a complementary diagnostic test such as a laboratory developed test, or LDT, when administering a therapeutic product. An LDT is a type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test that is designed, manufactured and used within a single laboratory. LDTs can be used to measure or detect a wide variety of analytes (substances such as proteins, chemical compounds like glucose or cholesterol, or DNA), in a sample taken from a human body.</w:t>
      </w:r>
    </w:p>
    <w:p>
      <w:pPr>
        <w:spacing w:after="0" w:line="17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Centers for Medicare and Medicaid Services, or CMS, regulates LDTs and the laboratories that develop them, and enforces the Clinical Laboratories Improvement Amendments, or CLIA. CMS evaluates whether there is clinical utility for each specific test, and also performs postmarket oversight of laboratory operational processes. CMS’s oversight through the CLIA program is designed to confirm that a lab assesses analytical validity, but does not confirm whether it had results from an analytical validity assessment that were sufficient to support the claimed intended use of the test.</w:t>
      </w:r>
    </w:p>
    <w:p>
      <w:pPr>
        <w:spacing w:after="0" w:line="16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 xml:space="preserve">Historically, the FDA has generally not enforced premarket review and other FDA requirements on LDTs because LDTs were relatively simple lab tests and generally available on a limited basis. Due to advances in technology, however, some LDTs are now much more complex, have a nationwide reach and present higher risks, such as detection of risk for breast cancer and Alzheimer’s disease, which are similar to those of other IV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that have undergone premarket review.</w:t>
      </w:r>
    </w:p>
    <w:p>
      <w:pPr>
        <w:spacing w:after="0" w:line="18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FDA has announced that in the future it intends to assert jurisdiction over LDTs and proposed increasing regulatory requirements for LDTs through a risk-based framework. The FDA received considerable resistance to its proposal, and to date generally exercises enforcement discretion with respect to LDTs, leaving responsibility to CMS.</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 xml:space="preserve">New laws, regulations or changes to existing laws, regulations and policies may result in changes to the requirements for LDTs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and to the FDA’s compliance and enforcement policies.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Healthcare Regulation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Pharmaceutical Coverage and Reimbursement</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ability to successfully commercialize any of our product candidates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Third-party payors establish the coverage and reimbursement policies for pharmaceutical products, and the marketability of any products for which we may receive regulatory approval for commercial sale depends on those payors’ coverage policies and reimbursement rates. Third-party payors may limit coverage to specific products on an approved list, or formulary, which might not include one or more of our product candidates. Third-party payors, together with regulators and others, are increasingly challenging the prices charged for pharmaceutical products and health services, in addition to their cost-effectiveness, safety and efficacy.</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addition, no uniform policy for coverage and reimbursement exists in the United States. Third-party payors often rely upon Medicare coverage policy and payment limitations in setting their own coverage and reimbursement policies, but also have their own methods and approval process apart from Medicare determinations. Therefore, coverage and reimbursement rates can vary significantly from payor to payor.</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the United States, our business may be subject to healthcare fraud and abuse regulation and enforcement by both the federal government and the states in which we conduct our business, particularly once third-party reimbursement becomes available for one or more of our products. The healthcare fraud and abuse laws and regulations that may affect our ability to operate include but are not limited to:</w:t>
      </w:r>
    </w:p>
    <w:p>
      <w:pPr>
        <w:spacing w:after="0" w:line="187" w:lineRule="exact"/>
        <w:rPr>
          <w:sz w:val="20"/>
          <w:szCs w:val="20"/>
          <w:color w:val="auto"/>
        </w:rPr>
      </w:pPr>
    </w:p>
    <w:p>
      <w:pPr>
        <w:jc w:val="both"/>
        <w:ind w:left="1020" w:right="59" w:hanging="328"/>
        <w:spacing w:after="0" w:line="267"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Law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1" w:lineRule="exact"/>
        <w:rPr>
          <w:rFonts w:ascii="Arial" w:cs="Arial" w:eastAsia="Arial" w:hAnsi="Arial"/>
          <w:sz w:val="17"/>
          <w:szCs w:val="17"/>
          <w:color w:val="auto"/>
        </w:rPr>
      </w:pPr>
    </w:p>
    <w:p>
      <w:pPr>
        <w:jc w:val="both"/>
        <w:ind w:left="1020" w:right="59" w:hanging="328"/>
        <w:spacing w:after="0" w:line="293"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federal civil and criminal false claims laws and civil monetary penalty laws, including the civil False Claims Act, or FCA, which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on behalf of the government and such individuals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73" w:lineRule="auto"/>
        <w:rPr>
          <w:sz w:val="20"/>
          <w:szCs w:val="20"/>
          <w:color w:val="auto"/>
        </w:rPr>
      </w:pPr>
      <w:r>
        <w:rPr>
          <w:rFonts w:ascii="Arial" w:cs="Arial" w:eastAsia="Arial" w:hAnsi="Arial"/>
          <w:sz w:val="17"/>
          <w:szCs w:val="17"/>
          <w:color w:val="auto"/>
        </w:rPr>
        <w:t>and may share in amounts paid by the entity to the government in recovery or 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78" w:lineRule="exact"/>
        <w:rPr>
          <w:sz w:val="20"/>
          <w:szCs w:val="20"/>
          <w:color w:val="auto"/>
        </w:rPr>
      </w:pPr>
    </w:p>
    <w:p>
      <w:pPr>
        <w:jc w:val="both"/>
        <w:ind w:left="1020" w:right="59" w:hanging="328"/>
        <w:spacing w:after="0" w:line="27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among other things, prohibits executing a scheme to defraud any healthcare benefit program, including private third-party payors, and prohibits (i) knowingly and willfully falsifying, concealing or covering up a material fact or making any materially false, fictitious or fraudulent statement or representation and (ii)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 or specific intent to violate it;</w:t>
      </w:r>
    </w:p>
    <w:p>
      <w:pPr>
        <w:spacing w:after="0" w:line="178" w:lineRule="exact"/>
        <w:rPr>
          <w:rFonts w:ascii="Arial" w:cs="Arial" w:eastAsia="Arial" w:hAnsi="Arial"/>
          <w:sz w:val="17"/>
          <w:szCs w:val="17"/>
          <w:color w:val="auto"/>
        </w:rPr>
      </w:pPr>
    </w:p>
    <w:p>
      <w:pPr>
        <w:jc w:val="both"/>
        <w:ind w:left="1020" w:right="59" w:hanging="328"/>
        <w:spacing w:after="0" w:line="26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HIPAA and its implementing regulations, which impose requirements relating to the privacy, security and transmission of individually identifiable health information held by covered entities, including health plans, healthcare clearinghouses and certain healthcare providers, and their business associates, individuals or entities that perform certain services on behalf of a covered entity that involve the use or disclosure of individually identifiable health information. HIPAA includes several tiers of civil monetary penalties as well as criminal penalties. In addition, state attorneys general have authority to file civil actions for damages or injunctions in federal courts to enforce HIPAA and seek attorneys’ fees and costs associated with pursuing federal civil actions. Research institutions that we collaborate with and healthcare providers who may prescribe our products, once commercialized, are subject to privacy and security requirements under HIPAA.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p>
      <w:pPr>
        <w:spacing w:after="0" w:line="186" w:lineRule="exact"/>
        <w:rPr>
          <w:rFonts w:ascii="Arial" w:cs="Arial" w:eastAsia="Arial" w:hAnsi="Arial"/>
          <w:sz w:val="17"/>
          <w:szCs w:val="17"/>
          <w:color w:val="auto"/>
        </w:rPr>
      </w:pPr>
    </w:p>
    <w:p>
      <w:pPr>
        <w:jc w:val="both"/>
        <w:ind w:left="1020" w:right="59" w:hanging="328"/>
        <w:spacing w:after="0" w:line="290"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65" w:lineRule="exact"/>
        <w:rPr>
          <w:rFonts w:ascii="Arial" w:cs="Arial" w:eastAsia="Arial" w:hAnsi="Arial"/>
          <w:sz w:val="16"/>
          <w:szCs w:val="16"/>
          <w:color w:val="auto"/>
        </w:rPr>
      </w:pPr>
    </w:p>
    <w:p>
      <w:pPr>
        <w:jc w:val="both"/>
        <w:ind w:left="1020" w:right="59" w:hanging="328"/>
        <w:spacing w:after="0" w:line="26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will be required to spend substantial time and money to ensure that our business arrangements with third parties comply with applicable healthcare laws and regulations. Even then, governmental authorities may conclude that our business practices do not comply with current or future statutes, regulations or case law involving applicable fraud and abuse or other healthcare laws and regulations. If governmental authorities find that our operations violate any of these</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laws or any other governmental regulations that may apply to us, we may be subject to significant civil, criminal and administrative penalties, damages, fines, disgorgement, individual imprisonment, exclusion from government funded healthcare programs, such as Medicare and Medicaid, and additional reporting obligations and oversight if we become subject to a corporate integrity agreement or other agreement to resolve allegations of non-compliance with these laws, and we may be required to curtail or restructure our operations. Moreover, we expect that there will continue to be federal and state laws and regulations, proposed and implemented, that could impact our operations and business. In addition, the approval and commercialization of any product candidate we develop outside the United States will also likely subject us to foreign equivalents of the healthcare laws mentioned above, among other foreign laws. The extent to which future legislation or regulations, if any, relating to health care fraud and abuse laws or enforcement, may be enacted or what effect such legislation or regulation would have on our business remains uncertain.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the United States there have been and continue to be a number of healthcare-related legislative and regulatory initiatives and reforms that have significantly affected the pharmaceutical industry. For example, the Patient Protection and Affordable Care Act, as amended by the Health Care and Education Reconciliation Act of 2010, or collectively, the ACA, was passed in March 2010, and substantially changed the way healthcare is financed by both governmental and private insurers and significantly impacted the U.S. pharmaceutical industry. Among other things, the ACA subjects biologics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as a condition of coverage of its products under Medicare Part D, manufacturers must agree to offer 70% point-of-sale discounts off negotiated prices of applicable brand drugs to eligible beneficiaries during their coverage gap period.</w:t>
      </w:r>
    </w:p>
    <w:p>
      <w:pPr>
        <w:spacing w:after="0" w:line="168"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The ACA and certain of its provisions have been subject to judicial challenges as well as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or the Tax Act, includes a provision that repealed the tax-based shared responsibility payment imposed by the ACA on certain individuals who fail to maintain qualifying health coverage for all or part of a year commonly referred to as the “individual mandate.” In January 2018, President Trump signed a continuing resolution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among other things, amended the ACA to create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Also, in 2018, CMS issued final rules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Additional legislative or regulatory changes related to the ACA remain possible.</w:t>
      </w:r>
    </w:p>
    <w:p>
      <w:pPr>
        <w:spacing w:after="0" w:line="17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December 2018, a United States District Court Judge for the Northern District of Texas ruled that the individual mandate is (i) unconstitutional as a result of the associated tax penalty being repealed by Congress as part of the Tax Act and (ii) not severable from the rest of the ACA, and that as a result the entire ACA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or other efforts to repeal, replace or invalidate the ACA or its implementing regulations, or portions thereof, will impact the ACA and its implementation.</w:t>
      </w:r>
    </w:p>
    <w:p>
      <w:pPr>
        <w:spacing w:after="0" w:line="17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government payor programs; review the relationship between pricing and manufacturer</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they will continue to seek new legislative and administrative measures to control drug costs. 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8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Moreover,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As of December 31, 2019, we had 69 full-time employees, of which 86% were primarily engaged in research and development activities and 39% hold M.D. or Ph.D. degrees. None of our employees is represented by labor unions or covered by collective bargaining agreements. We consider our relationship with our employees to be good.</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 and Access to SEC Reports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were incorporated in Delaware in September 2015. Our primary executive offices are located at 9000 Virginia Manor Road, Suite 200, Beltsville, Maryland 20705 and our telephone number is (240) 399-4900. We make available, free of charge, on our website at www.nextcure.com, our annual reports on Form 10-K, quarterly reports on Form 10-Q, current reports on Form 8-K and any amendments to such reports as soon as reasonably practicable after such reports are electronically filed with, or furnished to, the SEC. The contents of our website are not incorporated into this Annual Report.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together with all of the other information in this Annual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a clinical-stage biopharmaceutical company with a limited operating history. Since our founding in 2015, we have incurred significant net losses. Our net losses were $33.7 million and $22.8 million for the years ended December 31, 2019 and 2018, respectively. As of December 31, 2019, we had an accumulated deficit of $81.0 million. We have funded our operations to date primarily with proceeds from public offerings of our common stock, private placements of our preferred stock and upfront fees received under the Lilly Agreement. Since commencing operations, we have devoted substantially all of our efforts and financial resources to organizing and staffing our company, identifying business development opportunities, raising capital, securing intellectual property rights related to our product candidates, building</w:t>
      </w:r>
    </w:p>
    <w:p>
      <w:pPr>
        <w:sectPr>
          <w:pgSz w:w="11900" w:h="16838" w:orient="portrait"/>
          <w:cols w:equalWidth="0" w:num="1">
            <w:col w:w="9019"/>
          </w:cols>
          <w:pgMar w:left="1440" w:top="125"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and optimizing our manufacturing capabilities and conducting discovery, research and development activities for our product candidates, our discovery programs and our FIND-IO platform.</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that it will be several years, if ever, before we have a commercialized product. We expect to continue to incur significant expenses and operating losses for the foreseeable future. The net losses we incur may fluctuate significantly from year to year. We anticipate that our expenses will increase substantially if, and as, we:</w:t>
      </w:r>
    </w:p>
    <w:p>
      <w:pPr>
        <w:spacing w:after="0" w:line="165" w:lineRule="exact"/>
        <w:rPr>
          <w:sz w:val="20"/>
          <w:szCs w:val="20"/>
          <w:color w:val="auto"/>
        </w:rPr>
      </w:pPr>
    </w:p>
    <w:p>
      <w:pPr>
        <w:ind w:left="1020" w:right="7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existing product candidates and our research programs;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our FIND-IO platform to advance additional product candidates into preclinical and clinical development;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cGMP manufacturing capacity, including to provide drug supply of NC318 for future clinical trials;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scientific and administrative personnel;</w:t>
      </w:r>
    </w:p>
    <w:p>
      <w:pPr>
        <w:spacing w:after="0" w:line="225" w:lineRule="exact"/>
        <w:rPr>
          <w:rFonts w:ascii="Arial" w:cs="Arial" w:eastAsia="Arial" w:hAnsi="Arial"/>
          <w:sz w:val="18"/>
          <w:szCs w:val="18"/>
          <w:color w:val="auto"/>
        </w:rPr>
      </w:pPr>
    </w:p>
    <w:p>
      <w:pPr>
        <w:ind w:left="1020" w:right="79" w:hanging="328"/>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20" w:right="79" w:hanging="328"/>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 marketing, sales, distribution and medical affairs infrastructure to commercialize any products for which we may obtain marketing approval and commercialize, whether on our own or jointly with a partner;</w:t>
      </w:r>
    </w:p>
    <w:p>
      <w:pPr>
        <w:spacing w:after="0" w:line="123" w:lineRule="exact"/>
        <w:rPr>
          <w:rFonts w:ascii="Arial" w:cs="Arial" w:eastAsia="Arial" w:hAnsi="Arial"/>
          <w:sz w:val="16"/>
          <w:szCs w:val="16"/>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technologies or engage in strategic partnerships; and</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To become and remain profitable, we, whether on our own or jointly with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potential future collaborators’, success in:</w:t>
      </w:r>
    </w:p>
    <w:p>
      <w:pPr>
        <w:spacing w:after="0" w:line="188" w:lineRule="exact"/>
        <w:rPr>
          <w:sz w:val="20"/>
          <w:szCs w:val="20"/>
          <w:color w:val="auto"/>
        </w:rPr>
      </w:pPr>
    </w:p>
    <w:p>
      <w:pPr>
        <w:ind w:left="1020" w:right="7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preclinical studies and clinical trials of our product candidates, including our ongoing Phase 1/2 clinical trial for NC318 and other planned clinical trials for NC318 and NC410;</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seeking and obtaining marketing approvals for any product candidates that we or our collaborators develop;</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acceptance of INDs for future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and developing new product candidates;</w:t>
      </w:r>
    </w:p>
    <w:p>
      <w:pPr>
        <w:spacing w:after="0" w:line="225"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83"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cGMP supply of our product candidates for clinical trials and, if approved, commercial sales;</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market acceptance of product candidates, if approved, that we develop as viable treatment options;</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88"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6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and NC410,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jc w:val="both"/>
        <w:ind w:left="1020" w:right="59" w:hanging="32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timing, results and costs of researching and developing NC318, NC410 and our other product candidates, including targets identified through our FIND-IO platform, and of conducting preclinical studies and clinical trials;</w:t>
      </w:r>
    </w:p>
    <w:p>
      <w:pPr>
        <w:spacing w:after="0" w:line="183"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 for NC318, NC410 and any future product candidates we develop, if clinical trials are successful;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9" w:hanging="328"/>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manufacturing NC318, NC410 and any future product candidates for preclinical studies and clinical trials and in preparation for marketing approval and commercialization;</w:t>
      </w:r>
    </w:p>
    <w:p>
      <w:pPr>
        <w:spacing w:after="0" w:line="170"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NC318, NC410 and any future product candidates we develop, whether alone or with a collaborator, if any of these product candidates are approved for sale;</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the SRA with Yale;</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on favorable terms, if at all;</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 alliances and licensing arrangements. As of December 31, 2019, we had $334.6 million in cash, cash equivalents (excluding restricted cash) and marketable securities. Based on our research and development plans, we expect that our existing cash, cash equivalents and marketable securities will enable us to fund our operating expenses and capital expenditure requirements into the first half of 2023. This estimate is based on assumptions that may prove to be wrong, and we could use our available capital resources sooner than we expect. Changes may occur that are within or beyond our control that would cause us to consume our available capital before that time, including changes in and progress of our development activities, acquisitions of additional product candidates and changes in regulation.</w:t>
      </w:r>
    </w:p>
    <w:p>
      <w:pPr>
        <w:spacing w:after="0" w:line="18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or research programs,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8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are early in our development efforts. We initiated our first clinical trial for NC318, our lead product candidate, in October 2018, and we intend to initiate our first clinical trial for our second product candidate, NC410, in the second quarter of 2020. Our ability to generate product revenues, which we do not expect will occur for several years, if ever, will</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depend heavily on the successful development and eventual commercialization of NC318, NC410 and any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7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clinical and commercial success of our current and future product candidates will depend on several factors, including the following:</w:t>
      </w:r>
    </w:p>
    <w:p>
      <w:pPr>
        <w:spacing w:after="0" w:line="170" w:lineRule="exact"/>
        <w:rPr>
          <w:sz w:val="20"/>
          <w:szCs w:val="20"/>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and our clinical trials;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INDs for any future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patient populations;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on a timely basis or to establish agreements with third-party manufacturers, if needed;</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83"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proposed indications and the primary endpoint assessments evaluated in the clinical trials of our product candidates by the FDA and comparable foreign regulatory authorities;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and maintenance of timely marketing approvals from applicable regulatory authorities;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if approved;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benefits and uses of our product candidates, if approved, by patients, the medical community and third-party payors;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 candidates following approval;</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compliance with any post-approval requirements imposed on our products, such as postmarketing studies, a REMS or additional requirements that might limit the promotion, advertising, distribution or sales of our products or make the products cost-prohibitive;</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 from third-party payors;</w:t>
      </w:r>
    </w:p>
    <w:p>
      <w:pPr>
        <w:spacing w:after="0" w:line="236"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targets and immunomedicines, whether through our FIND-IO platform, through our relationships with Yale or otherwise;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NC318, NC410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9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70" w:lineRule="exact"/>
        <w:rPr>
          <w:sz w:val="20"/>
          <w:szCs w:val="20"/>
          <w:color w:val="auto"/>
        </w:rPr>
      </w:pPr>
    </w:p>
    <w:p>
      <w:pPr>
        <w:ind w:left="1020" w:right="7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clinical trials or preclinical studies;</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 and</w:t>
      </w:r>
    </w:p>
    <w:p>
      <w:pPr>
        <w:spacing w:after="0" w:line="183"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current or future clinical trials of our product candidates are promising, such data may not be sufficient to support approval by the FDA or any other regulatory authority.</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clinical trials, development of an in vitro companion diagnostic, or other postmarketing requirements, or may approve a product candidate with a label that does not include the labeling claims we believe are necessary or desirable for the successful commercialization of such product candidates.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19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additional clinical trials. Although we initiated a Phase 1/2 clinical trial of NC318 in October 2018, we may experience delays in initiating or completing our planned clinical trials and development efforts. Additionally, we cannot be certain the ongoing and planned preclinical studies or clinical trials for NC318, NC410 or any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182" w:lineRule="exact"/>
        <w:rPr>
          <w:sz w:val="20"/>
          <w:szCs w:val="20"/>
          <w:color w:val="auto"/>
        </w:rPr>
      </w:pPr>
    </w:p>
    <w:p>
      <w:pPr>
        <w:ind w:left="1020" w:right="59" w:hanging="328"/>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from preclinical studies or clinical trials may not be predictive of results from later clinical trials of any product candidate;</w:t>
      </w:r>
    </w:p>
    <w:p>
      <w:pPr>
        <w:spacing w:after="0" w:line="170" w:lineRule="exact"/>
        <w:rPr>
          <w:rFonts w:ascii="Arial" w:cs="Arial" w:eastAsia="Arial" w:hAnsi="Arial"/>
          <w:sz w:val="18"/>
          <w:szCs w:val="18"/>
          <w:color w:val="auto"/>
        </w:rPr>
      </w:pPr>
    </w:p>
    <w:p>
      <w:pPr>
        <w:ind w:left="1020" w:right="79" w:hanging="328"/>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other regulatory authorities, IRBs or independent ethics committees may not authorize us or our investigators to commence a clinical trial or conduct a clinical trial at a prospective trial site;</w:t>
      </w:r>
    </w:p>
    <w:p>
      <w:pPr>
        <w:spacing w:after="0" w:line="146" w:lineRule="exact"/>
        <w:rPr>
          <w:rFonts w:ascii="Arial" w:cs="Arial" w:eastAsia="Arial" w:hAnsi="Arial"/>
          <w:sz w:val="17"/>
          <w:szCs w:val="17"/>
          <w:color w:val="auto"/>
        </w:rPr>
      </w:pPr>
    </w:p>
    <w:p>
      <w:pPr>
        <w:ind w:left="1020" w:right="79" w:hanging="328"/>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other regulatory authorities may require us to submit additional data such as long-term toxicology studies, or impose other requirements on us, before permitting us to initiate a clinical trial;</w:t>
      </w:r>
    </w:p>
    <w:p>
      <w:pPr>
        <w:spacing w:after="0" w:line="146" w:lineRule="exact"/>
        <w:rPr>
          <w:rFonts w:ascii="Arial" w:cs="Arial" w:eastAsia="Arial" w:hAnsi="Arial"/>
          <w:sz w:val="17"/>
          <w:szCs w:val="17"/>
          <w:color w:val="auto"/>
        </w:rPr>
      </w:pPr>
    </w:p>
    <w:p>
      <w:pPr>
        <w:jc w:val="both"/>
        <w:ind w:left="1020" w:right="59" w:hanging="328"/>
        <w:spacing w:after="0" w:line="286"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65" w:lineRule="exact"/>
        <w:rPr>
          <w:rFonts w:ascii="Arial" w:cs="Arial" w:eastAsia="Arial" w:hAnsi="Arial"/>
          <w:sz w:val="17"/>
          <w:szCs w:val="17"/>
          <w:color w:val="auto"/>
        </w:rPr>
      </w:pPr>
    </w:p>
    <w:p>
      <w:pPr>
        <w:jc w:val="both"/>
        <w:ind w:left="1020" w:right="59" w:hanging="328"/>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86" w:lineRule="exact"/>
        <w:rPr>
          <w:rFonts w:ascii="Arial" w:cs="Arial" w:eastAsia="Arial" w:hAnsi="Arial"/>
          <w:sz w:val="18"/>
          <w:szCs w:val="18"/>
          <w:color w:val="auto"/>
        </w:rPr>
      </w:pPr>
    </w:p>
    <w:p>
      <w:pPr>
        <w:jc w:val="both"/>
        <w:ind w:left="1020" w:right="59" w:hanging="328"/>
        <w:spacing w:after="0" w:line="31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79"/>
        <w:spacing w:after="0" w:line="263" w:lineRule="auto"/>
        <w:rPr>
          <w:sz w:val="20"/>
          <w:szCs w:val="20"/>
          <w:color w:val="auto"/>
        </w:rPr>
      </w:pPr>
      <w:r>
        <w:rPr>
          <w:rFonts w:ascii="Arial" w:cs="Arial" w:eastAsia="Arial" w:hAnsi="Arial"/>
          <w:sz w:val="18"/>
          <w:szCs w:val="18"/>
          <w:color w:val="auto"/>
        </w:rPr>
        <w:t>trial, the nature of the clinical trial protocol, the availability of approved effective treatments for the relevant disease, competition from other clinical trial programs for similar indications and clinical trial subjects and the impact of public health emergencies, such as the coronavirus;</w:t>
      </w:r>
    </w:p>
    <w:p>
      <w:pPr>
        <w:spacing w:after="0" w:line="184" w:lineRule="exact"/>
        <w:rPr>
          <w:sz w:val="20"/>
          <w:szCs w:val="20"/>
          <w:color w:val="auto"/>
        </w:rPr>
      </w:pPr>
    </w:p>
    <w:p>
      <w:pPr>
        <w:jc w:val="both"/>
        <w:ind w:left="1020" w:right="79" w:hanging="328"/>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83" w:lineRule="exact"/>
        <w:rPr>
          <w:rFonts w:ascii="Arial" w:cs="Arial" w:eastAsia="Arial" w:hAnsi="Arial"/>
          <w:sz w:val="18"/>
          <w:szCs w:val="18"/>
          <w:color w:val="auto"/>
        </w:rPr>
      </w:pPr>
    </w:p>
    <w:p>
      <w:pPr>
        <w:jc w:val="both"/>
        <w:ind w:left="1020" w:right="59" w:hanging="328"/>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5" w:lineRule="exact"/>
        <w:rPr>
          <w:rFonts w:ascii="Arial" w:cs="Arial" w:eastAsia="Arial" w:hAnsi="Arial"/>
          <w:sz w:val="17"/>
          <w:szCs w:val="17"/>
          <w:color w:val="auto"/>
        </w:rPr>
      </w:pPr>
    </w:p>
    <w:p>
      <w:pPr>
        <w:jc w:val="both"/>
        <w:ind w:left="1020" w:right="79" w:hanging="328"/>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165" w:lineRule="exact"/>
        <w:rPr>
          <w:rFonts w:ascii="Arial" w:cs="Arial" w:eastAsia="Arial" w:hAnsi="Arial"/>
          <w:sz w:val="17"/>
          <w:szCs w:val="17"/>
          <w:color w:val="auto"/>
        </w:rPr>
      </w:pPr>
    </w:p>
    <w:p>
      <w:pPr>
        <w:ind w:left="1020" w:right="79" w:hanging="328"/>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of our product candidates could cause undesirable side effects that could result in significant negative consequences, including the inability to enter clinical development or receive regulatory approval;</w:t>
      </w:r>
    </w:p>
    <w:p>
      <w:pPr>
        <w:spacing w:after="0" w:line="123" w:lineRule="exact"/>
        <w:rPr>
          <w:rFonts w:ascii="Arial" w:cs="Arial" w:eastAsia="Arial" w:hAnsi="Arial"/>
          <w:sz w:val="16"/>
          <w:szCs w:val="16"/>
          <w:color w:val="auto"/>
        </w:rPr>
      </w:pPr>
    </w:p>
    <w:p>
      <w:pPr>
        <w:ind w:left="1020" w:right="59" w:hanging="328"/>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preclinical or nonclinical testing and studies and clinical trials of any product candidates may be greater than we anticipate;</w:t>
      </w:r>
    </w:p>
    <w:p>
      <w:pPr>
        <w:spacing w:after="0" w:line="170" w:lineRule="exact"/>
        <w:rPr>
          <w:rFonts w:ascii="Arial" w:cs="Arial" w:eastAsia="Arial" w:hAnsi="Arial"/>
          <w:sz w:val="18"/>
          <w:szCs w:val="18"/>
          <w:color w:val="auto"/>
        </w:rPr>
      </w:pPr>
    </w:p>
    <w:p>
      <w:pPr>
        <w:jc w:val="both"/>
        <w:ind w:left="1020" w:right="59" w:hanging="328"/>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186"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quality or timeliness of delivery of materials for product candidates we develop or other materials necessary to conduct clinical trials may be insufficient or inadequate; and</w:t>
      </w:r>
    </w:p>
    <w:p>
      <w:pPr>
        <w:spacing w:after="0" w:line="170"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third parties on whom we are dependent, may suffer business interruptions resulting from geo-political actions, including war and terrorism, or natural disasters and public health emergencies, such as the coronavirus.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could encounter delays if a clinical trial is suspended or terminated by us, or by the IRBs of the institutions in which such trials are being conducted, ethics committees or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or other regulatory authorities may disagree with our clinical trial design and our interpretation of data from clinical trials, or may change the requirements for approval even after they have reviewed and commented on the design for our clinical trials. In addition, factors outside our control, such as government shutdowns, natural disasters and public health emergencies such as the coronavirus, could disrupt business at the FDA or other regulatory authorities, which could result in delays of reviews, approvals and communications with regulatory authorities related to our clinical trials and product candidates.</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With the exception of NC318, all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6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our potential future collaborators over which we have no control. The commencement and rate of completion of preclinical studies and clinical trials for a product candidate may be delayed by many factors, including but not limited to:</w:t>
      </w:r>
    </w:p>
    <w:p>
      <w:pPr>
        <w:spacing w:after="0" w:line="177" w:lineRule="exact"/>
        <w:rPr>
          <w:sz w:val="20"/>
          <w:szCs w:val="20"/>
          <w:color w:val="auto"/>
        </w:rPr>
      </w:pPr>
    </w:p>
    <w:p>
      <w:pPr>
        <w:ind w:left="1020" w:right="79" w:hanging="328"/>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 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not permitting the reliance on preclinical or other data from published scientific literature.</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w:t>
      </w:r>
    </w:p>
    <w:p>
      <w:pPr>
        <w:sectPr>
          <w:pgSz w:w="11900" w:h="16838" w:orient="portrait"/>
          <w:cols w:equalWidth="0" w:num="1">
            <w:col w:w="9019"/>
          </w:cols>
          <w:pgMar w:left="1440" w:top="125"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even after achieving promising results in earlier studies, and any such setbacks in our clinical development could have a material adverse effect on our business and operating results.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the number of subjects in our Phase 1/2 clinical trial of NC318 is small, the results from this trial, once completed, may be less reliable than results achieved in larger clinical trials.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 of NC318, can be disproportionately influenced by the impact the treatment had on a few individuals, which limits the ability to generalize the results across a broader community, thus making the study results less reliable than studies with a larger number of subjects. As a result, there may be less certainty that NC318 would achieve a statistically significant effect in any future clinical trials. If we conduct any future clinical trials of NC318, we may not achieve a statistically significant result or the same level of statistical significance seen, if any, in our Phase 1/2 clinical trial. Similarly, if we conduct a clinical trial of any other product candidate we develop, including NC410, with a small sample size, the results of any such trial may be less reliable than results achieved in larger clinical trials and may provide less certainty of achieving statistically significant effects in any future clinical trials.</w:t>
      </w:r>
    </w:p>
    <w:p>
      <w:pPr>
        <w:spacing w:after="0" w:line="18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using our FIND-IO platform is unproven and may not result in marketable products.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w:t>
      </w:r>
    </w:p>
    <w:p>
      <w:pPr>
        <w:spacing w:after="0" w:line="16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w:t>
      </w:r>
    </w:p>
    <w:p>
      <w:pPr>
        <w:spacing w:after="0" w:line="17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most common treatment-related adverse events reported in the Phase 1 portion of the Phase 1/2 clinical trial of NC318 as of November 9, 2019, the most recent date for which we have reported data on the trial, were diarrhea, infusion reactions, fatigue, headaches, pruritis, elevated amylase and elevated lipase. Most treatment-related adverse events have been easily manageable, asymptomatic or mild or moderate, with the exception of one case of grade 3 episcleritis/uveitis that resolved after steroid therapy and two cases of grade 3 pneumonitis. Immune-related adverse events that represent immune effects on normal tissue and can result from misdirected stimulation of the immune system are a common class of toxicity in immunomedicines such as NC318. Immune-related adverse events reported in the Phase 1 portion of the Phase 1/2 clinical trial of NC318 included diarrhea, elevated amylase and lipase, pruritis, episcleritis/uveitis, pneumonitis and vitiligo.</w:t>
      </w:r>
    </w:p>
    <w:p>
      <w:pPr>
        <w:spacing w:after="0" w:line="19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Possible adverse side effects that could occur with treatment with immunomedicines include an immunologic reaction early after administration which, while not necessarily adverse to the patient’s health, could substantially limit the effectiveness of the treatment.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w:t>
      </w:r>
    </w:p>
    <w:p>
      <w:pPr>
        <w:spacing w:after="0" w:line="1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8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addition, we intend to pursue NC318 in part in combination with other therapies and may develop NC410 and future product candidates in combination with other therapies, which exposes us to additional risks relating to undesirable side effects or other properties. For example, the other therapies may lead to toxicities that are improperly attributed to our</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 See also “—Risks Related to the Discovery and Development of Our Product Candidates—We intend to develop NC318 in part in combination with other therapies and may develop NC410 and future product candidates in combination with other therapies, which exposes us to additional regulatory risks.”</w:t>
      </w:r>
    </w:p>
    <w:p>
      <w:pPr>
        <w:spacing w:after="0" w:line="19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Even if we successfully advance one of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46" w:lineRule="exact"/>
        <w:rPr>
          <w:sz w:val="20"/>
          <w:szCs w:val="20"/>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implement a REMS or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57"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5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w:t>
      </w:r>
    </w:p>
    <w:p>
      <w:pPr>
        <w:sectPr>
          <w:pgSz w:w="11900" w:h="16838" w:orient="portrait"/>
          <w:cols w:equalWidth="0" w:num="1">
            <w:col w:w="9019"/>
          </w:cols>
          <w:pgMar w:left="1440" w:top="125"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expect to continue to rely on third parties to conduct our pivotal clinical trials. See “—Risks Related to Reliance on Third Parties—We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 Consequently, we may be unable to successfully and efficiently execute and complete clinical trials that are required for BLA submission and FDA approval of NC318, NC410 or future product candidates. We may require more time and incur greater costs than our competitors and may not succeed in obtaining regulatory approvals of product candidates that we develop.</w:t>
      </w:r>
    </w:p>
    <w:p>
      <w:pPr>
        <w:spacing w:after="0" w:line="18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187" w:lineRule="exact"/>
        <w:rPr>
          <w:sz w:val="20"/>
          <w:szCs w:val="20"/>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and size of the patient population required for analysis of the trial’s primary endpoints and the process for identifying patients;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location of participating clinical sites or patients;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83"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for participation in our clinical trials;</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factors outside of our control, including as a result of business interruptions resulting from natural disasters and public health emergencies, such as the coronavirus.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Delays from difficulties in patient enrollment in a clinical trial may result in increased costs or affect the timing, outcome or completion of the trial, which could require us to abandon the trial altogether and could delay or prevent our receipt of regulatory approval the applicable product candidate.</w:t>
      </w:r>
    </w:p>
    <w:p>
      <w:pPr>
        <w:spacing w:after="0" w:line="184"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4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Clinical trials must be conducted in accordance with the FDA’s current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178" w:lineRule="exact"/>
        <w:rPr>
          <w:sz w:val="20"/>
          <w:szCs w:val="20"/>
          <w:color w:val="auto"/>
        </w:rPr>
      </w:pPr>
    </w:p>
    <w:p>
      <w:pPr>
        <w:ind w:left="1020" w:right="79" w:hanging="32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deficiencies in the conduct of the clinical trials, including failure to conduct the clinical trial in accordance with regulatory requirements or study protocols;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deficiencies in the clinical trial operations or trial sites;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adverse side effects or the emergence of undue risks to study subjects;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deficiencies in the trial design necessary to demonstrate efficacy;</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candidate may not appear to offer benefits over current therapies; or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may fall below acceptable standards.</w:t>
      </w:r>
    </w:p>
    <w:p>
      <w:pPr>
        <w:spacing w:after="0" w:line="225"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have chosen to prioritize development of NC318 and NC410.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6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Because we have limited resources, we have strategically determined to prioritize development of NC318 and NC410 rather than other product candidates based, in part, on the significant resources required for developing and manufacturing immunomedicines. To date, no regulatory authority has granted approval for an immunomedicine targeting S15 or the LAIR pathway.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complementary or companion diagnostics, or experience significant delays in doing so, we may not realize the full commercial potential of our current or future product candidates.</w:t>
      </w:r>
    </w:p>
    <w:p>
      <w:pPr>
        <w:spacing w:after="0" w:line="17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One of the key elements of our product development strategy is to identify cancer patient populations that may derive meaningful benefit from our current or future product candidates. Because predictive biomarkers may be used 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identify the right patients for current or future product candidates, we believe that our success may depend, in part, on our ability to develop complementary or companion diagnostics in collaboration with partners.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have limited experience in the development of diagnostics and, as such, we may rely in part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Companion diagnostics are subject to regulation by the FDA and similar comparable foreign regulatory authorities as medical devices and require separate regulatory approval or clearance prior to commercialization. Complementary diagnostics may be subject to regulation by CMS or the FDA and similar comparable foreign regulatory authorities and may require separate regulatory approval or clearance prior to commercialization. Gaining regulatory approval could be time consuming and costly and could delay regulatory approval of the related product candidate.</w:t>
      </w:r>
    </w:p>
    <w:p>
      <w:pPr>
        <w:spacing w:after="0" w:line="16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and our collaborators may encounter difficulties in developing such tests, including issues relating to the selectivity or specificity of the diagnostic, analytical validation, reproducibility or clinical validation. If we, our collaborators, or any third parties that we engage to assist us, are unable to successfully develop complementary or companion diagnostics for our current or future product candidates or experience delays in doing so:</w:t>
      </w:r>
    </w:p>
    <w:p>
      <w:pPr>
        <w:spacing w:after="0" w:line="171" w:lineRule="exact"/>
        <w:rPr>
          <w:sz w:val="20"/>
          <w:szCs w:val="20"/>
          <w:color w:val="auto"/>
        </w:rPr>
      </w:pPr>
    </w:p>
    <w:p>
      <w:pPr>
        <w:ind w:left="1020" w:right="59" w:hanging="328"/>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of our current or future product candidates may be adversely affected if we are unable to appropriately select patients for enrollment in our clinical trials; and</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any of these events were to occur, our business could be materially harmed.</w:t>
      </w:r>
    </w:p>
    <w:p>
      <w:pPr>
        <w:spacing w:after="0" w:line="221"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spacing w:after="0" w:line="16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4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8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States or in any foreign countries until they receive the requisite approval from the applicable regulatory authorities of such jurisdictions.</w:t>
      </w:r>
    </w:p>
    <w:p>
      <w:pPr>
        <w:spacing w:after="0" w:line="170"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FDA or comparable foreign regulatory authorities can delay, limit or deny approval of our product candidates for many reasons, including:</w:t>
      </w:r>
    </w:p>
    <w:p>
      <w:pPr>
        <w:spacing w:after="0" w:line="170" w:lineRule="exact"/>
        <w:rPr>
          <w:sz w:val="20"/>
          <w:szCs w:val="20"/>
          <w:color w:val="auto"/>
        </w:rPr>
      </w:pPr>
    </w:p>
    <w:p>
      <w:pPr>
        <w:ind w:left="1020" w:right="5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a comparable foreign regulatory authority that our product candidates are safe and effective for the requested indication;</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disagreement with our trial protocol or the interpretation of data from preclinical studies or clinical trials;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our product candidates outweigh any safety or other perceived risks;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requirement for additional preclinical studies or clinical trials;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non-approval of the formulation, labeling, or specifications of our product candidates;</w:t>
      </w:r>
    </w:p>
    <w:p>
      <w:pPr>
        <w:spacing w:after="0" w:line="170" w:lineRule="exact"/>
        <w:rPr>
          <w:rFonts w:ascii="Arial" w:cs="Arial" w:eastAsia="Arial" w:hAnsi="Arial"/>
          <w:sz w:val="18"/>
          <w:szCs w:val="18"/>
          <w:color w:val="auto"/>
        </w:rPr>
      </w:pPr>
    </w:p>
    <w:p>
      <w:pPr>
        <w:ind w:left="1020" w:right="79" w:hanging="328"/>
        <w:spacing w:after="0" w:line="30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a comparable regulatory authority’s failure to approve our manufacturing processes and facilities or the manufacturing processes and facilities of third-party manufacturers upon which we rely; or</w:t>
      </w:r>
    </w:p>
    <w:p>
      <w:pPr>
        <w:spacing w:after="0" w:line="146"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for approval policies or regulations of the FDA or a comparable foreign regulatory authority to significantly change in a manner rendering our clinical data insufficient for approval.</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7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greater governmental regulation, stricter labeling requirements and potential regulatory delays in the testing or approvals of our products.</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49" w:lineRule="exact"/>
        <w:rPr>
          <w:sz w:val="20"/>
          <w:szCs w:val="20"/>
          <w:color w:val="auto"/>
        </w:rPr>
      </w:pPr>
    </w:p>
    <w:p>
      <w:pPr>
        <w:ind w:left="1020" w:right="7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those that are not yet approved;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regulatory approval and adoption of a companion or complementary diagnostic, if needed or advisable;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2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and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9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intend to develop NC318 in part in combination with other therapies and may develop NC410 and future product candidates in combination with other therapies, which exposes us to additional regulatory risks.</w:t>
      </w:r>
    </w:p>
    <w:p>
      <w:pPr>
        <w:spacing w:after="0" w:line="14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intend to develop NC318 in part in combination with other therapies and may develop NC410 and future product candidates in combination with one or more currently approved cancer therapies. These combinations have not</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been tested before and may, among other things, fail to demonstrate synergistic activity, may fail to achieve superior outcomes relative to the use of single agents or other combination therapies, or may fail to demonstrate sufficient safety or efficacy traits in clinical trials to enable us to complete those clinical trials or obtain marketing approval for the combination therapy.</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7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may also evaluate NC318, NC410, or any future product candidate in combination with one or more other cancer therapies that have not yet been approved for marketing by the FDA or comparable foreign regulatory authorities. We will not be able to market and sell NC318, NC410 or any product candidate we develop in combination with any such unapproved cancer therapies that do not ultimately obtain marketing approval.</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or any product candidate we develop, we may be unable to obtain approval of or market any such product candidate.</w:t>
      </w:r>
    </w:p>
    <w:p>
      <w:pPr>
        <w:spacing w:after="0" w:line="187"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b w:val="1"/>
          <w:bCs w:val="1"/>
          <w:i w:val="1"/>
          <w:iCs w:val="1"/>
          <w:color w:val="auto"/>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1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390" w:lineRule="exact"/>
        <w:rPr>
          <w:sz w:val="20"/>
          <w:szCs w:val="20"/>
          <w:color w:val="auto"/>
        </w:rPr>
      </w:pPr>
    </w:p>
    <w:p>
      <w:pPr>
        <w:ind w:left="1020" w:right="7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or imposition of restrictions on, the marketing or manufacturing of the product, withdrawal of the product from the market, or product recalls;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 or Untitled Letters, or holds on clinical trials;</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 or suspension or revocation of approved biologics licenses;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monetary penalties, refusal to permit the import or export of the product, or placement on Import Alert;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Given the nature of biologics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8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Certain policies of the Trump Administration may impact our business and industry. President Trump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ectPr>
          <w:pgSz w:w="11900" w:h="16838" w:orient="portrait"/>
          <w:cols w:equalWidth="0" w:num="1">
            <w:col w:w="9019"/>
          </w:cols>
          <w:pgMar w:left="1440" w:top="125"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9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If we or our vendors fail to comply with applicable data privacy laws, or if the legal mechanisms we or our vendors rely upon for the transfer of personal data are ever deemed inadequate, or if we or our vendors experience a data breach resulting in exposure of personal data subject to the applicable laws, we could be subject to government enforcement actions and significant penalties against us, criminal and civil liability for us and our officers and directors, private litigation or adverse publicity.</w:t>
      </w:r>
    </w:p>
    <w:p>
      <w:pPr>
        <w:spacing w:after="0" w:line="168"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 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HIPAA and its implementing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7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8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6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newly-approved products, especially novel products like our immunomedicines. To date, no regulatory authority has granted approval for an immunomedicine targeting S15 or the LAIR pathway.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can change, in some cases on short notice, and we believe that changes in these rules and regulations are likely.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9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Moreover,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6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the ACA substantially changed the way healthcare is financed by both governmental and private insurers, and significantly impacted the U.S. pharmaceutical industry. The ACA, among other things, subjects biologics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and establishes annual fees and taxes on manufacturers of certain branded prescription drugs.</w:t>
      </w:r>
    </w:p>
    <w:p>
      <w:pPr>
        <w:spacing w:after="0" w:line="18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The ACA and certain of its provisions have been subject to judicial challenges as well as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In January 2018, President Trump signed a continuing resolution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among other things, amended the ACA to create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Also, in 2018, CMS issued final rules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Additional legislative or regulatory changes related to the ACA remain possible.</w:t>
      </w:r>
    </w:p>
    <w:p>
      <w:pPr>
        <w:spacing w:after="0" w:line="17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December 2018, a United States District Court Judge for the Northern District of Texas ruled that the individual mandate is (i) unconstitutional as a result of the associated tax penalty being repealed by Congress as part of the Tax Act and (ii) not severable from the rest of the ACA, and that as a result the entire ACA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or other efforts to repeal, replace, or invalidate the ACA or its implementing regulations, or portions thereof, will impact the ACA and implementation.</w:t>
      </w:r>
    </w:p>
    <w:p>
      <w:pPr>
        <w:sectPr>
          <w:pgSz w:w="11900" w:h="16838" w:orient="portrait"/>
          <w:cols w:equalWidth="0" w:num="1">
            <w:col w:w="9019"/>
          </w:cols>
          <w:pgMar w:left="1440" w:top="125"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Other healthcare-related legislative and regulatory initiatives and reforms have been proposed and adopted in the United States since the ACA was enacted. In August 2011, the Budget Control Act of 2011, among other things, created measures for automatic spending reductions under certain circumstances. A Joint Select Committee on Deficit Reduction tasked with recommending a targeted deficit reduction of at least $1.2 trillion for the years 2013 through 2021 was unable to reach required goals, thereby triggering the legislation’s automatic reductions. This has resulted in aggregate reductions of Medicare payments to providers of, on average, 2% per fiscal year through 2029 unless Congress takes additional action. The American Taxpayer Relief Act of 2012, which was signed into law in January 2013, among other things further reduced Medicare payments to several types of providers.</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effective January 1, 2014, CMS began bundling into the hospital outpatient prospective payment rate the Medicare payments for most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9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they will continue to seek new legislative and administrative measures to control drug costs.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16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w:t>
      </w:r>
    </w:p>
    <w:p>
      <w:pPr>
        <w:spacing w:after="0" w:line="195" w:lineRule="exact"/>
        <w:rPr>
          <w:sz w:val="20"/>
          <w:szCs w:val="20"/>
          <w:color w:val="auto"/>
        </w:rPr>
      </w:pPr>
    </w:p>
    <w:p>
      <w:pPr>
        <w:jc w:val="both"/>
        <w:ind w:left="1020" w:right="59" w:hanging="328"/>
        <w:spacing w:after="0" w:line="267"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1" w:lineRule="exact"/>
        <w:rPr>
          <w:rFonts w:ascii="Arial" w:cs="Arial" w:eastAsia="Arial" w:hAnsi="Arial"/>
          <w:sz w:val="17"/>
          <w:szCs w:val="17"/>
          <w:color w:val="auto"/>
        </w:rPr>
      </w:pPr>
    </w:p>
    <w:p>
      <w:pPr>
        <w:jc w:val="both"/>
        <w:ind w:left="1020" w:right="59" w:hanging="328"/>
        <w:spacing w:after="0" w:line="269"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FCA, which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qui tam actions, on behalf of the government and such individuals and may share in amounts paid by the entity to the government in recovery or 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78" w:lineRule="exact"/>
        <w:rPr>
          <w:rFonts w:ascii="Arial" w:cs="Arial" w:eastAsia="Arial" w:hAnsi="Arial"/>
          <w:sz w:val="17"/>
          <w:szCs w:val="17"/>
          <w:color w:val="auto"/>
        </w:rPr>
      </w:pPr>
    </w:p>
    <w:p>
      <w:pPr>
        <w:jc w:val="both"/>
        <w:ind w:left="1020" w:right="59" w:hanging="328"/>
        <w:spacing w:after="0" w:line="25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HIPAA fraud provisions, which prohibit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statutes or specific intent to violate them.</w:t>
      </w:r>
    </w:p>
    <w:p>
      <w:pPr>
        <w:spacing w:after="0" w:line="192" w:lineRule="exact"/>
        <w:rPr>
          <w:sz w:val="20"/>
          <w:szCs w:val="20"/>
          <w:color w:val="auto"/>
        </w:rPr>
      </w:pPr>
    </w:p>
    <w:p>
      <w:pPr>
        <w:jc w:val="both"/>
        <w:ind w:left="1020" w:right="59" w:hanging="319"/>
        <w:spacing w:after="0" w:line="296" w:lineRule="auto"/>
        <w:tabs>
          <w:tab w:leader="none" w:pos="1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HIPAA and its implementing regulations, also impose specified requirements relating to the privacy, security and transmission of individually identifiable health information held by covered entities, which include health plans, healthcare clearinghouses and certain healthcare providers, and their business associates, individuals or entities that perform certain services on behalf of a covered entity that involve the use or disclosure of individually identifiable health information. HIPAA includes several tiers of civil monetary</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79"/>
        <w:spacing w:after="0" w:line="271" w:lineRule="auto"/>
        <w:rPr>
          <w:sz w:val="20"/>
          <w:szCs w:val="20"/>
          <w:color w:val="auto"/>
        </w:rPr>
      </w:pPr>
      <w:r>
        <w:rPr>
          <w:rFonts w:ascii="Arial" w:cs="Arial" w:eastAsia="Arial" w:hAnsi="Arial"/>
          <w:sz w:val="17"/>
          <w:szCs w:val="17"/>
          <w:color w:val="auto"/>
        </w:rPr>
        <w:t>penalties, as well as criminal penalties. State attorneys general have authority to file civil actions for damages or injunctions in federal courts to enforce HIPAA and seek attorneys’ fees and costs associated with pursuing federal civil actions. Research institutions with which we collaborate and healthcare providers who may prescribe our products, once commercialized, are subject to privacy and security requirements under HIPAA.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p>
      <w:pPr>
        <w:spacing w:after="0" w:line="178" w:lineRule="exact"/>
        <w:rPr>
          <w:sz w:val="20"/>
          <w:szCs w:val="20"/>
          <w:color w:val="auto"/>
        </w:rPr>
      </w:pPr>
    </w:p>
    <w:p>
      <w:pPr>
        <w:jc w:val="both"/>
        <w:ind w:left="1020" w:right="59" w:hanging="328"/>
        <w:spacing w:after="0" w:line="290"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65" w:lineRule="exact"/>
        <w:rPr>
          <w:rFonts w:ascii="Arial" w:cs="Arial" w:eastAsia="Arial" w:hAnsi="Arial"/>
          <w:sz w:val="16"/>
          <w:szCs w:val="16"/>
          <w:color w:val="auto"/>
        </w:rPr>
      </w:pPr>
    </w:p>
    <w:p>
      <w:pPr>
        <w:jc w:val="both"/>
        <w:ind w:left="1020" w:right="59" w:hanging="328"/>
        <w:spacing w:after="0" w:line="26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8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77"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7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Given our limited operating history, our manufacturing experience as an organization and with our manufacturing facility is limited.</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manufacture of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manufacture of pharmaceutical products is a highly complex process in which a variety of difficulties may arise from time to time. We are currently the sole manufacturer of NC318 and NC410 and if anything were to interfere with our continuing manufacturing operations in our facility, it could materially adversely affect our business and financial condition.</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If we fail to develop sufficient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or NC410. Any such delays could materially adversely affect our business and financial condition.</w:t>
      </w:r>
    </w:p>
    <w:p>
      <w:pPr>
        <w:spacing w:after="0" w:line="188"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r>
        <w:rPr>
          <w:rFonts w:ascii="Arial" w:cs="Arial" w:eastAsia="Arial" w:hAnsi="Arial"/>
          <w:sz w:val="15"/>
          <w:szCs w:val="15"/>
          <w:color w:val="auto"/>
        </w:rPr>
        <w:t>.</w:t>
      </w:r>
    </w:p>
    <w:p>
      <w:pPr>
        <w:spacing w:after="0" w:line="10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order to conduct clinical trials of our product candidates, we will need to manufacture them in large quantities. Currently, our product candidates are manufactured in small quantities for use in various preclinical studies and our ongoing Phase 1/2 clinical trial of NC318. We intend to expand our manufacturing capacity, including to provide drug supply of NC318 for future clinical trials, which will require us to incur significant expenses. If one or more of our product candidates progress to late-stage development, we may incur additional significant expenses in the further expansion or construction of manufacturing facilities and increases in personnel in order to manufacture product candidates in sufficient quantities. We cannot assure you that we will be able to successfully manufacture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8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and any future product candidates may be manufactured at a CMO or CMOs.</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w:t>
      </w:r>
    </w:p>
    <w:p>
      <w:pPr>
        <w:sectPr>
          <w:pgSz w:w="11900" w:h="16838" w:orient="portrait"/>
          <w:cols w:equalWidth="0" w:num="1">
            <w:col w:w="9019"/>
          </w:cols>
          <w:pgMar w:left="1440" w:top="125"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the manufacture of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8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are subject to multiple manufacturing risks, any of which could substantially increase our costs and limit supply of our product candidates.</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process of manufacturing immunomedicines, including our product candidates, is complex, time-consuming, highly regulated and subject to several risks, including:</w:t>
      </w:r>
    </w:p>
    <w:p>
      <w:pPr>
        <w:spacing w:after="0" w:line="170" w:lineRule="exact"/>
        <w:rPr>
          <w:sz w:val="20"/>
          <w:szCs w:val="20"/>
          <w:color w:val="auto"/>
        </w:rPr>
      </w:pPr>
    </w:p>
    <w:p>
      <w:pPr>
        <w:jc w:val="both"/>
        <w:ind w:left="1020" w:right="59" w:hanging="328"/>
        <w:spacing w:after="0" w:line="27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77" w:lineRule="exact"/>
        <w:rPr>
          <w:rFonts w:ascii="Arial" w:cs="Arial" w:eastAsia="Arial" w:hAnsi="Arial"/>
          <w:sz w:val="17"/>
          <w:szCs w:val="17"/>
          <w:color w:val="auto"/>
        </w:rPr>
      </w:pPr>
    </w:p>
    <w:p>
      <w:pPr>
        <w:jc w:val="both"/>
        <w:ind w:left="1020" w:right="59" w:hanging="328"/>
        <w:spacing w:after="0" w:line="25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including due to restrictions on the movement of people or goods, natural disasters, public health emergencies, power failures, other business disruptions and numerous other factors; and</w:t>
      </w:r>
    </w:p>
    <w:p>
      <w:pPr>
        <w:spacing w:after="0" w:line="186" w:lineRule="exact"/>
        <w:rPr>
          <w:rFonts w:ascii="Arial" w:cs="Arial" w:eastAsia="Arial" w:hAnsi="Arial"/>
          <w:sz w:val="18"/>
          <w:szCs w:val="18"/>
          <w:color w:val="auto"/>
        </w:rPr>
      </w:pPr>
    </w:p>
    <w:p>
      <w:pPr>
        <w:jc w:val="both"/>
        <w:ind w:left="1020" w:right="59" w:hanging="328"/>
        <w:spacing w:after="0" w:line="25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8"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w:t>
      </w:r>
    </w:p>
    <w:p>
      <w:pPr>
        <w:sectPr>
          <w:pgSz w:w="11900" w:h="16838" w:orient="portrait"/>
          <w:cols w:equalWidth="0" w:num="1">
            <w:col w:w="9019"/>
          </w:cols>
          <w:pgMar w:left="1440" w:top="125"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24"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4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No patent has yet issued from our patent applications.</w:t>
      </w:r>
    </w:p>
    <w:p>
      <w:pPr>
        <w:spacing w:after="0" w:line="17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6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6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or applications will be due to be paid to the USPTO and various government patent agencies outside of the United States over the lifetime of our licensed patents 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Such proceedings could result in the revocation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9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or other forms of compensation to third parties.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8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the value of our technology and products could be adversely affected.</w:t>
      </w:r>
    </w:p>
    <w:p>
      <w:pPr>
        <w:spacing w:after="0" w:line="170"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39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1020" w:right="7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license or may own in the future;</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make the inventions covered by the issued patent or pending patent application that we license or may own in the future;</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9" w:hanging="328"/>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w:t>
      </w:r>
    </w:p>
    <w:p>
      <w:pPr>
        <w:spacing w:after="0" w:line="18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We currently do not have the ability to independently conduct preclinical studies that comply with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9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including as a result of natural disasters or public health emergencies such as the coronavirus,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ectPr>
          <w:pgSz w:w="11900" w:h="16838" w:orient="portrait"/>
          <w:cols w:equalWidth="0" w:num="1">
            <w:col w:w="9019"/>
          </w:cols>
          <w:pgMar w:left="1440" w:top="125"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may depend on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8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agreed pursuant to the SRA with Yale to provide funding for a research program aimed at discovering new targets for immunomedicines. We have and expect to continue to have limited control over the amount and timing of resources that are employed in the research program. The research program may not be successful, and as a result, we may not be able to identify, develop and commercialize products from this collaboration.</w:t>
      </w:r>
    </w:p>
    <w:p>
      <w:pPr>
        <w:spacing w:after="0" w:line="17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collaborations pose, and potential future collaborations involving our product candidates may pose, the following risks to us:</w:t>
      </w:r>
    </w:p>
    <w:p>
      <w:pPr>
        <w:spacing w:after="0" w:line="170" w:lineRule="exact"/>
        <w:rPr>
          <w:sz w:val="20"/>
          <w:szCs w:val="20"/>
          <w:color w:val="auto"/>
        </w:rPr>
      </w:pPr>
    </w:p>
    <w:p>
      <w:pPr>
        <w:ind w:left="1020" w:right="7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jc w:val="both"/>
        <w:ind w:left="1020" w:right="59" w:hanging="328"/>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86"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83" w:lineRule="exact"/>
        <w:rPr>
          <w:rFonts w:ascii="Arial" w:cs="Arial" w:eastAsia="Arial" w:hAnsi="Arial"/>
          <w:sz w:val="18"/>
          <w:szCs w:val="18"/>
          <w:color w:val="auto"/>
        </w:rPr>
      </w:pPr>
    </w:p>
    <w:p>
      <w:pPr>
        <w:ind w:left="1020" w:right="79" w:hanging="328"/>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products;</w:t>
      </w:r>
    </w:p>
    <w:p>
      <w:pPr>
        <w:spacing w:after="0" w:line="123" w:lineRule="exact"/>
        <w:rPr>
          <w:rFonts w:ascii="Arial" w:cs="Arial" w:eastAsia="Arial" w:hAnsi="Arial"/>
          <w:sz w:val="16"/>
          <w:szCs w:val="16"/>
          <w:color w:val="auto"/>
        </w:rPr>
      </w:pPr>
    </w:p>
    <w:p>
      <w:pPr>
        <w:jc w:val="both"/>
        <w:ind w:left="1020" w:right="59" w:hanging="328"/>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present or future collaborator were to be involved in a business combination, the continued pursuit and emphasis on our product development or commercialization program under such collaboration could be delayed, diminished or terminated; and</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6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Effective March 3, 2020, Lilly terminated the Lilly Agreement, which was focused on using our FIND-IO platform to identify novel oncology targets for additional research and drug discovery by ourselves and Lilly. The termination of the Lilly Agreement prevented us from receiving future research and development support payments, option exercise fees, development and regulatory milestone payments, sales milestone payments or royalties under the agreement.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In the event a present or future collaborator terminates their agreement with us, we would be prevented from receiving the benefits of any such agreement, which could have a materially adverse effect on our results of operations.</w:t>
      </w:r>
    </w:p>
    <w:p>
      <w:pPr>
        <w:spacing w:after="0" w:line="14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4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4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only have “key person” insurance on Michael Richman, our President and Chief Executive Officer, and on Dr. Lieping Chen, our scientific founder, in his role as consultant to us. The loss of the services of Mr. Richman, Dr. Chen or one or more of our other executive officers could impede the achievement of our research, development and commercialization objectives.</w:t>
      </w:r>
    </w:p>
    <w:p>
      <w:pPr>
        <w:spacing w:after="0" w:line="17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continue to work with Dr. Chen on discovering novel immunomedicines through his consulting agreement and the SRA with Yale. If we are no longer able to leverage our relationships with Dr. Chen and Yale, our ability to</w:t>
      </w:r>
    </w:p>
    <w:p>
      <w:pPr>
        <w:sectPr>
          <w:pgSz w:w="11900" w:h="16838" w:orient="portrait"/>
          <w:cols w:equalWidth="0" w:num="1">
            <w:col w:w="9019"/>
          </w:cols>
          <w:pgMar w:left="1440" w:top="125"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discover additional targets for immunomedicines may be impeded, which may adversely impact the achievement of our objectives.</w:t>
      </w:r>
    </w:p>
    <w:p>
      <w:pPr>
        <w:spacing w:after="0" w:line="170"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Recruiting and retaining qualified employees, consultants and advisors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1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8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 cell-engager immunotherapies, such as Amgen’s Blincyto. In addition, numerous compounds are in clinical development for cancer treatment. In addition, numerous compounds are in clinical development for cancer treatment. Many of these companies are well-capitalized and have significant clinical experience. See “Business —Competition.”</w:t>
      </w:r>
    </w:p>
    <w:p>
      <w:pPr>
        <w:spacing w:after="0" w:line="19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have a broader label,</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3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our development plans and strategies develop, and as we transition into operating as a public company, we expect to need additional managerial, operational, marketing, sales, financial and other personnel. Future growth would impose significant added responsibilities on members of management, including:</w:t>
      </w:r>
    </w:p>
    <w:p>
      <w:pPr>
        <w:spacing w:after="0" w:line="184" w:lineRule="exact"/>
        <w:rPr>
          <w:sz w:val="20"/>
          <w:szCs w:val="20"/>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NC318, NC410 and any future product candidates we develop, while complying with our contractual obligations to contractors and other third parties; and</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future financial performance and our ability to advance development of and, if approved, commercialize NC318, NC410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7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NC318, NC410 and any future product candidates we develop and, accordingly, may not achieve our research, development and commercialization goals.</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are unable to establish marketing, sales and distribution capabilities for NC318, NC410 or any other product candidate that may receive regulatory approval, we may not be successful in commercializing those product candidates if and when they are approved.</w:t>
      </w:r>
    </w:p>
    <w:p>
      <w:pPr>
        <w:spacing w:after="0" w:line="18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do not have sales or marketing infrastructure. To achieve commercial success for NC318, NC410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225" w:lineRule="exact"/>
        <w:rPr>
          <w:sz w:val="20"/>
          <w:szCs w:val="20"/>
          <w:color w:val="auto"/>
        </w:rPr>
      </w:pPr>
    </w:p>
    <w:p>
      <w:pPr>
        <w:ind w:left="1020" w:hanging="328"/>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9" w:hanging="328"/>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4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our product candidates.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8" w:lineRule="exact"/>
        <w:rPr>
          <w:sz w:val="20"/>
          <w:szCs w:val="20"/>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 we may develop;</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are subject to the periodic reporting requirements of the Exchange Act. We designed our disclosure controls and procedures to reasonably assure that information we must disclose in reports we file or submit under the Exchange</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2019, we had federal and state net operating loss carryforwards of $55.0 million and $54.0 million, respectively. The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 health concerns, including the novel coronavirus outbreak, could impact our business.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Beginning in December 2019, a novel strain of coronavirus was reported in China and other countries, including the United States. Global health concerns, such as coronavirus, could result in social, political, economic and labor instability in the countries in which we or the third parties with whom we engage operate. We cannot presently predict the scope and severity of any potential business shutdowns or disruptions, but if we or any of the third parties with whom we engage, including the collaborators, contract organizations, third-party manufacturers, suppliers, clinical trial sites, regulators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such as this one could disproportionately impact the hospitals and clinical sites, as well as recruitment and retention for clinical trials, in a region or city whose health care system becomes overwhelmed due to the illness or where restrictions are put in place on the movement of people or goods. The extent to which the coronavirus impacts our business will depend on future developments, which are highly uncertain and cannot be predicted, including new information that may emerge concerning the severity of the coronavirus outbreak and the actions to contain the coronavirus and to address its impact, including on financial markets or otherwise. The occurrence of any of these developments and any disruption related to coronavirus could have a material adverse effect on our business and our results of operation and financial condition.</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sell your shares at or above a recently reported market price, or at all.</w:t>
      </w:r>
    </w:p>
    <w:p>
      <w:pPr>
        <w:spacing w:after="0" w:line="170"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Prior to our initial public offering, or IPO, there was no public market for shares of our common stock. Although our common stock is listed on the Nasdaq Global Select Market, or Nasdaq, an active, liquid trading market for our shares may not be sustained. In the absence of an active trading market for our common stock, you may not be able to sell your common stock at or above a recently reported market price or at the time that you would like to sell.</w:t>
      </w:r>
    </w:p>
    <w:p>
      <w:pPr>
        <w:sectPr>
          <w:pgSz w:w="11900" w:h="16838" w:orient="portrait"/>
          <w:cols w:equalWidth="0" w:num="1">
            <w:col w:w="9019"/>
          </w:cols>
          <w:pgMar w:left="1440" w:top="125"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a recently reported price, or at all. The market price for our common stock may be influenced by many factors, including:</w:t>
      </w:r>
    </w:p>
    <w:p>
      <w:pPr>
        <w:spacing w:after="0" w:line="157" w:lineRule="exact"/>
        <w:rPr>
          <w:sz w:val="20"/>
          <w:szCs w:val="20"/>
          <w:color w:val="auto"/>
        </w:rPr>
      </w:pPr>
    </w:p>
    <w:p>
      <w:pPr>
        <w:ind w:left="1020" w:right="59" w:hanging="32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or future clinical trials, or changes in the development status of our product candidates;</w:t>
      </w:r>
    </w:p>
    <w:p>
      <w:pPr>
        <w:spacing w:after="0" w:line="170" w:lineRule="exact"/>
        <w:rPr>
          <w:rFonts w:ascii="Arial" w:cs="Arial" w:eastAsia="Arial" w:hAnsi="Arial"/>
          <w:sz w:val="18"/>
          <w:szCs w:val="18"/>
          <w:color w:val="auto"/>
        </w:rPr>
      </w:pPr>
    </w:p>
    <w:p>
      <w:pPr>
        <w:jc w:val="both"/>
        <w:ind w:left="1020" w:right="79" w:hanging="328"/>
        <w:spacing w:after="0" w:line="286"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65" w:lineRule="exact"/>
        <w:rPr>
          <w:rFonts w:ascii="Arial" w:cs="Arial" w:eastAsia="Arial" w:hAnsi="Arial"/>
          <w:sz w:val="17"/>
          <w:szCs w:val="17"/>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product candidates;</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growth of our target markets;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or product candidates;</w:t>
      </w:r>
    </w:p>
    <w:p>
      <w:pPr>
        <w:spacing w:after="0" w:line="248" w:lineRule="exact"/>
        <w:rPr>
          <w:rFonts w:ascii="Arial" w:cs="Arial" w:eastAsia="Arial" w:hAnsi="Arial"/>
          <w:sz w:val="16"/>
          <w:szCs w:val="16"/>
          <w:color w:val="auto"/>
        </w:rPr>
      </w:pPr>
    </w:p>
    <w:p>
      <w:pPr>
        <w:ind w:left="1020" w:right="79" w:hanging="32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applicable to our product candidates, including but not limited to clinical trial requirements for approvals;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w:t>
      </w:r>
    </w:p>
    <w:p>
      <w:pPr>
        <w:spacing w:after="0" w:line="225" w:lineRule="exact"/>
        <w:rPr>
          <w:rFonts w:ascii="Arial" w:cs="Arial" w:eastAsia="Arial" w:hAnsi="Arial"/>
          <w:sz w:val="18"/>
          <w:szCs w:val="18"/>
          <w:color w:val="auto"/>
        </w:rPr>
      </w:pPr>
    </w:p>
    <w:p>
      <w:pPr>
        <w:ind w:left="1020" w:right="79" w:hanging="328"/>
        <w:spacing w:after="0" w:line="308"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 or publications of research reports about us or our industry;</w:t>
      </w:r>
    </w:p>
    <w:p>
      <w:pPr>
        <w:spacing w:after="0" w:line="146" w:lineRule="exact"/>
        <w:rPr>
          <w:rFonts w:ascii="Arial" w:cs="Arial" w:eastAsia="Arial" w:hAnsi="Arial"/>
          <w:sz w:val="17"/>
          <w:szCs w:val="17"/>
          <w:color w:val="auto"/>
        </w:rPr>
      </w:pPr>
    </w:p>
    <w:p>
      <w:pPr>
        <w:ind w:left="1020" w:right="59" w:hanging="32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annual or quarterly financial results or those of companies that are perceived by investors to be similar to us;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sales of our common stock by us, our directors, officers or their affiliated funds or our other stockholders;</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As a newly public company, we have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 even if our business is doing well.</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December 31, 2019, we had outstanding a total of 27,499,260 shares of common stock.</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registered on Registration Statements on Form S-8 5,167,502 shares of common stock that were either subject to outstanding options or reserved for future issuance under our existing equity incentive plans as of May 13, 2019, and as a result these shares will become eligible for sale in the public market to the extent permitted by the provisions of various vesting schedules. If these additional shares of common stock are sold, or if it is perceived that they will be sold, in the public market, the market price of our common stock could decline.</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the holders of certain shares of our common stock outstanding as of December 31, 2019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these securities by these stockholders could have a material adverse effect on the market price of our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executive officers, directors and current beneficial owners of 5% or more of our common stock and their respective affiliates exercise significant influence over our company, which limits your ability to influence corporate matters and could delay or prevent a change in corporate control.</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92" w:lineRule="exact"/>
        <w:rPr>
          <w:sz w:val="20"/>
          <w:szCs w:val="20"/>
          <w:color w:val="auto"/>
        </w:rPr>
      </w:pPr>
    </w:p>
    <w:p>
      <w:pPr>
        <w:ind w:left="1020" w:hanging="32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4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earliest of (i) December 31, 2024, (ii) the last day of the first fiscal year in which we have total annual gross revenues of at least $1.07 billion, (iii) the last day of the first fiscal year in which the market value of our common stock that is held by non-affiliates exceeds $700.0 million on June 30th and</w:t>
      </w:r>
    </w:p>
    <w:p>
      <w:pPr>
        <w:spacing w:after="0" w:line="6" w:lineRule="exact"/>
        <w:rPr>
          <w:sz w:val="20"/>
          <w:szCs w:val="20"/>
          <w:color w:val="auto"/>
        </w:rPr>
      </w:pPr>
    </w:p>
    <w:p>
      <w:pPr>
        <w:jc w:val="both"/>
        <w:ind w:left="40" w:right="59" w:firstLine="4"/>
        <w:spacing w:after="0" w:line="253" w:lineRule="auto"/>
        <w:tabs>
          <w:tab w:leader="none" w:pos="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2020.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7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the value of our stock.</w:t>
      </w:r>
    </w:p>
    <w:p>
      <w:pPr>
        <w:spacing w:after="0" w:line="24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4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investor relations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w:t>
      </w:r>
    </w:p>
    <w:p>
      <w:pPr>
        <w:sectPr>
          <w:pgSz w:w="11900" w:h="16838" w:orient="portrait"/>
          <w:cols w:equalWidth="0" w:num="1">
            <w:col w:w="9019"/>
          </w:cols>
          <w:pgMar w:left="1440" w:top="125"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w:t>
      </w:r>
    </w:p>
    <w:p>
      <w:pPr>
        <w:spacing w:after="0" w:line="1" w:lineRule="exact"/>
        <w:rPr>
          <w:sz w:val="20"/>
          <w:szCs w:val="20"/>
          <w:color w:val="auto"/>
        </w:rPr>
      </w:pPr>
    </w:p>
    <w:p>
      <w:pPr>
        <w:jc w:val="both"/>
        <w:ind w:left="40" w:right="59" w:firstLine="4"/>
        <w:spacing w:after="0" w:line="266" w:lineRule="auto"/>
        <w:tabs>
          <w:tab w:leader="none" w:pos="31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current or former directors, officers and employees, (iii) 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 actions arising under the Securities Act or the Exchange Act. The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corporate headquarters are located in Beltsville, Maryland and consist of 11,329 square feet of office space, 13,579 square feet of laboratory and manufacturing space and 10,209 square feet that we are in the process of converting into office space, or collectively the Current Space, under a lease that expires in August 2025, or the Original Lease. In June 2019, we took possession of an additional 14,075 square feet of space to be used for future office, laboratory and manufacturing space under a new lease entered into in January 2019, or the New Lease. In August 2019, we entered into an amendment to the New Lease for an additional 14,446 square feet to be used for future office, laboratory and manufacturing space, which we expect the landlord to deliver in April 2020. The New Lease expires in March 2030 and will also cover the Current Space upon expiration of the Original Lease. We believe that these facilities are adequate for our current needs and that suitable additional or substitute space will be available in the future if needed.</w:t>
      </w:r>
    </w:p>
    <w:p>
      <w:pPr>
        <w:sectPr>
          <w:pgSz w:w="11900" w:h="16838" w:orient="portrait"/>
          <w:cols w:equalWidth="0" w:num="1">
            <w:col w:w="9019"/>
          </w:cols>
          <w:pgMar w:left="1440" w:top="125"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40" w:right="59" w:hanging="44"/>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 and Issuer Purchases of Equity Securities</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common stock trades on the Nasdaq Global Select Market, or Nasdaq, under the symbol “NXTC.” As of March 11, 2020 we had 21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We currently intend to retain all available funds and any future earnings to support our operations and finance the growth and development of our business.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On May 13, 2019, we closed our IPO pursuant to which we issued and sold 5,750,000 shares of common stock at a public offering price of $15.00 per share for aggregate gross proceeds of $86.3 million. The offer and sale of the shares was made pursuant to a registration statement on Form S-1 (File No. 333-230837) that the SEC declared effective on May 9, 2019. Morgan Stanley &amp; Co. LLC, Merrill Lynch, Pierce, Fenner &amp; Smith Incorporated and Piper Jaffray &amp; Co. acted as joint book-running managers of our IPO. The net offering proceeds to us were approximately $76.9 million after deducting underwriting discounts and commissions of $6.0 million and offering expenses of approximately $3.4 million. During the period from the closing of our IPO on May 13, 2019 through December 31, 2019, $0.5 million of the net proceeds from our IPO have been used for payment to Yale University in connection with the closing of our IPO, and the remainder has been invested in temporary investments pending other uses.</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None of the offering expenses or net proceeds were paid directly or indirectly to any of our directors or officers (or their associates) or persons owning 10% or more of any class of our equity securities or to any other affiliates. There has been no material change in the planned use of proceeds from our IPO from those disclosed in the final prospectus that forms a part of our Registration Statement on Form S-1 (Reg. No. 333-230837), as filed with the SEC pursuant to Rule 424(b)(4) under the Securities Act of 1933, as amended, on May 9, 2019.</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financial statements and the related notes appearing elsewhere in this Annual Report. This discussion contains forward-looking statements that are based on management’s current expectations, estimates, and projections about our business and operations, and involve risks and uncertainties. Our actual results could differ materially from</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i w:val="1"/>
          <w:iCs w:val="1"/>
          <w:color w:val="auto"/>
        </w:rPr>
        <w:t>those discussed in these forward-looking statements. Factors that could cause or contribute to such differences include, but are not limited to, those discussed in the sections entitled “Risk Factors” and “Special Note Regarding Forward-Looking Statements” and elsewhere in this Annual Report.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was presented at the Society for Immunotherapy of Cancer annual meeting in November 2019. We began enrolling patients in the Phase 2 portion of the trial in October 2019 and expect to announce initial data from the Phase 2 portion by the end of 2020. We intend to initiate an additional Phase 2 clinical trial to evaluate NC318 in combination with standard of care chemotherapies in patients with advanced or metastatic solid tumors in mid-2020. Our second product candidate, NC410, is a novel immunomedicine designed to block immune suppression mediated by an immune modulator called Leukocyte-Associated Immunoglobulin-like Receptor 1. The U.S. Food and Drug Administration, or the FDA, accepted our investigational new drug application, or IND, for NC410 in the first quarter of 2020 and we intend to initiate a Phase 1/2 clinical trial in patients with advanced or metastatic solid tumors in the second quarter of 2020.</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left="40" w:right="59" w:firstLine="648"/>
        <w:spacing w:after="0" w:line="220" w:lineRule="exact"/>
        <w:rPr>
          <w:sz w:val="20"/>
          <w:szCs w:val="20"/>
          <w:color w:val="auto"/>
        </w:rPr>
      </w:pPr>
      <w:r>
        <w:rPr>
          <w:rFonts w:ascii="Arial" w:cs="Arial" w:eastAsia="Arial" w:hAnsi="Arial"/>
          <w:sz w:val="16"/>
          <w:szCs w:val="16"/>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w:t>
      </w:r>
      <w:r>
        <w:rPr>
          <w:rFonts w:ascii="MS PGothic" w:cs="MS PGothic" w:eastAsia="MS PGothic" w:hAnsi="MS PGothic"/>
          <w:sz w:val="16"/>
          <w:szCs w:val="16"/>
          <w:color w:val="auto"/>
        </w:rPr>
        <w:t>‑</w:t>
      </w:r>
      <w:r>
        <w:rPr>
          <w:rFonts w:ascii="Arial" w:cs="Arial" w:eastAsia="Arial" w:hAnsi="Arial"/>
          <w:sz w:val="16"/>
          <w:szCs w:val="16"/>
          <w:color w:val="auto"/>
        </w:rPr>
        <w:t>IO platform.</w:t>
      </w:r>
    </w:p>
    <w:p>
      <w:pPr>
        <w:spacing w:after="0" w:line="203"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have not generated any revenue from product sales and only limited revenue from other sources and, as a result, we have never been profitable and have incurred net losses since the commencement of our operations. Our net losses for the years ended December 31, 2019 and 2018 were $33.7 million and $22.8 million, respectively. As of December 31, 2019, we had an accumulated deficit of $81.0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have funded our operations to date primarily with proceeds from public offerings of our common stock, private placements our preferred stock and upfront fees received under our former research collaboration and development agreement with Eli Lilly and Company, or Lilly. From our inception through December 31, 2019, we received gross proceeds of $164.4 million through private placements of preferred stock and an upfront payment of $25.0 million in connection with our agreement with Lilly, or the Lilly Agreement. In April 2018, we received gross proceeds of $31.0 million from the sale and issuance of shares of our Series A-3 Preferred Stock, and in November 2018, we received gross proceeds of $93.4 million from the sale and issuance of shares of our Series B Preferred Stock, including $15.0 million from Lilly as described below.</w:t>
      </w:r>
    </w:p>
    <w:p>
      <w:pPr>
        <w:spacing w:after="0" w:line="19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eligible for quarterly research and development support payments during a portion of the term of the Lilly Agreement.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March 3, 2020, Lilly terminated the Lilly Agreement.</w:t>
      </w:r>
    </w:p>
    <w:p>
      <w:pPr>
        <w:spacing w:after="0" w:line="21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$76.9 million after deducting underwriting discounts and commissions of $6.0 million and offering expenses of $3.4 million. See Note 1 to our audited financial statements included elsewhere in this Annual Report for more information.</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As of December 31, 2019, we had cash, cash equivalents and marketable securities, excluding restricted cash, of $334.6 million. We believe that our existing cash, cash equivalents and marketable securities will be sufficient to fund our planned operations into the first half of 2023.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planned Phase 1/2 clinical trial of NC410 and other research and development activities. We expect to incur significantly increased costs as a result of operating as a public company, including significant legal, accounting, investor relations and other expenses that we did not incur as a private company.</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For the year ended December 31, 2019, we recognized $6.3 million in revenue under the Lilly Agreement. Through December 31, 2019, we have not generated any revenue from product sales. Through December 31, 2018, we had not generated any revenue from product sales or otherwise. For additional information about our revenue recognition policy, see Note 2 to our audited financial statements included elsewhere in this Annual Report.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20" w:right="79" w:hanging="328"/>
        <w:spacing w:after="0" w:line="223" w:lineRule="exact"/>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personnel engaged in research and development functions;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79" w:hanging="328"/>
        <w:spacing w:after="0" w:line="286"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 or Yale;</w:t>
      </w:r>
    </w:p>
    <w:p>
      <w:pPr>
        <w:spacing w:after="0" w:line="165" w:lineRule="exact"/>
        <w:rPr>
          <w:rFonts w:ascii="Arial" w:cs="Arial" w:eastAsia="Arial" w:hAnsi="Arial"/>
          <w:sz w:val="17"/>
          <w:szCs w:val="17"/>
          <w:color w:val="auto"/>
        </w:rPr>
      </w:pPr>
    </w:p>
    <w:p>
      <w:pPr>
        <w:ind w:left="1020" w:hanging="328"/>
        <w:spacing w:after="0" w:line="196" w:lineRule="exact"/>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and related travel expenses;</w:t>
      </w:r>
    </w:p>
    <w:p>
      <w:pPr>
        <w:spacing w:after="0" w:line="236"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20" w:right="79" w:hanging="328"/>
        <w:spacing w:after="0" w:line="223" w:lineRule="exact"/>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facility</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direct depreciation costs and allocated expenses for rent and maintenance of facilities and other operating costs.</w:t>
      </w:r>
    </w:p>
    <w:p>
      <w:pPr>
        <w:spacing w:after="0" w:line="203"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203" w:lineRule="exact"/>
        <w:rPr>
          <w:sz w:val="20"/>
          <w:szCs w:val="20"/>
          <w:color w:val="auto"/>
        </w:rPr>
      </w:pPr>
    </w:p>
    <w:p>
      <w:pPr>
        <w:jc w:val="both"/>
        <w:ind w:left="40" w:right="59" w:firstLine="648"/>
        <w:spacing w:after="0" w:line="220" w:lineRule="exact"/>
        <w:rPr>
          <w:sz w:val="20"/>
          <w:szCs w:val="20"/>
          <w:color w:val="auto"/>
        </w:rPr>
      </w:pPr>
      <w:r>
        <w:rPr>
          <w:rFonts w:ascii="Arial" w:cs="Arial" w:eastAsia="Arial" w:hAnsi="Arial"/>
          <w:sz w:val="16"/>
          <w:szCs w:val="16"/>
          <w:color w:val="auto"/>
        </w:rPr>
        <w:t>Due to the early</w:t>
      </w:r>
      <w:r>
        <w:rPr>
          <w:rFonts w:ascii="MS PGothic" w:cs="MS PGothic" w:eastAsia="MS PGothic" w:hAnsi="MS PGothic"/>
          <w:sz w:val="16"/>
          <w:szCs w:val="16"/>
          <w:color w:val="auto"/>
        </w:rPr>
        <w:t>‑</w:t>
      </w:r>
      <w:r>
        <w:rPr>
          <w:rFonts w:ascii="Arial" w:cs="Arial" w:eastAsia="Arial" w:hAnsi="Arial"/>
          <w:sz w:val="16"/>
          <w:szCs w:val="16"/>
          <w:color w:val="auto"/>
        </w:rPr>
        <w:t>stage nature of our programs and the discovery-related nature of our efforts, we do not track costs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other than costs incurred for the Lilly Agreement. However, as our current and future product candidates proceed along a development path further in clinical trials, we intend to track the costs of each program. We measure costs incurred under the Lilly Agreement as an input to recording revenue from the Lilly Agreement.</w:t>
      </w:r>
    </w:p>
    <w:p>
      <w:pPr>
        <w:spacing w:after="0" w:line="203"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ongoing Phase 1/2 clinical trial of NC318, our planned Phase 2 clinical trial in combination with standard of care chemotherapies and preclinical studies and a Phase 1/2 clinical trial of NC410, as we develop a complementary diagnostic for NC318 if we determine it is advisable, and as we expand our current good manufacturing practice, or cGMP, manufacturing capacity, including to provide drug supply of NC318 for future clinical trials, and as we expand our pipeline through research and development activities related to our FIND-IO platform and discovery programs.</w:t>
      </w:r>
    </w:p>
    <w:p>
      <w:pPr>
        <w:spacing w:after="0" w:line="19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61" w:lineRule="exact"/>
        <w:rPr>
          <w:sz w:val="20"/>
          <w:szCs w:val="20"/>
          <w:color w:val="auto"/>
        </w:rPr>
      </w:pPr>
    </w:p>
    <w:p>
      <w:pPr>
        <w:ind w:left="1020" w:right="79" w:hanging="328"/>
        <w:spacing w:after="0" w:line="34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scope, progress, results and costs of clinical trials of NC318 and NC410, as well as of any future clinical trials of other product candidates and other research and development activities that we may conduct;</w:t>
      </w:r>
    </w:p>
    <w:p>
      <w:pPr>
        <w:spacing w:after="0" w:line="123" w:lineRule="exact"/>
        <w:rPr>
          <w:rFonts w:ascii="Arial" w:cs="Arial" w:eastAsia="Arial" w:hAnsi="Arial"/>
          <w:sz w:val="16"/>
          <w:szCs w:val="16"/>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6"/>
          <w:szCs w:val="16"/>
          <w:color w:val="auto"/>
        </w:rPr>
        <w:t>General and administrative expenses consist primarily of personnel</w:t>
      </w:r>
      <w:r>
        <w:rPr>
          <w:rFonts w:ascii="MS PGothic" w:cs="MS PGothic" w:eastAsia="MS PGothic" w:hAnsi="MS PGothic"/>
          <w:sz w:val="16"/>
          <w:szCs w:val="16"/>
          <w:color w:val="auto"/>
        </w:rPr>
        <w:t>‑</w:t>
      </w:r>
      <w:r>
        <w:rPr>
          <w:rFonts w:ascii="Arial" w:cs="Arial" w:eastAsia="Arial" w:hAnsi="Arial"/>
          <w:sz w:val="16"/>
          <w:szCs w:val="16"/>
          <w:color w:val="auto"/>
        </w:rPr>
        <w:t>related costs, including payroll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human resources, business and corporate development and other administrative functions, professional fees for legal, intellectual property, consulting and accounting services, rent and other facility</w:t>
      </w:r>
      <w:r>
        <w:rPr>
          <w:rFonts w:ascii="MS PGothic" w:cs="MS PGothic" w:eastAsia="MS PGothic" w:hAnsi="MS PGothic"/>
          <w:sz w:val="16"/>
          <w:szCs w:val="16"/>
          <w:color w:val="auto"/>
        </w:rPr>
        <w:t>‑</w:t>
      </w:r>
      <w:r>
        <w:rPr>
          <w:rFonts w:ascii="Arial" w:cs="Arial" w:eastAsia="Arial" w:hAnsi="Arial"/>
          <w:sz w:val="16"/>
          <w:szCs w:val="16"/>
          <w:color w:val="auto"/>
        </w:rPr>
        <w:t>related costs, depreciation and other general operating expenses not otherwise classified as research and development expenses. General and administrative expenses also include all patent</w:t>
      </w:r>
      <w:r>
        <w:rPr>
          <w:rFonts w:ascii="MS PGothic" w:cs="MS PGothic" w:eastAsia="MS PGothic" w:hAnsi="MS PGothic"/>
          <w:sz w:val="16"/>
          <w:szCs w:val="16"/>
          <w:color w:val="auto"/>
        </w:rPr>
        <w:t>‑</w:t>
      </w:r>
      <w:r>
        <w:rPr>
          <w:rFonts w:ascii="Arial" w:cs="Arial" w:eastAsia="Arial" w:hAnsi="Arial"/>
          <w:sz w:val="16"/>
          <w:szCs w:val="16"/>
          <w:color w:val="auto"/>
        </w:rPr>
        <w:t>related costs incurred in connection with filing and prosecuting patent applications, which are expensed as incurred.</w:t>
      </w:r>
    </w:p>
    <w:p>
      <w:pPr>
        <w:spacing w:after="0" w:line="20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Other income, net consists primarily of interest income earned on U.S. Treasury obligations and payment of interest on our term loan with a commercial bank, or the Term Loan.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Revenue from research and development arrangement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6,347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(37,482)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(33,737)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(22,799)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(10,938)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Revenue was $6.3 million and $0 for the years ended December 31, 2019 and 2018, respectively. The 2019 revenue is related to the recognition of a portion of the upfront consideration under the Lilly Agreement and the premium on the proceeds from Lilly’s investment in shares of our Series B-3 Preferred Stock. We expect to record as revenue the remaining deferred revenue balance of $22.4 million at December 31, 2019 in the first quarter of 2020 as a result of the termination of the Lilly Agreement in March 2020.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Research and development expenses for the year ended December 31, 2019 increased by $14.4 million to $34.2 million compared to $19.8 million for the year ended December 31, 2018. The increase was driven primarily by $4.4</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million increase in lab supplies and services for NC318, NC410, other early-stage programs and discovery activities. Other significant components of the increase in research and development expenses included $4.1 million in personnel-related costs due to an increase in headcount, $3.0 million in clinical research costs related to advancing NC318, $0.7 million payments pursuant to the SRA and other sponsored research agreements and $0.6 million in research and development license costs.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General and administrative expenses for the year ended December 31, 2019 increased by $6.2 million to $9.6 million as compared to $3.4 million for the year ended December 31, 2018. The increase was driven primarily by increases, largely in connection with our IPO and operating as a public company, of $2.8 million for professional fees related to legal, finance and audit services, public relations, compensation and investor relations support, $1.2 million in insurance expenses and $0.7 million in personnel-related costs due to an increase in headcount.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Other income, net for the year ended December 31, 2019 increased by $3.3 million to $3.7 million from $0.4 million for the year ended December 31, 2018. The increase was driven primarily by interest income earned on higher cash and marketable securities balances, partially offset by interest expense related to an increase in the outstanding principal balance of our term loan from $1.0 million to $5.0 million in January 2019.</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aggregate gross proceeds of $86.3 million. The net offering proceeds to us were approximately $76.9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the public offering price of $36.75. The total gross proceeds to us were $172.2 million and the total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December 31, 2019, we had cash, cash equivalents and marketable securities, excluding restricted cash, of $334.6 million. We believe that our existing cash, cash equivalents and marketable securities will be sufficient to fund our planned operations into the first half of 2023.</w:t>
      </w:r>
    </w:p>
    <w:p>
      <w:pPr>
        <w:spacing w:after="0" w:line="18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in April 2016, we entered into a term loan to finance laboratory equipment purchases. In January 2019, we amended the term loan to increase our borrowing capacity from $1.0 million to $5.0 million. As amended, the term loan matures in January 2023. Our obligations under the term loan are secured by a security interest in our certificates of deposit, money market accounts, cash, securities, investment property and deposit or investment accounts. The term loan bears interest at a rate equal to the greater of (i) the prime rate less 1.0% and (ii) 4.25% and is subject to mandatory prepayment upon the occurrence of specified events, including failure to pay the term loan when due, uncured breach, bankruptcy or dissolution. Under the term loan, we will make interest-only payments through January 2020 and 36 equal monthly payments of principal plus accrued interest thereafter through January 2023. As of December 31, 2019, our outstanding borrowings under this term loan were $5.0 million.</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capital or enter into such agreements as and when needed, we may have to significantly delay, scale back or discontinue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the development of our product candidates or delay our efforts to expand our pipeline of product candidates. Our need to raise additional capital will depend on many factors, including:</w:t>
      </w:r>
    </w:p>
    <w:p>
      <w:pPr>
        <w:spacing w:after="0" w:line="170" w:lineRule="exact"/>
        <w:rPr>
          <w:sz w:val="20"/>
          <w:szCs w:val="20"/>
          <w:color w:val="auto"/>
        </w:rPr>
      </w:pPr>
    </w:p>
    <w:p>
      <w:pPr>
        <w:jc w:val="both"/>
        <w:ind w:left="1020" w:right="79" w:hanging="32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NC318, NC410 and our other programs, including targets identified through our FIND-IO platform, and of conducting preclinical studies and clinical trials;</w:t>
      </w:r>
    </w:p>
    <w:p>
      <w:pPr>
        <w:spacing w:after="0" w:line="183"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NC318, NC410 and any future product candidates we develop, if clinical trials are successful;</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of manufacturing NC318, NC410 and any future product candidates we develop for preclinical studies and clinical trials in preparation for marketing approval and commercialization;</w:t>
      </w:r>
    </w:p>
    <w:p>
      <w:pPr>
        <w:spacing w:after="0" w:line="170" w:lineRule="exact"/>
        <w:rPr>
          <w:rFonts w:ascii="Arial" w:cs="Arial" w:eastAsia="Arial" w:hAnsi="Arial"/>
          <w:sz w:val="18"/>
          <w:szCs w:val="18"/>
          <w:color w:val="auto"/>
        </w:rPr>
      </w:pPr>
    </w:p>
    <w:p>
      <w:pPr>
        <w:jc w:val="both"/>
        <w:ind w:left="1020" w:right="79" w:hanging="328"/>
        <w:spacing w:after="0" w:line="286"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marketing, sales and distribution costs, for NC318, NC410 and any future product candidates we develop, whether alone or with a collaborator, if any such product candidates are approved for sale, including marketing, sales and distribution costs;</w:t>
      </w:r>
    </w:p>
    <w:p>
      <w:pPr>
        <w:spacing w:after="0" w:line="165" w:lineRule="exact"/>
        <w:rPr>
          <w:rFonts w:ascii="Arial" w:cs="Arial" w:eastAsia="Arial" w:hAnsi="Arial"/>
          <w:sz w:val="17"/>
          <w:szCs w:val="17"/>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the SRA with Yale;</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licenses or other arrangements on favorable terms, if at all;</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Adequate additional financing may not be available to us on acceptable terms, or at all.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raise additional funds through government or private grants, collaborations, strategic alliances or marketing, distribution or licensing arrangements with third parties, we may be required to relinquish valuable rights to our future revenue streams, product candidates or research programs or to grant licenses on terms that may not be favorable to us.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retain for ourselves. See the section entitled "Risk Factors" for additional risks associated with our substantial capital requirements.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w:t>
      </w:r>
    </w:p>
    <w:p>
      <w:pPr>
        <w:ind w:left="74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8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(35,623)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7,992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(303,923)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(3,063)</w:t>
            </w:r>
          </w:p>
        </w:tc>
      </w:tr>
      <w:tr>
        <w:trPr>
          <w:trHeight w:val="216"/>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121,417</w:t>
            </w:r>
          </w:p>
        </w:tc>
        <w:tc>
          <w:tcPr>
            <w:tcW w:w="60" w:type="dxa"/>
            <w:vAlign w:val="bottom"/>
            <w:tcBorders>
              <w:bottom w:val="single" w:sz="8" w:color="CCEEFF"/>
            </w:tcBorders>
          </w:tcPr>
          <w:p>
            <w:pPr>
              <w:spacing w:after="0"/>
              <w:rPr>
                <w:sz w:val="18"/>
                <w:szCs w:val="18"/>
                <w:color w:val="auto"/>
              </w:rPr>
            </w:pPr>
          </w:p>
        </w:tc>
      </w:tr>
      <w:tr>
        <w:trPr>
          <w:trHeight w:val="217"/>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126,346</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Used in/Provided by Operating Activities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Net cash used in operating activities was $35.6 million for the year ended December 31, 2019, which was primarily due to our net loss of $33.7 million. Net cash provided by operating activities was $8.0 million for the year ended December 31, 2018, which was primarily due to deferred revenue, including the $25.0 million upfront payment pursuant to the Lilly Agreement, as well as a non-cash charge for depreciation and amortization and the timing of cash payments, partially offset by our net loss of $22.8 million as we continued our research and development activities. The amount of cash used in operating activities in any period is influenced by the timing of cash payments for research-related expenses.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Cash used in investing activities for the year ended December 31, 2019 was $303.9 million, which was primarily due to the purchase of marketable securities. Cash used in investing activities for the year ended December 31, 2018 was $3.1 million, which consisted primarily of purchases of laboratory equipment.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Cash provided by financing activities was $243.0 million for the year ended December 31, 2019, which consisted primarily of net proceeds from the Company’s public offering. Cash provided by financing activities was $121.4 million for the year ended December 31, 2018, which consisted of gross proceeds from the sale and issuance of shares of our Series A and B Preferred Stock, partially offset by issuance costs, deferred offering costs and payments under the Term Loan.</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Within</w:t>
            </w:r>
          </w:p>
        </w:tc>
        <w:tc>
          <w:tcPr>
            <w:tcW w:w="120" w:type="dxa"/>
            <w:vAlign w:val="bottom"/>
          </w:tcPr>
          <w:p>
            <w:pPr>
              <w:spacing w:after="0"/>
              <w:rPr>
                <w:sz w:val="10"/>
                <w:szCs w:val="10"/>
                <w:color w:val="auto"/>
              </w:rPr>
            </w:pPr>
          </w:p>
        </w:tc>
        <w:tc>
          <w:tcPr>
            <w:tcW w:w="52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3 - 5</w:t>
            </w:r>
          </w:p>
        </w:tc>
        <w:tc>
          <w:tcPr>
            <w:tcW w:w="1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2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3"/>
              </w:rPr>
              <w:t>3,333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5,000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w w:val="93"/>
              </w:rPr>
              <w:t>2,857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97"/>
              </w:rPr>
              <w:t>3,459</w:t>
            </w:r>
          </w:p>
        </w:tc>
        <w:tc>
          <w:tcPr>
            <w:tcW w:w="0" w:type="dxa"/>
            <w:vAlign w:val="bottom"/>
          </w:tcPr>
          <w:p>
            <w:pPr>
              <w:spacing w:after="0"/>
              <w:rPr>
                <w:sz w:val="1"/>
                <w:szCs w:val="1"/>
                <w:color w:val="auto"/>
              </w:rPr>
            </w:pPr>
          </w:p>
        </w:tc>
      </w:tr>
      <w:tr>
        <w:trPr>
          <w:trHeight w:val="217"/>
        </w:trPr>
        <w:tc>
          <w:tcPr>
            <w:tcW w:w="50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3"/>
              </w:rPr>
              <w:t>6,190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8,459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had operating lease obligations consisting of two operating leases for our corporate headquarters for a total of approximately 50,000 square feet as of December 31, 2019. The terms of the leases expire in August 2025 and March 2030. Under the terms of the leases, we will have lease obligations aggregating $8.8 million through 2025.</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contractual obligations table does not include any potential contingent payments upon the achievement by us of clinical, regulatory and commercial events, as applicable, or royalty payments that we may be required to make under license agreements we have entered into with various entities pursuant to which we have in-licensed intellectual property, including, our license agreement with Yale and the SRA with Yale. We excluded the contingent payments given that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timing and amount (if any) of any such payments cannot be reasonably estimated at this time. See “Business—Our Collaboration Agreements” for additional information.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 as these policies relate to the more significant areas involving management’s judgments and estimates.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 Including Clinical Trial Accruals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we analyze progress of the studies, including the phase or completion of events, invoices received and contracted costs. For further discussion of research and development expenses, see Note 2 to our audited financial statements included elsewhere in this Annual Report.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account for revenue in accordance with ASC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2" w:lineRule="exact"/>
        <w:rPr>
          <w:sz w:val="20"/>
          <w:szCs w:val="20"/>
          <w:color w:val="auto"/>
        </w:rPr>
      </w:pPr>
    </w:p>
    <w:p>
      <w:pPr>
        <w:jc w:val="both"/>
        <w:ind w:left="40" w:right="59" w:firstLine="4"/>
        <w:spacing w:after="0" w:line="295" w:lineRule="auto"/>
        <w:tabs>
          <w:tab w:leader="none" w:pos="3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and (v) recognition of revenue when (or as) we satisfy each performance obligation. We only apply the five-step model to contracts when it is probable that we will collect consideration to which we are entitled in exchange for the goods or services we transfer to the customer. For further discussion of revenue recognition, see Note 2 to our audited financial statements included elsewhere in this Annual Report.</w:t>
      </w:r>
    </w:p>
    <w:p>
      <w:pPr>
        <w:spacing w:after="0" w:line="161"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jc w:val="both"/>
        <w:ind w:left="40" w:right="59" w:firstLine="648"/>
        <w:spacing w:after="0" w:line="219" w:lineRule="exact"/>
        <w:rPr>
          <w:sz w:val="20"/>
          <w:szCs w:val="20"/>
          <w:color w:val="auto"/>
        </w:rPr>
      </w:pPr>
      <w:r>
        <w:rPr>
          <w:rFonts w:ascii="Arial" w:cs="Arial" w:eastAsia="Arial" w:hAnsi="Arial"/>
          <w:sz w:val="16"/>
          <w:szCs w:val="16"/>
          <w:color w:val="auto"/>
        </w:rPr>
        <w:t>We account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including stock options and restricted stock units, based on the fair value of the award as of the grant date. We utilize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as the method for estimating the fair value of our stock option grants.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requires the use of highly subjective and complex assumptions, including the options’ expected term and the price volatility of the underlying stock. The fair value of the portion of the award that is ultimately expected to vest is recognized as compensation expense over the award’s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requisite service period. We recognize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to expense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If there are any modifications or cancelations of stock</w:t>
      </w:r>
      <w:r>
        <w:rPr>
          <w:rFonts w:ascii="MS PGothic" w:cs="MS PGothic" w:eastAsia="MS PGothic" w:hAnsi="MS PGothic"/>
          <w:sz w:val="18"/>
          <w:szCs w:val="18"/>
          <w:color w:val="auto"/>
        </w:rPr>
        <w:t>‑</w:t>
      </w:r>
      <w:r>
        <w:rPr>
          <w:rFonts w:ascii="Arial" w:cs="Arial" w:eastAsia="Arial" w:hAnsi="Arial"/>
          <w:sz w:val="18"/>
          <w:szCs w:val="18"/>
          <w:color w:val="auto"/>
        </w:rPr>
        <w:t>based awards, we may be required to accelerate, increase or decrease any remaining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4" w:lineRule="exact"/>
        <w:rPr>
          <w:sz w:val="20"/>
          <w:szCs w:val="20"/>
          <w:color w:val="auto"/>
        </w:rPr>
      </w:pPr>
    </w:p>
    <w:p>
      <w:pPr>
        <w:jc w:val="both"/>
        <w:ind w:left="40" w:right="59" w:firstLine="648"/>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net of estimated forfeitures, is reflected in the statements of operations and comprehensive loss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As of December 31, 2019, total unamortized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was $6.9 million.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intrinsic value of all outstanding stock options as of December 31, 2019 was $113.3 million.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Common Stock Valuation</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Before our IPO, there was no public market for our common stock to date and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w:t>
      </w:r>
    </w:p>
    <w:p>
      <w:pPr>
        <w:spacing w:after="0" w:line="17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 xml:space="preserve">Accounting and Valuation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Our common stock valuations were prepared using an option pricing method, or OPM, which used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7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Since the closing of our IPO, our board of directors has determined the fair value of our common stock based on the closing price of our common stock on the Nasdaq Global Select Market as reported on the date of grant.</w:t>
      </w:r>
    </w:p>
    <w:p>
      <w:pPr>
        <w:spacing w:after="0" w:line="14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further discussion of our accounting for stock-based compensation, see Note 2 to our audited financial statements included elsewhere in this Annual Report.</w:t>
      </w:r>
    </w:p>
    <w:p>
      <w:pPr>
        <w:spacing w:after="0" w:line="16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jc w:val="both"/>
        <w:ind w:left="40" w:right="59" w:firstLine="648"/>
        <w:spacing w:after="0" w:line="223" w:lineRule="exact"/>
        <w:rPr>
          <w:sz w:val="20"/>
          <w:szCs w:val="20"/>
          <w:color w:val="auto"/>
        </w:rPr>
      </w:pPr>
      <w:r>
        <w:rPr>
          <w:rFonts w:ascii="Arial" w:cs="Arial" w:eastAsia="Arial" w:hAnsi="Arial"/>
          <w:sz w:val="18"/>
          <w:szCs w:val="18"/>
          <w:color w:val="auto"/>
        </w:rPr>
        <w:t>Since our inception, we have not engaged in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the rules and regulations of the Securities and Exchange Commission.</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20" w:lineRule="exact"/>
        <w:rPr>
          <w:sz w:val="20"/>
          <w:szCs w:val="20"/>
          <w:color w:val="auto"/>
        </w:rPr>
      </w:pPr>
      <w:r>
        <w:rPr>
          <w:rFonts w:ascii="Arial" w:cs="Arial" w:eastAsia="Arial" w:hAnsi="Arial"/>
          <w:sz w:val="16"/>
          <w:szCs w:val="16"/>
          <w:color w:val="auto"/>
        </w:rPr>
        <w:t>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We will remain an emerging growth company until the earliest of (i) December 31, 2024,</w:t>
      </w:r>
    </w:p>
    <w:p>
      <w:pPr>
        <w:spacing w:after="0" w:line="1" w:lineRule="exact"/>
        <w:rPr>
          <w:sz w:val="20"/>
          <w:szCs w:val="20"/>
          <w:color w:val="auto"/>
        </w:rPr>
      </w:pPr>
    </w:p>
    <w:p>
      <w:pPr>
        <w:jc w:val="both"/>
        <w:ind w:left="40" w:right="59" w:firstLine="4"/>
        <w:spacing w:after="0" w:line="216" w:lineRule="exact"/>
        <w:tabs>
          <w:tab w:leader="none" w:pos="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first fiscal year in which we have total annual gross revenues of at least $1.07 billion, (iii) the last day of the first fiscal year in which the market value of our common stock that is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$700.0 million on June 30th and (iv) the date on which we have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during the prior three</w:t>
      </w:r>
      <w:r>
        <w:rPr>
          <w:rFonts w:ascii="MS PGothic" w:cs="MS PGothic" w:eastAsia="MS PGothic" w:hAnsi="MS PGothic"/>
          <w:sz w:val="18"/>
          <w:szCs w:val="18"/>
          <w:color w:val="auto"/>
        </w:rPr>
        <w:t>‑</w:t>
      </w:r>
      <w:r>
        <w:rPr>
          <w:rFonts w:ascii="Arial" w:cs="Arial" w:eastAsia="Arial" w:hAnsi="Arial"/>
          <w:sz w:val="18"/>
          <w:szCs w:val="18"/>
          <w:color w:val="auto"/>
        </w:rPr>
        <w:t>year period.</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See Note 2 to our audited financial statements included elsewhere in this Annual Report for a discussion of recent accounting pronouncements that have impacted or may impact our financial position and results of operations.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380" w:type="dxa"/>
            <w:vAlign w:val="bottom"/>
            <w:gridSpan w:val="8"/>
            <w:vMerge w:val="restart"/>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80" w:type="dxa"/>
            <w:vAlign w:val="bottom"/>
            <w:gridSpan w:val="8"/>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0000EE"/>
            </w:tcBorders>
            <w:gridSpan w:val="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Balance Sheets as of December 31, 2019 and 2018</w:t>
              </w:r>
            </w:hyperlink>
          </w:p>
        </w:tc>
        <w:tc>
          <w:tcPr>
            <w:tcW w:w="4160" w:type="dxa"/>
            <w:vAlign w:val="bottom"/>
            <w:gridSpan w:val="4"/>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Statements of Operations and Comprehensive Loss for the Years Ended December 31, 2019 and 2018</w:t>
              </w:r>
            </w:hyperlink>
          </w:p>
        </w:tc>
        <w:tc>
          <w:tcPr>
            <w:tcW w:w="104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8380" w:type="dxa"/>
            <w:vAlign w:val="bottom"/>
            <w:gridSpan w:val="8"/>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Statements of Preferred Stock and Stockholders’ Equity (Deficit) for the Years Ended December 31, 2019 and</w:t>
              </w:r>
            </w:hyperlink>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8">
              <w:r>
                <w:rPr>
                  <w:rFonts w:ascii="Arial" w:cs="Arial" w:eastAsia="Arial" w:hAnsi="Arial"/>
                  <w:sz w:val="18"/>
                  <w:szCs w:val="18"/>
                  <w:color w:val="0000EE"/>
                  <w:w w:val="84"/>
                </w:rPr>
                <w:t>2018</w:t>
              </w:r>
            </w:hyperlink>
          </w:p>
        </w:tc>
        <w:tc>
          <w:tcPr>
            <w:tcW w:w="18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8380" w:type="dxa"/>
            <w:vAlign w:val="bottom"/>
            <w:gridSpan w:val="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Statements of Cash Flows for the Years Ended December 31, 2019 and 2018</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Notes to Financial Statements</w:t>
              </w:r>
            </w:hyperlink>
          </w:p>
        </w:tc>
        <w:tc>
          <w:tcPr>
            <w:tcW w:w="286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NextCure, Inc.</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have audited the accompanying balance sheets of NextCure, Inc. (the “Company”) as of December 31, 2019 and 2018, the related statements of operations and comprehensive loss,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2018.</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Baltimore, MD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135,173</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300,514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0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339,995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135,785</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11,407</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3"/>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147,628</w:t>
            </w: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Preferred Stock and Stockholders’ Equity (Deficit)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2,411</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Term loan,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10,298</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net of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2"/>
        </w:trPr>
        <w:tc>
          <w:tcPr>
            <w:tcW w:w="6660" w:type="dxa"/>
            <w:vAlign w:val="bottom"/>
          </w:tcPr>
          <w:p>
            <w:pPr>
              <w:ind w:left="120"/>
              <w:spacing w:after="0"/>
              <w:rPr>
                <w:sz w:val="20"/>
                <w:szCs w:val="20"/>
                <w:color w:val="auto"/>
              </w:rPr>
            </w:pPr>
            <w:r>
              <w:rPr>
                <w:rFonts w:ascii="Arial" w:cs="Arial" w:eastAsia="Arial" w:hAnsi="Arial"/>
                <w:sz w:val="16"/>
                <w:szCs w:val="16"/>
                <w:color w:val="auto"/>
              </w:rPr>
              <w:t>Term loan, net of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net of current portion</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21,736</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32,349</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Redeemable preferred stock:</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2"/>
        </w:trPr>
        <w:tc>
          <w:tcPr>
            <w:tcW w:w="6660" w:type="dxa"/>
            <w:vAlign w:val="bottom"/>
          </w:tcPr>
          <w:p>
            <w:pPr>
              <w:ind w:left="120"/>
              <w:spacing w:after="0" w:line="201" w:lineRule="exact"/>
              <w:rPr>
                <w:sz w:val="20"/>
                <w:szCs w:val="20"/>
                <w:color w:val="auto"/>
              </w:rPr>
            </w:pPr>
            <w:r>
              <w:rPr>
                <w:rFonts w:ascii="Arial" w:cs="Arial" w:eastAsia="Arial" w:hAnsi="Arial"/>
                <w:sz w:val="18"/>
                <w:szCs w:val="18"/>
                <w:color w:val="auto"/>
                <w:w w:val="99"/>
              </w:rPr>
              <w:t>Series A Preferred Stock, par value of $0.001 per share; 0 and 68,181,819 shares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authorized, issued and outstanding at December 31, 2019 and 2018, 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71,000</w:t>
            </w:r>
          </w:p>
        </w:tc>
      </w:tr>
      <w:tr>
        <w:trPr>
          <w:trHeight w:val="202"/>
        </w:trPr>
        <w:tc>
          <w:tcPr>
            <w:tcW w:w="6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Series B Preferred Stock, par value $0.001 per share; 0 and 56,828,852 shares authorized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at December 31, 2019 and 2018, respectively, 0 and 56,828,851 shares issued and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December 31, 2019 and 2018,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91,223</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redeemable preferred stock</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162,223</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3"/>
        </w:trPr>
        <w:tc>
          <w:tcPr>
            <w:tcW w:w="6660" w:type="dxa"/>
            <w:vAlign w:val="bottom"/>
          </w:tcPr>
          <w:p>
            <w:pPr>
              <w:ind w:left="120"/>
              <w:spacing w:after="0"/>
              <w:rPr>
                <w:sz w:val="20"/>
                <w:szCs w:val="20"/>
                <w:color w:val="auto"/>
              </w:rPr>
            </w:pPr>
            <w:r>
              <w:rPr>
                <w:rFonts w:ascii="Arial" w:cs="Arial" w:eastAsia="Arial" w:hAnsi="Arial"/>
                <w:sz w:val="16"/>
                <w:szCs w:val="16"/>
                <w:color w:val="auto"/>
                <w:w w:val="91"/>
              </w:rPr>
              <w:t>Preferred stock, par value of $0.001 per share; 10,000,000 and 0 shares authorized at 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9"/>
        </w:trPr>
        <w:tc>
          <w:tcPr>
            <w:tcW w:w="6660" w:type="dxa"/>
            <w:vAlign w:val="bottom"/>
          </w:tcPr>
          <w:p>
            <w:pPr>
              <w:ind w:left="120"/>
              <w:spacing w:after="0"/>
              <w:rPr>
                <w:sz w:val="20"/>
                <w:szCs w:val="20"/>
                <w:color w:val="auto"/>
              </w:rPr>
            </w:pPr>
            <w:r>
              <w:rPr>
                <w:rFonts w:ascii="Arial" w:cs="Arial" w:eastAsia="Arial" w:hAnsi="Arial"/>
                <w:sz w:val="16"/>
                <w:szCs w:val="16"/>
                <w:color w:val="auto"/>
                <w:w w:val="95"/>
              </w:rPr>
              <w:t>2019 and 2018. No shares issued and outstanding at December 31, 2019 and 2018, respectively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Common stock, par value of $0.001 per share; 100,000,000 and 158,745,671 shares authorized at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2"/>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2019 and 2018, respectively, 27,499,260 and 1,374,812 shares issued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at December 31, 2019 and 2018,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402,529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(81,034)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(47,297)</w:t>
            </w:r>
          </w:p>
        </w:tc>
      </w:tr>
      <w:tr>
        <w:trPr>
          <w:trHeight w:val="196"/>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 (deficit)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321,484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(46,944)</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Total liabilities, preferred stock and stockholders’ equity (deficit)</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147,628</w:t>
            </w: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w:t>
      </w:r>
    </w:p>
    <w:p>
      <w:pPr>
        <w:ind w:left="7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40" w:type="dxa"/>
            <w:vAlign w:val="bottom"/>
          </w:tcPr>
          <w:p>
            <w:pPr>
              <w:ind w:left="120"/>
              <w:spacing w:after="0"/>
              <w:rPr>
                <w:sz w:val="20"/>
                <w:szCs w:val="20"/>
                <w:color w:val="auto"/>
              </w:rPr>
            </w:pPr>
            <w:r>
              <w:rPr>
                <w:rFonts w:ascii="Arial" w:cs="Arial" w:eastAsia="Arial" w:hAnsi="Arial"/>
                <w:sz w:val="18"/>
                <w:szCs w:val="18"/>
                <w:color w:val="auto"/>
              </w:rPr>
              <w:t>Revenue from research and development arrangement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6,347</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16"/>
        </w:trPr>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7"/>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per common share — basic and diluted</w:t>
            </w: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7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Weighted average number of common shares — basic and diluted</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15,695,461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1,369,846</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2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(33,737)</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(22,799)</w:t>
            </w:r>
          </w:p>
        </w:tc>
        <w:tc>
          <w:tcPr>
            <w:tcW w:w="40" w:type="dxa"/>
            <w:vAlign w:val="bottom"/>
          </w:tcPr>
          <w:p>
            <w:pPr>
              <w:spacing w:after="0"/>
              <w:rPr>
                <w:sz w:val="19"/>
                <w:szCs w:val="19"/>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Preferred Stock</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w w:val="93"/>
              </w:rPr>
              <w:t>Stockholders’ Equity (Deficit)</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gridSpan w:val="4"/>
          </w:tcPr>
          <w:p>
            <w:pPr>
              <w:ind w:left="460"/>
              <w:spacing w:after="0" w:line="135" w:lineRule="exact"/>
              <w:rPr>
                <w:sz w:val="20"/>
                <w:szCs w:val="20"/>
                <w:color w:val="auto"/>
              </w:rPr>
            </w:pPr>
            <w:r>
              <w:rPr>
                <w:rFonts w:ascii="Arial" w:cs="Arial" w:eastAsia="Arial" w:hAnsi="Arial"/>
                <w:sz w:val="13"/>
                <w:szCs w:val="13"/>
                <w:b w:val="1"/>
                <w:bCs w:val="1"/>
                <w:color w:val="auto"/>
              </w:rPr>
              <w:t>Series A</w:t>
            </w:r>
          </w:p>
        </w:tc>
        <w:tc>
          <w:tcPr>
            <w:tcW w:w="1420" w:type="dxa"/>
            <w:vAlign w:val="bottom"/>
            <w:gridSpan w:val="3"/>
          </w:tcPr>
          <w:p>
            <w:pPr>
              <w:jc w:val="right"/>
              <w:ind w:right="437"/>
              <w:spacing w:after="0" w:line="135" w:lineRule="exact"/>
              <w:rPr>
                <w:sz w:val="20"/>
                <w:szCs w:val="20"/>
                <w:color w:val="auto"/>
              </w:rPr>
            </w:pPr>
            <w:r>
              <w:rPr>
                <w:rFonts w:ascii="Arial" w:cs="Arial" w:eastAsia="Arial" w:hAnsi="Arial"/>
                <w:sz w:val="13"/>
                <w:szCs w:val="13"/>
                <w:b w:val="1"/>
                <w:bCs w:val="1"/>
                <w:color w:val="auto"/>
              </w:rPr>
              <w:t>Series B</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spacing w:after="0" w:line="104"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ind w:right="58"/>
              <w:spacing w:after="0" w:line="104"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85"/>
              </w:rPr>
              <w:t>Loss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660" w:type="dxa"/>
            <w:vAlign w:val="bottom"/>
          </w:tcPr>
          <w:p>
            <w:pPr>
              <w:jc w:val="center"/>
              <w:ind w:right="3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0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w:t>
            </w:r>
          </w:p>
        </w:tc>
        <w:tc>
          <w:tcPr>
            <w:tcW w:w="6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40,000,000</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1,369,212</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(24,412)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tcPr>
          <w:p>
            <w:pPr>
              <w:ind w:left="100"/>
              <w:spacing w:after="0" w:line="121" w:lineRule="exact"/>
              <w:rPr>
                <w:sz w:val="20"/>
                <w:szCs w:val="20"/>
                <w:color w:val="auto"/>
              </w:rPr>
            </w:pPr>
            <w:r>
              <w:rPr>
                <w:rFonts w:ascii="Arial" w:cs="Arial" w:eastAsia="Arial" w:hAnsi="Arial"/>
                <w:sz w:val="13"/>
                <w:szCs w:val="13"/>
                <w:color w:val="auto"/>
              </w:rPr>
              <w:t>Stock-based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common</w:t>
            </w:r>
          </w:p>
        </w:tc>
        <w:tc>
          <w:tcPr>
            <w:tcW w:w="6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tcPr>
          <w:p>
            <w:pPr>
              <w:ind w:left="100"/>
              <w:spacing w:after="0" w:line="121" w:lineRule="exact"/>
              <w:rPr>
                <w:sz w:val="20"/>
                <w:szCs w:val="20"/>
                <w:color w:val="auto"/>
              </w:rPr>
            </w:pPr>
            <w:r>
              <w:rPr>
                <w:rFonts w:ascii="Arial" w:cs="Arial" w:eastAsia="Arial" w:hAnsi="Arial"/>
                <w:sz w:val="13"/>
                <w:szCs w:val="13"/>
                <w:color w:val="auto"/>
                <w:w w:val="97"/>
              </w:rPr>
              <w:t>Issuance of Series A-3</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net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issuance costs of $0</w:t>
            </w:r>
          </w:p>
        </w:tc>
        <w:tc>
          <w:tcPr>
            <w:tcW w:w="660" w:type="dxa"/>
            <w:vAlign w:val="bottom"/>
          </w:tcPr>
          <w:p>
            <w:pPr>
              <w:jc w:val="right"/>
              <w:spacing w:after="0"/>
              <w:rPr>
                <w:sz w:val="20"/>
                <w:szCs w:val="20"/>
                <w:color w:val="auto"/>
              </w:rPr>
            </w:pPr>
            <w:r>
              <w:rPr>
                <w:rFonts w:ascii="Arial" w:cs="Arial" w:eastAsia="Arial" w:hAnsi="Arial"/>
                <w:sz w:val="13"/>
                <w:szCs w:val="13"/>
                <w:color w:val="auto"/>
                <w:w w:val="92"/>
              </w:rPr>
              <w:t>28,181,819</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31,000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Series B</w:t>
            </w:r>
          </w:p>
        </w:tc>
        <w:tc>
          <w:tcPr>
            <w:tcW w:w="6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preferred stock, net of</w:t>
            </w:r>
          </w:p>
        </w:tc>
        <w:tc>
          <w:tcPr>
            <w:tcW w:w="6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6"/>
              </w:rPr>
              <w:t>issuance costs of $485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56,828,851</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91,223</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(22,799)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(22,799)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0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w:t>
            </w:r>
          </w:p>
        </w:tc>
        <w:tc>
          <w:tcPr>
            <w:tcW w:w="6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68,181,819</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56,828,851</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91,223</w:t>
            </w:r>
          </w:p>
        </w:tc>
        <w:tc>
          <w:tcPr>
            <w:tcW w:w="8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1,374,812</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(46,944)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00" w:type="dxa"/>
            <w:vAlign w:val="bottom"/>
          </w:tcPr>
          <w:p>
            <w:pPr>
              <w:ind w:left="100"/>
              <w:spacing w:after="0" w:line="101" w:lineRule="exact"/>
              <w:rPr>
                <w:sz w:val="20"/>
                <w:szCs w:val="20"/>
                <w:color w:val="auto"/>
              </w:rPr>
            </w:pPr>
            <w:r>
              <w:rPr>
                <w:rFonts w:ascii="Arial" w:cs="Arial" w:eastAsia="Arial" w:hAnsi="Arial"/>
                <w:sz w:val="10"/>
                <w:szCs w:val="10"/>
                <w:color w:val="auto"/>
              </w:rPr>
              <w:t>Stock-based</w:t>
            </w: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common</w:t>
            </w:r>
          </w:p>
        </w:tc>
        <w:tc>
          <w:tcPr>
            <w:tcW w:w="6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125,109</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tcPr>
          <w:p>
            <w:pPr>
              <w:ind w:left="100"/>
              <w:spacing w:after="0" w:line="121" w:lineRule="exact"/>
              <w:rPr>
                <w:sz w:val="20"/>
                <w:szCs w:val="20"/>
                <w:color w:val="auto"/>
              </w:rPr>
            </w:pPr>
            <w:r>
              <w:rPr>
                <w:rFonts w:ascii="Arial" w:cs="Arial" w:eastAsia="Arial" w:hAnsi="Arial"/>
                <w:sz w:val="13"/>
                <w:szCs w:val="13"/>
                <w:color w:val="auto"/>
              </w:rPr>
              <w:t>Public offerings of</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common stock, net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issuance costs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$20.7M</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w w:val="92"/>
              </w:rPr>
              <w:t>10,438,770</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6"/>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237,965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237,975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Conversion of</w:t>
            </w:r>
          </w:p>
        </w:tc>
        <w:tc>
          <w:tcPr>
            <w:tcW w:w="6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preferred stock to</w:t>
            </w:r>
          </w:p>
        </w:tc>
        <w:tc>
          <w:tcPr>
            <w:tcW w:w="6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(68,181,819)</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(56,828,851)</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(91,223)</w:t>
            </w:r>
          </w:p>
        </w:tc>
        <w:tc>
          <w:tcPr>
            <w:tcW w:w="8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15,560,569</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162,207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162,223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0" w:type="dxa"/>
            <w:vAlign w:val="bottom"/>
          </w:tcPr>
          <w:p>
            <w:pPr>
              <w:ind w:left="100"/>
              <w:spacing w:after="0" w:line="121" w:lineRule="exact"/>
              <w:rPr>
                <w:sz w:val="20"/>
                <w:szCs w:val="20"/>
                <w:color w:val="auto"/>
              </w:rPr>
            </w:pPr>
            <w:r>
              <w:rPr>
                <w:rFonts w:ascii="Arial" w:cs="Arial" w:eastAsia="Arial" w:hAnsi="Arial"/>
                <w:sz w:val="13"/>
                <w:szCs w:val="13"/>
                <w:color w:val="auto"/>
              </w:rPr>
              <w:t>Unrealized loss on</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marketable securities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(33,737)</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(33,737)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00" w:type="dxa"/>
            <w:vAlign w:val="bottom"/>
          </w:tcPr>
          <w:p>
            <w:pPr>
              <w:spacing w:after="0" w:line="101" w:lineRule="exact"/>
              <w:rPr>
                <w:sz w:val="20"/>
                <w:szCs w:val="20"/>
                <w:color w:val="auto"/>
              </w:rPr>
            </w:pPr>
            <w:r>
              <w:rPr>
                <w:rFonts w:ascii="Arial" w:cs="Arial" w:eastAsia="Arial" w:hAnsi="Arial"/>
                <w:sz w:val="10"/>
                <w:szCs w:val="10"/>
                <w:color w:val="auto"/>
              </w:rPr>
              <w:t>Balance as of</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8"/>
                <w:szCs w:val="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w w:val="92"/>
              </w:rPr>
              <w:t>27,499,260</w:t>
            </w:r>
          </w:p>
        </w:tc>
        <w:tc>
          <w:tcPr>
            <w:tcW w:w="500" w:type="dxa"/>
            <w:vAlign w:val="bottom"/>
            <w:gridSpan w:val="2"/>
            <w:vMerge w:val="restart"/>
          </w:tcPr>
          <w:p>
            <w:pPr>
              <w:ind w:left="1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6"/>
              </w:rPr>
              <w:t>27</w:t>
            </w:r>
          </w:p>
        </w:tc>
        <w:tc>
          <w:tcPr>
            <w:tcW w:w="220" w:type="dxa"/>
            <w:vAlign w:val="bottom"/>
            <w:gridSpan w:val="2"/>
            <w:vMerge w:val="restart"/>
          </w:tcPr>
          <w:p>
            <w:pPr>
              <w:ind w:left="140"/>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402,529</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28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(81,034)</w:t>
            </w:r>
          </w:p>
        </w:tc>
        <w:tc>
          <w:tcPr>
            <w:tcW w:w="140" w:type="dxa"/>
            <w:vAlign w:val="bottom"/>
          </w:tcPr>
          <w:p>
            <w:pPr>
              <w:spacing w:after="0"/>
              <w:rPr>
                <w:sz w:val="8"/>
                <w:szCs w:val="8"/>
                <w:color w:val="auto"/>
              </w:rPr>
            </w:pPr>
          </w:p>
        </w:tc>
        <w:tc>
          <w:tcPr>
            <w:tcW w:w="120" w:type="dxa"/>
            <w:vAlign w:val="bottom"/>
            <w:vMerge w:val="restart"/>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321,484</w:t>
            </w:r>
          </w:p>
        </w:tc>
        <w:tc>
          <w:tcPr>
            <w:tcW w:w="0" w:type="dxa"/>
            <w:vAlign w:val="bottom"/>
          </w:tcPr>
          <w:p>
            <w:pPr>
              <w:spacing w:after="0"/>
              <w:rPr>
                <w:sz w:val="1"/>
                <w:szCs w:val="1"/>
                <w:color w:val="auto"/>
              </w:rPr>
            </w:pPr>
          </w:p>
        </w:tc>
      </w:tr>
      <w:tr>
        <w:trPr>
          <w:trHeight w:val="136"/>
        </w:trPr>
        <w:tc>
          <w:tcPr>
            <w:tcW w:w="1420" w:type="dxa"/>
            <w:vAlign w:val="bottom"/>
            <w:gridSpan w:val="2"/>
          </w:tcPr>
          <w:p>
            <w:pPr>
              <w:spacing w:after="0" w:line="136" w:lineRule="exact"/>
              <w:rPr>
                <w:sz w:val="20"/>
                <w:szCs w:val="20"/>
                <w:color w:val="auto"/>
              </w:rPr>
            </w:pPr>
            <w:r>
              <w:rPr>
                <w:rFonts w:ascii="Arial" w:cs="Arial" w:eastAsia="Arial" w:hAnsi="Arial"/>
                <w:sz w:val="13"/>
                <w:szCs w:val="13"/>
                <w:color w:val="auto"/>
              </w:rPr>
              <w:t>December 31, 2019</w:t>
            </w:r>
          </w:p>
        </w:tc>
        <w:tc>
          <w:tcPr>
            <w:tcW w:w="6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0007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w:t>
      </w:r>
    </w:p>
    <w:p>
      <w:pPr>
        <w:ind w:left="74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(33,737)</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(22,799)</w:t>
            </w: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w:t>
            </w:r>
          </w:p>
        </w:tc>
      </w:tr>
      <w:tr>
        <w:trPr>
          <w:trHeight w:val="210"/>
        </w:trPr>
        <w:tc>
          <w:tcPr>
            <w:tcW w:w="6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7,992</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marketable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(300,552)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Proceeds from public offerings, net of issuance costs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238,384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preferred stock, net of issuance costs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122,223</w:t>
            </w: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Proceeds from other issuance of common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term loan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Deferred financing costs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the term loan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0"/>
        </w:trPr>
        <w:tc>
          <w:tcPr>
            <w:tcW w:w="6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243,043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121,417</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126,346</w:t>
            </w: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beginning of year</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r>
      <w:tr>
        <w:trPr>
          <w:trHeight w:val="21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 end of year</w:t>
            </w: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135,633</w:t>
            </w:r>
          </w:p>
        </w:tc>
      </w:tr>
      <w:tr>
        <w:trPr>
          <w:trHeight w:val="216"/>
        </w:trPr>
        <w:tc>
          <w:tcPr>
            <w:tcW w:w="6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606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6060" w:type="dxa"/>
            <w:vAlign w:val="bottom"/>
          </w:tcPr>
          <w:p>
            <w:pPr>
              <w:ind w:left="12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financing costs included in accrued liabilities</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10"/>
        </w:trPr>
        <w:tc>
          <w:tcPr>
            <w:tcW w:w="6060" w:type="dxa"/>
            <w:vAlign w:val="bottom"/>
          </w:tcPr>
          <w:p>
            <w:pPr>
              <w:ind w:left="120"/>
              <w:spacing w:after="0" w:line="203" w:lineRule="exact"/>
              <w:rPr>
                <w:sz w:val="20"/>
                <w:szCs w:val="20"/>
                <w:color w:val="auto"/>
              </w:rPr>
            </w:pPr>
            <w:r>
              <w:rPr>
                <w:rFonts w:ascii="Arial" w:cs="Arial" w:eastAsia="Arial" w:hAnsi="Arial"/>
                <w:sz w:val="18"/>
                <w:szCs w:val="18"/>
                <w:color w:val="auto"/>
              </w:rPr>
              <w:t>Conversion of convertible preferred stock into common stock</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162,223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59" w:firstLine="648"/>
        <w:spacing w:after="0" w:line="217" w:lineRule="exact"/>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class immunomedicines to treat cancer and other immune</w:t>
      </w:r>
      <w:r>
        <w:rPr>
          <w:rFonts w:ascii="MS PGothic" w:cs="MS PGothic" w:eastAsia="MS PGothic" w:hAnsi="MS PGothic"/>
          <w:sz w:val="18"/>
          <w:szCs w:val="18"/>
          <w:color w:val="auto"/>
        </w:rPr>
        <w:t>‑</w:t>
      </w:r>
      <w:r>
        <w:rPr>
          <w:rFonts w:ascii="Arial" w:cs="Arial" w:eastAsia="Arial" w:hAnsi="Arial"/>
          <w:sz w:val="18"/>
          <w:szCs w:val="18"/>
          <w:color w:val="auto"/>
        </w:rPr>
        <w:t>related diseases by restoring normal immune function. Through its proprietary Functional, Integrated, NextCure Discovery in Immuno</w:t>
      </w:r>
      <w:r>
        <w:rPr>
          <w:rFonts w:ascii="MS PGothic" w:cs="MS PGothic" w:eastAsia="MS PGothic" w:hAnsi="MS PGothic"/>
          <w:sz w:val="18"/>
          <w:szCs w:val="18"/>
          <w:color w:val="auto"/>
        </w:rPr>
        <w:t>‑</w:t>
      </w:r>
      <w:r>
        <w:rPr>
          <w:rFonts w:ascii="Arial" w:cs="Arial" w:eastAsia="Arial" w:hAnsi="Arial"/>
          <w:sz w:val="18"/>
          <w:szCs w:val="18"/>
          <w:color w:val="auto"/>
        </w:rPr>
        <w:t>Oncology (“FIND</w:t>
      </w:r>
      <w:r>
        <w:rPr>
          <w:rFonts w:ascii="MS PGothic" w:cs="MS PGothic" w:eastAsia="MS PGothic" w:hAnsi="MS PGothic"/>
          <w:sz w:val="18"/>
          <w:szCs w:val="18"/>
          <w:color w:val="auto"/>
        </w:rPr>
        <w:t>‑</w:t>
      </w:r>
      <w:r>
        <w:rPr>
          <w:rFonts w:ascii="Arial" w:cs="Arial" w:eastAsia="Arial" w:hAnsi="Arial"/>
          <w:sz w:val="18"/>
          <w:szCs w:val="18"/>
          <w:color w:val="auto"/>
        </w:rPr>
        <w:t>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w:t>
      </w:r>
      <w:r>
        <w:rPr>
          <w:rFonts w:ascii="MS PGothic" w:cs="MS PGothic" w:eastAsia="MS PGothic" w:hAnsi="MS PGothic"/>
          <w:sz w:val="18"/>
          <w:szCs w:val="18"/>
          <w:color w:val="auto"/>
        </w:rPr>
        <w:t>‑</w:t>
      </w:r>
      <w:r>
        <w:rPr>
          <w:rFonts w:ascii="Arial" w:cs="Arial" w:eastAsia="Arial" w:hAnsi="Arial"/>
          <w:sz w:val="18"/>
          <w:szCs w:val="18"/>
          <w:color w:val="auto"/>
        </w:rPr>
        <w:t>IO platform.</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Public Offerings of Common Stock</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On May 13, 2019, the Company closed its initial public offering (“IPO”), in which the Company issued and sold 5,750,000 shares of common stock at a public offering price of $15.00 per share, for net proceeds to the Company of approximately $76.9 million after deducting underwriting discounts and commissions of $6.0 million and offering expenses of approximately $3.4 million.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preparation for the IPO, on May 3, 2019, the Company effected a one-for-8.0338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5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Upon the closing of the IPO, on May 13, 2019, all of the outstanding shares of the Company’s convertible preferred stock automatically converted into 15,560,569 shares of common stock at the applicable conversion ratio then in effect. Subsequent to the closing of the IPO, there were no shares of preferred stock outstanding.</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8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On November 19, 2019, the Company completed an underwritten public offering, in which the Company issued and sold 4,077,192 shares of common stock at a public offering price of $36.75 per share. On December 2, 2019, the underwriters exercised in full their option to purchase an additional 611,578 shares of common stock at the public offering price of $36.75, for total net proceeds to the Company of approximately $160.9 million after deducting underwriting discounts and commissions of approximately $10.3 million and offering expenses of approximately $1.0 million.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Company has not generated any revenue to date from product sales and does not expect to generate any revenues from product sales in the foreseeable future. Through December 2019, the Company has funded its operations primarily with proceeds from public offerings of its common stock, private placements of its preferred stock and upfront fees received under the Company’s former agreement with Eli Lilly and Company (Note 7). The Company expects to incur additional operating losses and negative operating cash flows for the foreseeable future.</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Company expects that its operating losses and negative cash flows will continue for the foreseeable future. As of the issuance date of the financial statements for the year ended December 31, 2019, the Company expects that its cash and cash equivalents will be sufficient to fund its operating expenses and capital expenditure requirements through</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at least two years from the issuance date of the financial statements. The future viability of the Company beyond that date may depend on its ability to raise additional capital to finance its operations.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Company plans to seek additional funding through public or private equity offerings, debt financings, marketing and distribution arrangements, other collaborations, strategic alliances, licensing arrangements or other methods.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Although management continues to pursue these funding plans, there is no assurance that the Company will be successful in obtaining sufficient funding on terms acceptable to the Company, if at all, to fund continuing operations past two years from the issuance date of these financial statements.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left="40" w:right="59" w:firstLine="648"/>
        <w:spacing w:after="0" w:line="217" w:lineRule="exact"/>
        <w:rPr>
          <w:sz w:val="20"/>
          <w:szCs w:val="20"/>
          <w:color w:val="auto"/>
        </w:rPr>
      </w:pPr>
      <w:r>
        <w:rPr>
          <w:rFonts w:ascii="Arial" w:cs="Arial" w:eastAsia="Arial" w:hAnsi="Arial"/>
          <w:sz w:val="17"/>
          <w:szCs w:val="17"/>
          <w:color w:val="auto"/>
        </w:rPr>
        <w:t>The Company is subject to risks common to early</w:t>
      </w:r>
      <w:r>
        <w:rPr>
          <w:rFonts w:ascii="MS PGothic" w:cs="MS PGothic" w:eastAsia="MS PGothic" w:hAnsi="MS PGothic"/>
          <w:sz w:val="17"/>
          <w:szCs w:val="17"/>
          <w:color w:val="auto"/>
        </w:rPr>
        <w:t>‑</w:t>
      </w:r>
      <w:r>
        <w:rPr>
          <w:rFonts w:ascii="Arial" w:cs="Arial" w:eastAsia="Arial" w:hAnsi="Arial"/>
          <w:sz w:val="17"/>
          <w:szCs w:val="17"/>
          <w:color w:val="auto"/>
        </w:rPr>
        <w:t>stage companies in the biotechnology industry including, but not limited to: having a limited operating history and no products approved for commercial sale; having a history of significant losses; its need to obtain additional financing; dependence on its ability to advance its current and future product candidates through clinical trials, marketing approval and commercialization; the unproven approach to the discovery and development of product candidates based on the Company’s FIND</w:t>
      </w:r>
      <w:r>
        <w:rPr>
          <w:rFonts w:ascii="MS PGothic" w:cs="MS PGothic" w:eastAsia="MS PGothic" w:hAnsi="MS PGothic"/>
          <w:sz w:val="17"/>
          <w:szCs w:val="17"/>
          <w:color w:val="auto"/>
        </w:rPr>
        <w:t>‑</w:t>
      </w:r>
      <w:r>
        <w:rPr>
          <w:rFonts w:ascii="Arial" w:cs="Arial" w:eastAsia="Arial" w:hAnsi="Arial"/>
          <w:sz w:val="17"/>
          <w:szCs w:val="17"/>
          <w:color w:val="auto"/>
        </w:rPr>
        <w:t>IO platform; the lengthy and expensive nature and uncertain outcomes of the clinical development process; the lengthy, time</w:t>
      </w:r>
      <w:r>
        <w:rPr>
          <w:rFonts w:ascii="MS PGothic" w:cs="MS PGothic" w:eastAsia="MS PGothic" w:hAnsi="MS PGothic"/>
          <w:sz w:val="17"/>
          <w:szCs w:val="17"/>
          <w:color w:val="auto"/>
        </w:rPr>
        <w:t>‑</w:t>
      </w:r>
      <w:r>
        <w:rPr>
          <w:rFonts w:ascii="Arial" w:cs="Arial" w:eastAsia="Arial" w:hAnsi="Arial"/>
          <w:sz w:val="17"/>
          <w:szCs w:val="17"/>
          <w:color w:val="auto"/>
        </w:rPr>
        <w:t>consuming and unpredictable nature of the regulatory approval process; the results of preclinical studies and early</w:t>
      </w:r>
      <w:r>
        <w:rPr>
          <w:rFonts w:ascii="MS PGothic" w:cs="MS PGothic" w:eastAsia="MS PGothic" w:hAnsi="MS PGothic"/>
          <w:sz w:val="17"/>
          <w:szCs w:val="17"/>
          <w:color w:val="auto"/>
        </w:rPr>
        <w:t>‑</w:t>
      </w:r>
      <w:r>
        <w:rPr>
          <w:rFonts w:ascii="Arial" w:cs="Arial" w:eastAsia="Arial" w:hAnsi="Arial"/>
          <w:sz w:val="17"/>
          <w:szCs w:val="17"/>
          <w:color w:val="auto"/>
        </w:rPr>
        <w:t>stage clinical trials that may not be predictive of future results; dependence on its key personnel; its limited manufacturing experience as an organization and with its manufacturing facility; risks related to patent protection and the Company’s pending patent applications; dependence on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for the discovery, development and commercialization of current and future product candidates; and significant competition from other biotechnology and pharmaceutical companies. Pursuit of the Company’s business efforts will require significant amounts of additional capital, adequate personnel, infrastructure and extensive compliance</w:t>
      </w:r>
      <w:r>
        <w:rPr>
          <w:rFonts w:ascii="MS PGothic" w:cs="MS PGothic" w:eastAsia="MS PGothic" w:hAnsi="MS PGothic"/>
          <w:sz w:val="17"/>
          <w:szCs w:val="17"/>
          <w:color w:val="auto"/>
        </w:rPr>
        <w:t>‑</w:t>
      </w:r>
      <w:r>
        <w:rPr>
          <w:rFonts w:ascii="Arial" w:cs="Arial" w:eastAsia="Arial" w:hAnsi="Arial"/>
          <w:sz w:val="17"/>
          <w:szCs w:val="17"/>
          <w:color w:val="auto"/>
        </w:rPr>
        <w:t>reporting capabilities. Even if the Company’s development efforts are successful, it is uncertain when, if ever, the Company will realize significant revenue from product sales.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ind w:left="40" w:right="59" w:firstLine="648"/>
        <w:spacing w:after="0" w:line="220" w:lineRule="exact"/>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w:t>
      </w:r>
      <w:r>
        <w:rPr>
          <w:rFonts w:ascii="MS PGothic" w:cs="MS PGothic" w:eastAsia="MS PGothic" w:hAnsi="MS PGothic"/>
          <w:sz w:val="18"/>
          <w:szCs w:val="18"/>
          <w:color w:val="auto"/>
        </w:rPr>
        <w:t>‑</w:t>
      </w:r>
      <w:r>
        <w:rPr>
          <w:rFonts w:ascii="Arial" w:cs="Arial" w:eastAsia="Arial" w:hAnsi="Arial"/>
          <w:sz w:val="18"/>
          <w:szCs w:val="18"/>
          <w:color w:val="auto"/>
        </w:rPr>
        <w:t>making group, in deciding how to allocate resources and in assessing performance. The chief operating decision makers view the operations and manage the business in one operating segment that operates exclusively in the United States.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accompanying financial statements include the accounts of the Company. The Company’s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financial statements and accompanying notes. These estimates and assumptions affect the reported amounts of assets and liabilities, the disclosure of contingent assets and liabilities at the</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date of the financial statements and the reported amounts of revenues and expenses for the period presented. Although actual results could differ from those estimates, management does not believe that such differences would be material.</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The Company deposits its cash primarily in checking, sweep account and money market accounts. Cash equivalents are stated at amortized cost plus accrued interest, which approximates fair value.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At December 31, 2019 and 2018, the Company had restricted cash of $5.0 million and $460,000, respectively. The Company is required, as a condition of its Term Loan (Note 9), to maintain cash collateral on deposit in a segregated money market bank account equal to the principal portion outstanding under the Term Loan on a quarterly basis. The bank may restrict withdrawals or transfers by, or on behalf of, the Company. The required reserve totaled $5.0 million and $480,000 as of December 31, 2019 and December 31, 2018, respectively. The amounts are presented in part as restricted cash and in part as other assets on the accompanying balance sheets.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statement of cash flows:</w:t>
      </w:r>
    </w:p>
    <w:p>
      <w:pPr>
        <w:spacing w:after="0" w:line="175"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34,091</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0"/>
              </w:rPr>
              <w:t>Restricted cash (including $3,333 in other assets as of December 31, 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39,130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$ 135,633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Marketable securities primarily consist of government debt securities, corporate bonds and agency bonds. These marketable securities are classified as available-for-sale, and as such, are carried at fair value as determined by prices for identical or similar securities at the balance sheet date. Marketable securities consist of Level 2 financial instruments in the fair-value hierarchy. The Company’s policy is to classify all investments with contractual maturities within one year as current. Investment income is recognized when earned and reported net of investment expenses. Unrealized holding gains and losses are reported within accumulated other comprehensive income (loss) as a separate component of stockholders’ equity. The amortized cost of debt securities is adjusted for amortization of premiums and accretion of discounts to maturity. Such amortization and interest on securities are included in other income, net, on the Company’s statements of operations.</w:t>
      </w:r>
    </w:p>
    <w:p>
      <w:pPr>
        <w:spacing w:after="0" w:line="19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At each balance sheet date, the Company assesses available-for-sale securities in an unrealized loss position to determine whether the unrealized loss is other-than-temporary. If a decline in the fair value of a marketable security below the Company’s cost basis is determined to be other-than-temporary, such marketable security is written down to its estimated fair value as a new cost basis and the amount of the write-down is included in earnings as an impairment charge. The Company considers factors including the significance of the decline in value compared to the cost basis, underlying factors contributing to a decline in the prices of securities in a single asset class, the length of time the market value of the security has been less than its cost basis, the security's relative performance versus its peers, sector or asset class, expected market volatility and the market and economy in general. The Company also evaluates whether it is more likely than not that it will be required to sell a security prior to recovery of its fair value. The cost of securities sold is based on the specific identification method.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Financial instruments that potentially expose the Company to concentrations of credit risk primarily consist of cash and cash equivalents. The Company maintains its cash and cash equivalents at one accredited financial institution that is federally insured. While balances deposited often exceed federally insured limits, the Company does not believe that it is subject to unusual credit risk beyond the normal credit risk associated with commercial banking relationships.</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2" w:name="page103"/>
    <w:bookmarkEnd w:id="10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Company's investment policy limits investments to certain types of debt securities issued by the U.S. government, its agencies and institutions with investment-grade credit ratings and places restrictions on maturities and concentration by type and issuer. The counterparties are various corporations, financial institutions and government agencies of high credit standing.</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primarily consist of cash and cash equivalents. The Company maintains its cash and cash equivalents at one accredited financial institution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59" w:firstLine="648"/>
        <w:spacing w:after="0" w:line="217" w:lineRule="exact"/>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6"/>
          <w:szCs w:val="16"/>
          <w:color w:val="auto"/>
        </w:rPr>
        <w:t>‑</w:t>
      </w:r>
      <w:r>
        <w:rPr>
          <w:rFonts w:ascii="Arial" w:cs="Arial" w:eastAsia="Arial" w:hAnsi="Arial"/>
          <w:sz w:val="16"/>
          <w:szCs w:val="16"/>
          <w:color w:val="auto"/>
        </w:rPr>
        <w:t>tier value hierarchy that distinguishes between the following:</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 Use of these inputs involves significant and subjective judgments to be made by a reporting entity – e.g., determining an appropriate adjustment to a discount factor for illiquidity associated with a given security.</w:t>
      </w:r>
    </w:p>
    <w:p>
      <w:pPr>
        <w:spacing w:after="0" w:line="18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left="40" w:right="59" w:firstLine="648"/>
        <w:spacing w:after="0" w:line="219" w:lineRule="exact"/>
        <w:rPr>
          <w:sz w:val="20"/>
          <w:szCs w:val="20"/>
          <w:color w:val="auto"/>
        </w:rPr>
      </w:pPr>
      <w:r>
        <w:rPr>
          <w:rFonts w:ascii="Arial" w:cs="Arial" w:eastAsia="Arial" w:hAnsi="Arial"/>
          <w:sz w:val="18"/>
          <w:szCs w:val="18"/>
          <w:color w:val="auto"/>
        </w:rPr>
        <w:t>Property and equipment are valued at cost less accumulated depreciation. Depreciation is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estimated useful lives of the related assets. Leasehold improvements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shorter of the useful life or term of the lease. Upon retirement or disposal, the cost and related accumulated depreciation are removed from the balance sheet and the resulting gain or loss is recorded to general and administrative expenses in the accompanying statement of operations and comprehensive loss. Routine expenditures for maintenance and repairs are expensed as incurred.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useful lives for property and equipment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700" w:type="dxa"/>
            <w:vAlign w:val="bottom"/>
            <w:tcBorders>
              <w:bottom w:val="single" w:sz="8" w:color="CCEEFF"/>
            </w:tcBorders>
          </w:tcPr>
          <w:p>
            <w:pPr>
              <w:spacing w:after="0"/>
              <w:rPr>
                <w:sz w:val="14"/>
                <w:szCs w:val="14"/>
                <w:color w:val="auto"/>
              </w:rPr>
            </w:pPr>
          </w:p>
        </w:tc>
        <w:tc>
          <w:tcPr>
            <w:tcW w:w="342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b w:val="1"/>
                <w:bCs w:val="1"/>
                <w:color w:val="auto"/>
              </w:rPr>
              <w:t>Estimated Useful Life</w:t>
            </w: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peripherals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Equipment</w:t>
            </w:r>
          </w:p>
        </w:tc>
        <w:tc>
          <w:tcPr>
            <w:tcW w:w="34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02"/>
        </w:trPr>
        <w:tc>
          <w:tcPr>
            <w:tcW w:w="3700" w:type="dxa"/>
            <w:vAlign w:val="bottom"/>
          </w:tcPr>
          <w:p>
            <w:pPr>
              <w:spacing w:after="0"/>
              <w:rPr>
                <w:sz w:val="17"/>
                <w:szCs w:val="17"/>
                <w:color w:val="auto"/>
              </w:rPr>
            </w:pPr>
          </w:p>
        </w:tc>
        <w:tc>
          <w:tcPr>
            <w:tcW w:w="3420" w:type="dxa"/>
            <w:vAlign w:val="bottom"/>
          </w:tcPr>
          <w:p>
            <w:pPr>
              <w:jc w:val="right"/>
              <w:spacing w:after="0" w:line="201" w:lineRule="exact"/>
              <w:rPr>
                <w:sz w:val="20"/>
                <w:szCs w:val="20"/>
                <w:color w:val="auto"/>
              </w:rPr>
            </w:pPr>
            <w:r>
              <w:rPr>
                <w:rFonts w:ascii="Arial" w:cs="Arial" w:eastAsia="Arial" w:hAnsi="Arial"/>
                <w:sz w:val="18"/>
                <w:szCs w:val="18"/>
                <w:color w:val="auto"/>
                <w:w w:val="97"/>
              </w:rPr>
              <w:t>Lesser of estimated useful life or remaining</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lease term</w:t>
            </w:r>
          </w:p>
        </w:tc>
      </w:tr>
    </w:tbl>
    <w:p>
      <w:pPr>
        <w:spacing w:after="0" w:line="202" w:lineRule="exact"/>
        <w:rPr>
          <w:sz w:val="20"/>
          <w:szCs w:val="20"/>
          <w:color w:val="auto"/>
        </w:rPr>
      </w:pPr>
    </w:p>
    <w:p>
      <w:pPr>
        <w:ind w:left="40" w:right="59" w:firstLine="648"/>
        <w:spacing w:after="0" w:line="224" w:lineRule="exact"/>
        <w:rPr>
          <w:sz w:val="20"/>
          <w:szCs w:val="20"/>
          <w:color w:val="auto"/>
        </w:rPr>
      </w:pPr>
      <w:r>
        <w:rPr>
          <w:rFonts w:ascii="Arial" w:cs="Arial" w:eastAsia="Arial" w:hAnsi="Arial"/>
          <w:sz w:val="16"/>
          <w:szCs w:val="16"/>
          <w:color w:val="auto"/>
        </w:rPr>
        <w:t>The Company reviews long</w:t>
      </w:r>
      <w:r>
        <w:rPr>
          <w:rFonts w:ascii="MS PGothic" w:cs="MS PGothic" w:eastAsia="MS PGothic" w:hAnsi="MS PGothic"/>
          <w:sz w:val="16"/>
          <w:szCs w:val="16"/>
          <w:color w:val="auto"/>
        </w:rPr>
        <w:t>‑</w:t>
      </w:r>
      <w:r>
        <w:rPr>
          <w:rFonts w:ascii="Arial" w:cs="Arial" w:eastAsia="Arial" w:hAnsi="Arial"/>
          <w:sz w:val="16"/>
          <w:szCs w:val="16"/>
          <w:color w:val="auto"/>
        </w:rPr>
        <w:t>lived assets, which primarily consist of property and equipment, for impairment whenever events or changes in circumstances indicate that the carrying amount of an asset or group of assets may not be</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7"/>
          <w:szCs w:val="17"/>
          <w:color w:val="auto"/>
        </w:rPr>
        <w:t>fully recoverable based on the criteria for accounting for the impairment or disposal of long</w:t>
      </w:r>
      <w:r>
        <w:rPr>
          <w:rFonts w:ascii="MS PGothic" w:cs="MS PGothic" w:eastAsia="MS PGothic" w:hAnsi="MS PGothic"/>
          <w:sz w:val="17"/>
          <w:szCs w:val="17"/>
          <w:color w:val="auto"/>
        </w:rPr>
        <w:t>‑</w:t>
      </w:r>
      <w:r>
        <w:rPr>
          <w:rFonts w:ascii="Arial" w:cs="Arial" w:eastAsia="Arial" w:hAnsi="Arial"/>
          <w:sz w:val="17"/>
          <w:szCs w:val="17"/>
          <w:color w:val="auto"/>
        </w:rPr>
        <w:t>lived assets under ASC Topic 360, Property, Plant and Equipment. These events or changes in circumstances may include a significant deterioration of operating results, changes in business plans, or changes in anticipated future cash flows. If an impairment indicator is present, the Company evaluates recoverability by comparing the carrying amount of the assets group to future undiscounted net cash flows expected to be generated by the assets group. Assets are grouped at the lowest level for which there is identifiable cash flows that are largely independent of the cash flows generated by other asset groups. If the total of the expected undiscounted future cash flows is less than the carrying amount of the asset, an impairment loss is recognized for the difference between the fair value and carrying value of assets within the group. Fair value is generally determined by estimates of discounted cash flows. The discount rate used in any estimate of discounted cash flows would be the rate required for a similar investment of like risk. No impairment losses were recognized during the years ended December 31, 2019 or 2018.</w:t>
      </w:r>
    </w:p>
    <w:p>
      <w:pPr>
        <w:spacing w:after="0" w:line="20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Construction in progress (Note 5) is carried at cost and consists of specifically identifiable direct and indirect development and construction costs. While under construction, costs of the property are included in construction in progress until the property is placed in service, at which time costs are transferred to the appropriate property and equipment account including, but not limited to, leasehold improvements or other such accounts.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Company enters into lease agreements for its office and laboratory facilities and accounts for them in accordance with ASC Topic 840, Leases.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Company’s preferred stock is classified outside of stockholders’ deficit for the period during which it was outstanding because the shares carried deemed liquidation rights that were a contingent redemption feature not solely within the control of the Company.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Costs, Including Clinical Trial Accruals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clinical research organizations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the Company analyzes progress of the studies, including the phase or completion of events, invoices received and contracted costs.</w:t>
      </w:r>
    </w:p>
    <w:p>
      <w:pPr>
        <w:spacing w:after="0" w:line="17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a prepaid asset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the Company analyzes progress of the studies, including the phase or completion of events, invoices received and contracted costs. Significant judgments and estimates may be made in determining the accrued balances at the end of any reporting period. Actual results could</w:t>
      </w:r>
    </w:p>
    <w:p>
      <w:pPr>
        <w:sectPr>
          <w:pgSz w:w="11900" w:h="16838" w:orient="portrait"/>
          <w:cols w:equalWidth="0" w:num="1">
            <w:col w:w="9019"/>
          </w:cols>
          <w:pgMar w:left="1440" w:top="125"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differ from the estimates made. The historical clinical accrual estimates have not been materially different from the actual costs.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jc w:val="both"/>
        <w:ind w:left="40" w:right="59" w:firstLine="648"/>
        <w:spacing w:after="0" w:line="221" w:lineRule="exact"/>
        <w:rPr>
          <w:sz w:val="20"/>
          <w:szCs w:val="20"/>
          <w:color w:val="auto"/>
        </w:rPr>
      </w:pPr>
      <w:r>
        <w:rPr>
          <w:rFonts w:ascii="Arial" w:cs="Arial" w:eastAsia="Arial" w:hAnsi="Arial"/>
          <w:sz w:val="17"/>
          <w:szCs w:val="17"/>
          <w:color w:val="auto"/>
        </w:rPr>
        <w:t>All patent</w:t>
      </w:r>
      <w:r>
        <w:rPr>
          <w:rFonts w:ascii="MS PGothic" w:cs="MS PGothic" w:eastAsia="MS PGothic" w:hAnsi="MS PGothic"/>
          <w:sz w:val="17"/>
          <w:szCs w:val="17"/>
          <w:color w:val="auto"/>
        </w:rPr>
        <w:t>‑</w:t>
      </w:r>
      <w:r>
        <w:rPr>
          <w:rFonts w:ascii="Arial" w:cs="Arial" w:eastAsia="Arial" w:hAnsi="Arial"/>
          <w:sz w:val="17"/>
          <w:szCs w:val="17"/>
          <w:color w:val="auto"/>
        </w:rPr>
        <w:t>related costs incurred in connection with filing and prosecuting patent applications are expensed as incurred due to the uncertainty about the recovery of the expenditure. Amounts incurred are classified as general and administrative expenses in the accompanying statement of operations and comprehensive loss.</w:t>
      </w:r>
    </w:p>
    <w:p>
      <w:pPr>
        <w:spacing w:after="0" w:line="20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6"/>
          <w:szCs w:val="16"/>
          <w:color w:val="auto"/>
        </w:rPr>
        <w:t>The Company accounts for its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compensation in accordance with ASC Topic 718, </w:t>
      </w:r>
      <w:r>
        <w:rPr>
          <w:rFonts w:ascii="Arial" w:cs="Arial" w:eastAsia="Arial" w:hAnsi="Arial"/>
          <w:sz w:val="16"/>
          <w:szCs w:val="16"/>
          <w:i w:val="1"/>
          <w:iCs w:val="1"/>
          <w:color w:val="auto"/>
        </w:rPr>
        <w:t>Compensation</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718”). ASC 718 requires all share</w:t>
      </w:r>
      <w:r>
        <w:rPr>
          <w:rFonts w:ascii="MS PGothic" w:cs="MS PGothic" w:eastAsia="MS PGothic" w:hAnsi="MS PGothic"/>
          <w:sz w:val="16"/>
          <w:szCs w:val="16"/>
          <w:color w:val="auto"/>
        </w:rPr>
        <w:t>‑</w:t>
      </w:r>
      <w:r>
        <w:rPr>
          <w:rFonts w:ascii="Arial" w:cs="Arial" w:eastAsia="Arial" w:hAnsi="Arial"/>
          <w:sz w:val="16"/>
          <w:szCs w:val="16"/>
          <w:color w:val="auto"/>
        </w:rPr>
        <w:t>based payments to employees, consultants and directors,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grants of incentive stock options, nonqualified stock options, restricted stock awards, unrestricted stock awards or restricted stock units to employees, consultants and directors of the Company, to be recognized as expense in the statement of operations and comprehensive loss based on their grant date fair values. The Company estimates the fair value of options granted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(“Black</w:t>
      </w:r>
      <w:r>
        <w:rPr>
          <w:rFonts w:ascii="MS PGothic" w:cs="MS PGothic" w:eastAsia="MS PGothic" w:hAnsi="MS PGothic"/>
          <w:sz w:val="16"/>
          <w:szCs w:val="16"/>
          <w:color w:val="auto"/>
        </w:rPr>
        <w:t>‑</w:t>
      </w:r>
      <w:r>
        <w:rPr>
          <w:rFonts w:ascii="Arial" w:cs="Arial" w:eastAsia="Arial" w:hAnsi="Arial"/>
          <w:sz w:val="16"/>
          <w:szCs w:val="16"/>
          <w:color w:val="auto"/>
        </w:rPr>
        <w:t>Scholes”) for stock option grants to both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and the fair value of common stock to determine the fair value of restricted stock.</w:t>
      </w:r>
    </w:p>
    <w:p>
      <w:pPr>
        <w:spacing w:after="0" w:line="204" w:lineRule="exact"/>
        <w:rPr>
          <w:sz w:val="20"/>
          <w:szCs w:val="20"/>
          <w:color w:val="auto"/>
        </w:rPr>
      </w:pPr>
    </w:p>
    <w:p>
      <w:pPr>
        <w:jc w:val="both"/>
        <w:ind w:left="40" w:right="59" w:firstLine="648"/>
        <w:spacing w:after="0" w:line="217" w:lineRule="exact"/>
        <w:rPr>
          <w:sz w:val="20"/>
          <w:szCs w:val="20"/>
          <w:color w:val="auto"/>
        </w:rPr>
      </w:pPr>
      <w:r>
        <w:rPr>
          <w:rFonts w:ascii="Arial" w:cs="Arial" w:eastAsia="Arial" w:hAnsi="Arial"/>
          <w:sz w:val="16"/>
          <w:szCs w:val="16"/>
          <w:color w:val="auto"/>
        </w:rPr>
        <w:t>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requires inputs based on certain subjective assumptions, including (i) the expected stock price volatility, (ii) the expected term of the award, (iii)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and (iv) expected dividends. Due to the lack of a public market for the Company’s common stock and lack of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Share</w:t>
      </w:r>
      <w:r>
        <w:rPr>
          <w:rFonts w:ascii="MS PGothic" w:cs="MS PGothic" w:eastAsia="MS PGothic" w:hAnsi="MS PGothic"/>
          <w:sz w:val="16"/>
          <w:szCs w:val="16"/>
          <w:color w:val="auto"/>
        </w:rPr>
        <w:t>‑</w:t>
      </w:r>
      <w:r>
        <w:rPr>
          <w:rFonts w:ascii="Arial" w:cs="Arial" w:eastAsia="Arial" w:hAnsi="Arial"/>
          <w:sz w:val="16"/>
          <w:szCs w:val="16"/>
          <w:color w:val="auto"/>
        </w:rPr>
        <w:t>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w:t>
      </w:r>
      <w:r>
        <w:rPr>
          <w:rFonts w:ascii="MS PGothic" w:cs="MS PGothic" w:eastAsia="MS PGothic" w:hAnsi="MS PGothic"/>
          <w:sz w:val="16"/>
          <w:szCs w:val="16"/>
          <w:color w:val="auto"/>
        </w:rPr>
        <w:t>‑</w:t>
      </w:r>
      <w:r>
        <w:rPr>
          <w:rFonts w:ascii="Arial" w:cs="Arial" w:eastAsia="Arial" w:hAnsi="Arial"/>
          <w:sz w:val="16"/>
          <w:szCs w:val="16"/>
          <w:color w:val="auto"/>
        </w:rPr>
        <w:t>vesting termination behavior among its employee population. For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utilizes the simplified method also as the basis for the expected term assumption.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a treasury instrument whose term is consistent with the expected term of the stock options. The expected dividend yield is assumed to be zero because the Company has never paid dividends and has no current plans to pay any dividends on its common stock. The Company recognizes forfeitures as they occur as allowed by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Payment Accounting </w:t>
      </w:r>
      <w:r>
        <w:rPr>
          <w:rFonts w:ascii="Arial" w:cs="Arial" w:eastAsia="Arial" w:hAnsi="Arial"/>
          <w:sz w:val="16"/>
          <w:szCs w:val="16"/>
          <w:color w:val="auto"/>
        </w:rPr>
        <w:t>(“ASU 2016</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13"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stock, the superior rights and preferences of securities senior to its common stock at the time of a liquidity event, such as the IPO or a sale, and the likelihood of such an event.</w:t>
      </w:r>
    </w:p>
    <w:p>
      <w:pPr>
        <w:spacing w:after="0" w:line="188" w:lineRule="exact"/>
        <w:rPr>
          <w:sz w:val="20"/>
          <w:szCs w:val="20"/>
          <w:color w:val="auto"/>
        </w:rPr>
      </w:pPr>
    </w:p>
    <w:p>
      <w:pPr>
        <w:jc w:val="both"/>
        <w:ind w:left="40" w:right="59" w:firstLine="648"/>
        <w:spacing w:after="0" w:line="223" w:lineRule="exact"/>
        <w:rPr>
          <w:sz w:val="20"/>
          <w:szCs w:val="20"/>
          <w:color w:val="auto"/>
        </w:rPr>
      </w:pPr>
      <w:r>
        <w:rPr>
          <w:rFonts w:ascii="Arial" w:cs="Arial" w:eastAsia="Arial" w:hAnsi="Arial"/>
          <w:sz w:val="18"/>
          <w:szCs w:val="18"/>
          <w:color w:val="auto"/>
        </w:rPr>
        <w:t>The Company expenses the fair value of its share</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requisite service period, which is generally the vesting period.</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40" w:right="59" w:firstLine="648"/>
        <w:spacing w:after="0" w:line="217" w:lineRule="exact"/>
        <w:rPr>
          <w:sz w:val="20"/>
          <w:szCs w:val="20"/>
          <w:color w:val="auto"/>
        </w:rPr>
      </w:pPr>
      <w:r>
        <w:rPr>
          <w:rFonts w:ascii="Arial" w:cs="Arial" w:eastAsia="Arial" w:hAnsi="Arial"/>
          <w:sz w:val="16"/>
          <w:szCs w:val="16"/>
          <w:color w:val="auto"/>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and liabilities, which relate primarily to the carrying amount of the Company’s deferred revenue and its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the Company concludes that it is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that the deferred tax assets will not be realized. In evaluating its ability to recover deferred tax assets, the Company considers all available</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positive and negative evidence, including its operating results, ongoing tax planning and forecasts of future taxable income on a jurisdiction</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jurisdiction basis. Because of the uncertainty of the realization of deferred tax assets, the Company has recorded a full valuation allowance against its deferred tax assets.</w:t>
      </w:r>
    </w:p>
    <w:p>
      <w:pPr>
        <w:spacing w:after="0" w:line="204" w:lineRule="exact"/>
        <w:rPr>
          <w:sz w:val="20"/>
          <w:szCs w:val="20"/>
          <w:color w:val="auto"/>
        </w:rPr>
      </w:pPr>
    </w:p>
    <w:p>
      <w:pPr>
        <w:jc w:val="both"/>
        <w:ind w:left="40" w:right="59" w:firstLine="648"/>
        <w:spacing w:after="0" w:line="219" w:lineRule="exact"/>
        <w:rPr>
          <w:sz w:val="20"/>
          <w:szCs w:val="20"/>
          <w:color w:val="auto"/>
        </w:rPr>
      </w:pPr>
      <w:r>
        <w:rPr>
          <w:rFonts w:ascii="Arial" w:cs="Arial" w:eastAsia="Arial" w:hAnsi="Arial"/>
          <w:sz w:val="18"/>
          <w:szCs w:val="18"/>
          <w:color w:val="auto"/>
        </w:rPr>
        <w:t>Reserves are provided for tax benefits for which realization is uncertain. Such benefits are only recognized when the underlying tax position is considered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Company accounts for revenue in accordance with ASC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spacing w:after="0" w:line="18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 evaluates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to or dependent on other goods or services in the contract.</w:t>
      </w:r>
    </w:p>
    <w:p>
      <w:pPr>
        <w:spacing w:after="0" w:line="17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goods or services promised in the contract. Consideration generally may include fixed consideration or variable consideration. Should an arrangement include variable consideration, the Company will evaluate the amount of potential payments and the likelihood that the payments will be received. The Company will utilize either the most likely amount method or expected amount method to estimate the amount expected to be received based on which method best predicts the amount expected to be received. The amount of variable consideration that is included in the transaction price may be constrained and will be included in the transaction price only to the extent that it is probable that a significant reversal in the amount of the cumulative revenue recognized will not occur in a future period.</w:t>
      </w:r>
    </w:p>
    <w:p>
      <w:pPr>
        <w:spacing w:after="0" w:line="178"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Company’s contracts may include development and regulatory milestone payments, which would be assessed under the most likely amount method and constrained if it is probable that a significant revenue reversal would occur. Milestone payments that are not within the Company’s control or the licensee’s control, such as regulatory approvals, will not be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would be recorded on a cumulative catch-up basis, which would affect collaboration revenues in the period of adjustment.</w:t>
      </w:r>
    </w:p>
    <w:p>
      <w:pPr>
        <w:spacing w:after="0" w:line="16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For arrangements that include sales-based royalties, including milestone payments based on the level of sales, and the license is deemed to be the predominant item to which the royalties relate, the Company will recognize revenue at</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6" w:name="page107"/>
    <w:bookmarkEnd w:id="10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later of (i) when the related sales occur and (ii) when the performance obligation to which some or all of the royalty has been allocated has been satisfied (or partially satisfied).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may reference comparable transactions, clinical trial success probabilities and estimates of option exercise likelihood. Variable consideration will be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balance sheets. Amounts not expected to be recognized as revenue within the 12 months following the balance sheet date are classified as deferred revenue, net of current portion. Amounts are recorded as accounts receivable when the Company’s right to consideration is unconditional.</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Comprehensive loss is the change in equity of a business enterprise during a period from transactions and other events and circumstances from non-owner sources. Comprehensive loss includes net loss and the change in accumulated other comprehensive loss for the period. Accumulated other comprehensive loss consisted entirely of unrealized gains and losses on available-for-sale marketable securities at December 31,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Basic loss per common share is determined by dividing loss attributable to common stockholders by the weighted-average number of common shares outstanding during the period, without consideration of common stock equivalents. Diluted loss per share is computed by dividing the loss attributable to common stockholders by the weighted-average number of common share equivalents outstanding for the period. The treasury stock method is used to determine the dilutive effect of the Company's stock option grants.</w:t>
      </w:r>
    </w:p>
    <w:p>
      <w:pPr>
        <w:spacing w:after="0" w:line="188"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7"/>
          <w:szCs w:val="17"/>
          <w:color w:val="auto"/>
        </w:rPr>
        <w:t>During the year ended December 31, 2018, the Company calculated basic and diluted net loss per share attributable to common stockholders in conformity with the two</w:t>
      </w:r>
      <w:r>
        <w:rPr>
          <w:rFonts w:ascii="MS PGothic" w:cs="MS PGothic" w:eastAsia="MS PGothic" w:hAnsi="MS PGothic"/>
          <w:sz w:val="17"/>
          <w:szCs w:val="17"/>
          <w:color w:val="auto"/>
        </w:rPr>
        <w:t>‑</w:t>
      </w:r>
      <w:r>
        <w:rPr>
          <w:rFonts w:ascii="Arial" w:cs="Arial" w:eastAsia="Arial" w:hAnsi="Arial"/>
          <w:sz w:val="17"/>
          <w:szCs w:val="17"/>
          <w:color w:val="auto"/>
        </w:rPr>
        <w:t>class method required for participating securities. The Company considered its Series A Preferred Stock and Series B Preferred Stock to be participating securities because in the event a dividend was paid on common stock, the holders of Series A Preferred Stock and Series B Preferred Stock were entitled to receive dividends on a basis consistent with the common stockholders. Under the two</w:t>
      </w:r>
      <w:r>
        <w:rPr>
          <w:rFonts w:ascii="MS PGothic" w:cs="MS PGothic" w:eastAsia="MS PGothic" w:hAnsi="MS PGothic"/>
          <w:sz w:val="17"/>
          <w:szCs w:val="17"/>
          <w:color w:val="auto"/>
        </w:rPr>
        <w:t>‑</w:t>
      </w:r>
      <w:r>
        <w:rPr>
          <w:rFonts w:ascii="Arial" w:cs="Arial" w:eastAsia="Arial" w:hAnsi="Arial"/>
          <w:sz w:val="17"/>
          <w:szCs w:val="17"/>
          <w:color w:val="auto"/>
        </w:rPr>
        <w:t>class method, the net loss attributable to common stockholders is not allocated to the preferred stock as the holders of the preferred stock do not have a contractual obligation to share in losses. Under the two</w:t>
      </w:r>
      <w:r>
        <w:rPr>
          <w:rFonts w:ascii="MS PGothic" w:cs="MS PGothic" w:eastAsia="MS PGothic" w:hAnsi="MS PGothic"/>
          <w:sz w:val="17"/>
          <w:szCs w:val="17"/>
          <w:color w:val="auto"/>
        </w:rPr>
        <w:t>‑</w:t>
      </w:r>
      <w:r>
        <w:rPr>
          <w:rFonts w:ascii="Arial" w:cs="Arial" w:eastAsia="Arial" w:hAnsi="Arial"/>
          <w:sz w:val="17"/>
          <w:szCs w:val="17"/>
          <w:color w:val="auto"/>
        </w:rPr>
        <w:t>class method, basic net loss per share attributable to common stockholders is computed by dividing the net loss attributable to common stockholders by the weighted average number of shares of common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The new guidance will require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the Company January 1, 2021. The Company continues to determine if it will elect to use the practical expedients permitted by the guidance and continues to gather data required to comply with the guidance. Based on the work completed to date, the Company is considering the implications of adopting the new standard, including the discount rate to be used in valuing new and existing leases and all applicable financial statement disclosures required by the new guidance. The Company is continuing to evaluate the effect of adoption and anticipates that it will result in the recognition of additional assets and corresponding liabilities related to the existing leases on its balance sheet. The Company is assessing any potential impacts on its internal controls, business processes, and accounting policies related to both the implementation of, and ongoing compliance with, the new guidance.</w:t>
      </w:r>
    </w:p>
    <w:p>
      <w:pPr>
        <w:spacing w:after="0" w:line="16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will be effective for non-emerging growth companies for fiscal years beginning December 15, 2019 and interim periods within those fiscal years, and will be effective for the Company for fiscal years beginning after December 15, 2020, and interim periods within fiscal years beginning after December 15, 2021, assuming the Company remains an emerging growth company. Early adoption is permitted. The Company is currently evaluating the effects the adoption of ASU 2016-13 will have on its financial statements.</w:t>
      </w:r>
    </w:p>
    <w:p>
      <w:pPr>
        <w:spacing w:after="0" w:line="19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2018, the FASB issued ASU No. 2018-13, Fair Value Measurement—Disclosure Framework-Changes to the Disclosure Requirement for Fair Value Measurement (“ASU 2018-13”). The amendments in ASU 2018-13 modify the disclosure requirements on fair value measurements in ASC Topic 820, Fair Value Measurement, based on the concepts in the FASB Concepts Statement, including the consideration of costs and benefits. ASU 2018-13 will be effective for all companies for fiscal periods beginning after December 15, 2019 and interim periods within those fiscal years. Early adoption is permitted. The Company is currently evaluating the effects the adoption of ASU 2018-13 will have on its financial statements.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0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271,072</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300,552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As of December 31, 2019, none of the Company's fixed maturity investments were in continuous unrealized loss positions for more than 12 consecutive months. Unrealized losses on all fixed maturity investments in a continuous loss position for less than 12 consecutive months were approximately $156,000 as of December 31, 2019. All of the Company’s investments at each year end are classified as available for sale and are carried at fair value. As of December 31, 2019, no</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8" w:name="page109"/>
    <w:bookmarkEnd w:id="10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investments are considered to be other-than-temporarily impaired. The Company uses the specific identification method when calculating realized gains and losses. The Company did not have any realized gains or losses on available-for-sale securities during the years ended December 31, 2019. The Company did not have any marketable securities as of or during the year ended December 31, 2018. The Company recorded interest income of $2.0 million and $0 during the years ended December 31, 2019 and 2018, respectively, which is included in other income on the statement of operations and comprehensive loss.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December 31,</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78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80" w:type="dxa"/>
            <w:vAlign w:val="bottom"/>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Maturities:</w:t>
            </w: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Within 1 year</w:t>
            </w:r>
          </w:p>
        </w:tc>
        <w:tc>
          <w:tcPr>
            <w:tcW w:w="760" w:type="dxa"/>
            <w:vAlign w:val="bottom"/>
          </w:tcPr>
          <w:p>
            <w:pPr>
              <w:jc w:val="right"/>
              <w:spacing w:after="0"/>
              <w:rPr>
                <w:sz w:val="20"/>
                <w:szCs w:val="20"/>
                <w:color w:val="auto"/>
              </w:rPr>
            </w:pPr>
            <w:r>
              <w:rPr>
                <w:rFonts w:ascii="Arial" w:cs="Arial" w:eastAsia="Arial" w:hAnsi="Arial"/>
                <w:sz w:val="18"/>
                <w:szCs w:val="18"/>
                <w:color w:val="auto"/>
                <w:w w:val="84"/>
              </w:rPr>
              <w:t>$ 168,186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$ 168,204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From more than 1 to 5 years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132,366</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132,310</w:t>
            </w:r>
          </w:p>
        </w:tc>
        <w:tc>
          <w:tcPr>
            <w:tcW w:w="0" w:type="dxa"/>
            <w:vAlign w:val="bottom"/>
          </w:tcPr>
          <w:p>
            <w:pPr>
              <w:spacing w:after="0"/>
              <w:rPr>
                <w:sz w:val="1"/>
                <w:szCs w:val="1"/>
                <w:color w:val="auto"/>
              </w:rPr>
            </w:pPr>
          </w:p>
        </w:tc>
      </w:tr>
      <w:tr>
        <w:trPr>
          <w:trHeight w:val="217"/>
        </w:trPr>
        <w:tc>
          <w:tcPr>
            <w:tcW w:w="5420" w:type="dxa"/>
            <w:vAlign w:val="bottom"/>
          </w:tcPr>
          <w:p>
            <w:pPr>
              <w:spacing w:after="0"/>
              <w:rPr>
                <w:sz w:val="20"/>
                <w:szCs w:val="20"/>
                <w:color w:val="auto"/>
              </w:rPr>
            </w:pPr>
            <w:r>
              <w:rPr>
                <w:rFonts w:ascii="Arial" w:cs="Arial" w:eastAsia="Arial" w:hAnsi="Arial"/>
                <w:sz w:val="18"/>
                <w:szCs w:val="18"/>
                <w:color w:val="auto"/>
              </w:rPr>
              <w:t>Total investments available for sale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$ 300,552</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$ 300,514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December 31, 2019 and 2018:</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Quoted Prices in</w:t>
            </w:r>
          </w:p>
        </w:tc>
        <w:tc>
          <w:tcPr>
            <w:tcW w:w="9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or</w:t>
            </w: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Money market (Note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19,341</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Agency bonds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271,072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271,072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319,855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300,514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Quoted Prices in</w:t>
            </w:r>
          </w:p>
        </w:tc>
        <w:tc>
          <w:tcPr>
            <w:tcW w:w="9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or</w:t>
            </w: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Money market (Note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fair value levels during the years ended December 31, 2019 and 2018.</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carrying value of financial instruments, including trade receivables, accounts payable and accrued liabilities approximate fair value because of the short-term maturity of these items. The estimated fair values may not represent actual values of the financial instruments that could be realized as of the balance sheet date or that will be realized in the future.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9"/>
        </w:trPr>
        <w:tc>
          <w:tcPr>
            <w:tcW w:w="542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17,236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13,876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12,090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Construction in progress at December 31, 2019 consists of the costs incurred for research equipment and for the build-out of additional lab and office space and at December 31, 2018 consists of the costs incurred for the build-out of a manufacturing suite at the Company’s headquarters in Beltsville, Maryland.</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Depreciation and amortization expense was $2.7 million and $1.7 million for the years ended December 31, 2019 and 2018,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Payroll and related benefits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costs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Office lease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5420" w:type="dxa"/>
            <w:vAlign w:val="bottom"/>
          </w:tcPr>
          <w:p>
            <w:pPr>
              <w:ind w:left="10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Agreement with Eli Lilly and Company</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Under the Lilly Agreement, Lilly and the Company granted one another an equal number of exclusive options to research, develop, manufacture and commercialize compounds and products directed to oncology targets identified through the Lilly Agreement.</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During the research term under the Lilly Agreement, as a part of target discovery, the Company was responsible for providing Lilly with oncology targets identified using the Company’s FIND-IO platform. From the targets provided by the Company, Lilly could select targets to advance to target validation using criteria developed by both parties. Following completion of the agreed upon target validation plan with respect to a given target, either party could propose to advance that target to compound discovery. For each target advanced to compound discovery, Lilly had the option to obtain an exclusive license with respect to the compounds and products directed to the target. If Lilly did not exercise its option with respect to a given target or has previously exercised all of its options, the Company had the option to obtain licenses with respect to compounds and products directed to that target.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November 2018, the Company received an upfront, non-refundable payment of $25.0 million under the Lilly Agreement and a concurrent $15.0 million equity investment (Note 10). In addition, Lilly agreed to make quarterly research and development support payments during a portion of the research term as well as to pay option exercise fees upon option exercises by Lilly.</w:t>
      </w:r>
    </w:p>
    <w:p>
      <w:pPr>
        <w:spacing w:after="0" w:line="187"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Pursuant to the Lilly Agreement, Lilly agreed to pay an aggregate of up to $1.4 billion in development and regulatory milestones and sales milestones. Additionally, Lilly agreed to pay mid to high single-digit royalties on net sales for all products directed to each target optioned by Lilly. The Company agreed that upon the Company’s exercise of an option with respect to a given target, the Company would pay Lilly option exercise payments and also agreed to pay an aggregate of up to $710.0 million in development and regulatory milestones and sales milestones, as well as royalties.</w:t>
      </w:r>
    </w:p>
    <w:p>
      <w:pPr>
        <w:spacing w:after="0" w:line="16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Company evaluated the Lilly Agreement under the provisions of ASC 606 and concluded that Lilly was a customer prior to the exercise of its option to obtain an exclusive license with respect to the compounds and products directed to a target advanced to compound discovery. The Company identified the following material promises under the Lilly Agreement: (i) a limited research license to conduct activities under the research collaboration; (ii) research and development services together with the provision of a data package in connection with Lilly’s option; (iii) various governance obligations, most notably participation on a joint steering committee; and (iv) rights related to an optional term extension by Lilly. The Company evaluated Lilly’s option to obtain an exclusive license with respect to the compounds and products directed to a target that has been advanced to compound discovery and concluded that the option was not issued at a significant and incremental discount, and therefore does not provide material rights. As such, they are excluded as performance obligations at the outset of the arrangement. The Company determined that the research license was not capable of being distinct and the related research and development services and governance activities are not distinct in the context of the contract and, as such, the Company determined that these promises should be combined into a single performance obligation, resulting in a total of two performance obligations under the Lilly Agreement; one for research and development services and one for the right related to an optional term extension by Lilly.</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transaction price at the outset of the arrangement was determined to be $32.7 million, comprised of the upfront fee received from Lilly, quarterly research and development support payments to be received from Lilly during a portion of the research term and an equity investment premium as determined by the Company with reference to a valuation of the Company’s preferred stock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9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transaction price was allocated to the two performance obligations based on their relative standalone selling price determined with reference to the Company’s estimated costs attendant to the obligations. Revenue allocated to the research and development performance obligation was recognized as the research and development services were provided using an input method calculated by comparing research and development costs incurred to date to estimated total research and development costs as a measure of progress towards satisfying the performance obligation. Revenue allocated to Lilly’s right related to an optional term extension was deferred until the right was exercised or lapsed, and will subsequently be recognized accordingly.</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While the Lilly Agreement was executed in November 2018, the performance initiated in January 2019. Under the Lilly Agreement, the Company recognized revenue of $6.3 million and $0 for the years ended December 31, 2019 and 2018,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Deferred revenue consists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Up-front payment</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Attributed premium on the proceeds from Lilly’s investment in the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Research and development support billing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research and development arrangement recognized</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Pr>
          <w:p>
            <w:pPr>
              <w:ind w:left="100"/>
              <w:spacing w:after="0"/>
              <w:rPr>
                <w:sz w:val="20"/>
                <w:szCs w:val="20"/>
                <w:color w:val="auto"/>
              </w:rPr>
            </w:pPr>
            <w:r>
              <w:rPr>
                <w:rFonts w:ascii="Arial" w:cs="Arial" w:eastAsia="Arial" w:hAnsi="Arial"/>
                <w:sz w:val="18"/>
                <w:szCs w:val="18"/>
                <w:color w:val="auto"/>
              </w:rPr>
              <w:t>Total deferred revenue, end of period</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Deferred revenue, current portion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7"/>
        </w:trPr>
        <w:tc>
          <w:tcPr>
            <w:tcW w:w="5420" w:type="dxa"/>
            <w:vAlign w:val="bottom"/>
          </w:tcPr>
          <w:p>
            <w:pPr>
              <w:ind w:left="100"/>
              <w:spacing w:after="0"/>
              <w:rPr>
                <w:sz w:val="20"/>
                <w:szCs w:val="20"/>
                <w:color w:val="auto"/>
              </w:rPr>
            </w:pPr>
            <w:r>
              <w:rPr>
                <w:rFonts w:ascii="Arial" w:cs="Arial" w:eastAsia="Arial" w:hAnsi="Arial"/>
                <w:sz w:val="18"/>
                <w:szCs w:val="18"/>
                <w:color w:val="auto"/>
              </w:rPr>
              <w:t>Deferred revenue, 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15,950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On January 10, 2020, Lilly notified the Company of termination of the Lilly Agreement. Refer to Note 16 for additional information on this termination.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On February 9, 2016, the Company entered into a non-cancelable facilities operating sublease (the “2016 Sublease”). On March 15, 2019, the Company amended and restated the 2016 Sublease (as amended, the “Amended 2016 Sublease”) to include additional square footage to be used for office space, which the Company took possession of upon entering into the Amended 2016 Sublease. The Amended 2016 Sublease expires in August 2025. The base rent under the Amended 2016 Sublease is currently $32,254 per month plus the Company’s prorated share of the sublandlord’s operating expense and is subject to annual rent increases of 3%.</w:t>
      </w:r>
    </w:p>
    <w:p>
      <w:pPr>
        <w:spacing w:after="0" w:line="17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On January 30, 2019, the Company entered into a new lease to be used for office and laboratory space (the “New Premises”), which the Company took possession of on June 1, 2019 (the “2019 Lease”). On August 2, 2019, the Company amended the 2019 Lease (as, the “Amended 2019 Lease”) to include additional space to be used for office and laboratory space (the “Expansion Premises”), which the Company expects to take possession of on April 1, 2020. The Amended 2019 Lease expires in March 2030. Upon expiration of the Amended 2016 Sublease, the Amended 2019 Lease will also cover the space the Company is currently subleasing under the Amended 2016 Sublease. Base rent is abated until April 1, 2020 for the New Premises and until seven months after delivery of the Expansion Premises for the Expansion Premises, after which the base rent will be $19,646 per month for the New Premises and $18,178 per month for the Expansion Premises, each subject to annual rent increases of 3%. In connection with this lease, the Company executed a $39,000 letter of credit, which has not been drawn down on. Additionally, there is a base rate adjustment of 8.5% per annum multiplied by the outstanding balance of amounts paid for tenant improvements. The budgeted amounts of tenant improvements are approximately $1,477,000 for the New Premises and $1,517,000 for the Expansion Premises, which are to be fully reimbursed by the landlord.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December 31, 2019, the Company’s minimum obligations under non-cancelable operating leases are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3810</wp:posOffset>
            </wp:positionV>
            <wp:extent cx="452628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Year Ending December 31,</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2022</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972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7,736</w:t>
            </w:r>
          </w:p>
        </w:tc>
      </w:tr>
      <w:tr>
        <w:trPr>
          <w:trHeight w:val="216"/>
        </w:trPr>
        <w:tc>
          <w:tcPr>
            <w:tcW w:w="4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future minimum payments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11,195</w:t>
            </w:r>
          </w:p>
        </w:tc>
      </w:tr>
    </w:tbl>
    <w:p>
      <w:pPr>
        <w:spacing w:after="0" w:line="202"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Rent expense incurred under operating leases was approximately $679,000 and $420,000 for the years ended December 31, 2019 and 2018, respectively.</w:t>
      </w:r>
    </w:p>
    <w:p>
      <w:pPr>
        <w:sectPr>
          <w:pgSz w:w="11900" w:h="16838" w:orient="portrait"/>
          <w:cols w:equalWidth="0" w:num="1">
            <w:col w:w="9019"/>
          </w:cols>
          <w:pgMar w:left="1440" w:top="125"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2" w:name="page113"/>
    <w:bookmarkEnd w:id="1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 As of December 31, 2019, and 2018, the Company was not involved in any material legal proceedings.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Term Loan</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April 2016, the Company entered into a $1.0 million term loan (the “Term Loan”). On January 25, 2019, the Company amended the Term Loan to increase the Company’s borrowing capacity to $5.0 million, which amount remains secured by the Company’s certificates of deposit, money market account, investment property and deposit or investment accounts. As amended, the Term Loan bears interest at the greater of the prime rate less 1% and 4.25%. The effective interest rate was 4.40% and 3.95% for the years ended December 31, 2019 and 2018, respectively. Under the Term Loan, the Company is required to make monthly interest-only payments through January 2020 and is required to make 36 equal monthly payments of principal plus accrued interest thereafter through January 2023. The Term Loan is secured by all certificates of deposit, money market accounts, cash, securities, investment property and deposit or investment accounts. Interest expense under the Term Loan was approximately $209,000 and $25,000 for the years ended December 31, 2019 and 2018, respectively. The outstanding balance on the Term Loan totaled $5.0 million and $460,000 as of December 31, 2019 and 2018, respectively.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maturities of the Term Loan as of December 31, 2019 are as follows:</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(in thousands)</w:t>
            </w: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2021</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9"/>
        </w:trPr>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term loan</w:t>
            </w:r>
          </w:p>
        </w:tc>
        <w:tc>
          <w:tcPr>
            <w:tcW w:w="1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4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Term loan, net of current portion</w:t>
            </w:r>
          </w:p>
        </w:tc>
        <w:tc>
          <w:tcPr>
            <w:tcW w:w="1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Upon the closing of the IPO, on May 13, 2019, all of the outstanding shares of the Company’s preferred stock automatically converted into shares of common stock at the applicable conversion ratio then in effect. Subsequent to the closing of the IPO, there were no shares of preferred stock outstanding.</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Company’s preferred stock that was outstanding as of December 31, 2018 is classified outside of stockholders’ equity (deficit) because the shares contained deemed liquidation rights that were a contingent redemption feature not solely within the control of the Company.</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December 31, 2019, the Company’s certificate of incorporation, as amended and restated, authorized the Company to issue 10,000,000 shares of $0.001 par value preferred stock, and there were no shares of preferred stock issued or outstanding. The Company can fix the price, rights, preferences, privileges and restrictions of the preferred stock without any further vote or action by its stockholders.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December 31, 2019, the Company’s Certificate of Incorporation, as amended and restated, authorized the Company to issue 100,000,000 shares of $0.001 par value common stock, of which 27,499,260 were issued and outstanding.</w:t>
      </w:r>
    </w:p>
    <w:p>
      <w:pPr>
        <w:sectPr>
          <w:pgSz w:w="11900" w:h="16838" w:orient="portrait"/>
          <w:cols w:equalWidth="0" w:num="1">
            <w:col w:w="9019"/>
          </w:cols>
          <w:pgMar w:left="1440" w:top="125"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3" w:name="page114"/>
    <w:bookmarkEnd w:id="1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any preferred stock. No dividends have been declared or paid by the Company through December 31, 2019.</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the event of any liquidation or dissolution of the Company, the holders of common stock are entitled to the remaining assets of the Company legally available for distribution after the payment of the full liquidation preference for any preferred stock.</w:t>
      </w:r>
    </w:p>
    <w:p>
      <w:pPr>
        <w:spacing w:after="0" w:line="180"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12.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NextCure, Inc. 2015 Omnibus Incentive Plan (the “2015 Plan”) provides for the grant of awards of stock options, restricted stock awards, unrestricted stock awards and restricted stock units to employees, consultants and directors of the Company. The 2015 Plan is administered by the board of directors or, at the discretion of the board of directors, by a committee of the board of directors.</w:t>
      </w:r>
    </w:p>
    <w:p>
      <w:pPr>
        <w:spacing w:after="0" w:line="187"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On May 3, 2019, the Company’s stockholders approved the NextCure, Inc. 2019 Omnibus Incentive Plan (the ‘‘2019 Plan’’), which became effective on May 8, 2019, the date on which the Company’s Registration Statement on Form S-1 (Reg. No. 333-230837)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on January 1, 2020 and each January 1st thereafter during the term of the 2019 Plan by 4% of the number of shares of the Company’s common stock outstanding on December 31st of the preceding calendar year or such lesser number of shares determined by the Board.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2019, 2,661,566 shares were reserved for future issuance under the 2019 Plan.</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10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60" w:type="dxa"/>
            <w:vAlign w:val="bottom"/>
            <w:tcBorders>
              <w:bottom w:val="single" w:sz="8" w:color="auto"/>
            </w:tcBorders>
            <w:gridSpan w:val="10"/>
          </w:tcPr>
          <w:p>
            <w:pPr>
              <w:jc w:val="right"/>
              <w:ind w:right="594"/>
              <w:spacing w:after="0"/>
              <w:rPr>
                <w:sz w:val="20"/>
                <w:szCs w:val="20"/>
                <w:color w:val="auto"/>
              </w:rPr>
            </w:pPr>
            <w:r>
              <w:rPr>
                <w:rFonts w:ascii="Arial" w:cs="Arial" w:eastAsia="Arial" w:hAnsi="Arial"/>
                <w:sz w:val="14"/>
                <w:szCs w:val="14"/>
                <w:b w:val="1"/>
                <w:bCs w:val="1"/>
                <w:color w:val="auto"/>
              </w:rPr>
              <w:t>Options Outstanding and Exercisable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14"/>
                <w:szCs w:val="14"/>
                <w:b w:val="1"/>
                <w:bCs w:val="1"/>
                <w:color w:val="auto"/>
                <w:w w:val="86"/>
                <w:vertAlign w:val="superscript"/>
              </w:rPr>
              <w:t>(1)</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1,570,136</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Forfeitures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2,056,891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258,897</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(125,108)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Forfeitures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(20,468)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19.66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2,170,212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3" w:lineRule="exact"/>
              <w:rPr>
                <w:sz w:val="20"/>
                <w:szCs w:val="20"/>
                <w:color w:val="auto"/>
              </w:rPr>
            </w:pPr>
            <w:r>
              <w:rPr>
                <w:rFonts w:ascii="Arial" w:cs="Arial" w:eastAsia="Arial" w:hAnsi="Arial"/>
                <w:sz w:val="18"/>
                <w:szCs w:val="18"/>
                <w:color w:val="auto"/>
              </w:rPr>
              <w:t>Vested and expected to vest as of December 31, 2019</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7"/>
              </w:rPr>
              <w:t>2,170,212</w:t>
            </w:r>
          </w:p>
        </w:tc>
        <w:tc>
          <w:tcPr>
            <w:tcW w:w="80" w:type="dxa"/>
            <w:vAlign w:val="bottom"/>
          </w:tcPr>
          <w:p>
            <w:pPr>
              <w:spacing w:after="0"/>
              <w:rPr>
                <w:sz w:val="17"/>
                <w:szCs w:val="17"/>
                <w:color w:val="auto"/>
              </w:rPr>
            </w:pP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6.51</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113,295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716,393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79" w:hanging="316"/>
        <w:spacing w:after="0" w:line="342" w:lineRule="auto"/>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aggregate intrinsic value is calculated as the difference between the exercise price of the underlying options and the estimated fair value of the common stock for the options that were in the money at December 31, 2019 and 2018.</w:t>
      </w:r>
    </w:p>
    <w:p>
      <w:pPr>
        <w:spacing w:after="0" w:line="12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weighted average grant date fair value per share of stock options granted during the years ended December 31, 2019 and 2018 was $11.92 and $3.80, respectively. The aggregate intrinsic value of stock options exercised during the years ended December 31, 2019 and 2018 was $7,225,000 and $38,000, respectively.</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year ended December 31, 2019 and 2018 was approximately $7,637,000 and $157,000, respectively.</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Company’s potential dilutive securities, which as of December 31, 2019 include common stock options, have been excluded from the computation of diluted net loss per share because the effect would be anti-dilutive. Therefore, the weighted average number of common shares used to calculate both basic and diluted net loss per common share is the same. The Company excluded 2,170,212 and 2,056,891 potential shares of common stock, presented based on amounts outstanding as of December 31, 2019 and 2018, respectively, from the computation of diluted net loss per common share for the periods indicated because including them would have had an anti-dilutive effect.</w:t>
      </w:r>
    </w:p>
    <w:p>
      <w:pPr>
        <w:spacing w:after="0" w:line="16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on January 1, 2020 and each January 1st thereafter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 of the ESPP. As of December 31, 2019, no shares of common stock had been issued pursuant to the ESPP and 240,000 shares were reserved for future issuance thereunder.</w:t>
      </w:r>
    </w:p>
    <w:p>
      <w:pPr>
        <w:spacing w:after="0" w:line="16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jc w:val="both"/>
        <w:ind w:left="40" w:right="59" w:firstLine="648"/>
        <w:spacing w:after="0" w:line="219" w:lineRule="exact"/>
        <w:rPr>
          <w:sz w:val="20"/>
          <w:szCs w:val="20"/>
          <w:color w:val="auto"/>
        </w:rPr>
      </w:pPr>
      <w:r>
        <w:rPr>
          <w:rFonts w:ascii="Arial" w:cs="Arial" w:eastAsia="Arial" w:hAnsi="Arial"/>
          <w:sz w:val="18"/>
          <w:szCs w:val="18"/>
          <w:color w:val="auto"/>
        </w:rPr>
        <w:t>The Company recorded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$1.9 million and $0.3 million during the years ended December 31, 2019 and 2018, respectively. As of December 31, 2019, there was $6.9 million of unrecognized compensation cost related to unvested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arrangements granted under the Plans. This remaining compensation expense is expected to be recognized over a weighted-average period of three years as of December 31, 2019.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firstLine="648"/>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recorded as research and development and general and administrative expenses is as follows:</w:t>
      </w:r>
    </w:p>
    <w:p>
      <w:pPr>
        <w:spacing w:after="0" w:line="208"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Year Ended</w:t>
      </w:r>
    </w:p>
    <w:p>
      <w:pPr>
        <w:ind w:left="67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5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bottom w:val="single" w:sz="8" w:color="CCEEFF"/>
            </w:tcBorders>
          </w:tcPr>
          <w:p>
            <w:pPr>
              <w:spacing w:after="0"/>
              <w:rPr>
                <w:sz w:val="18"/>
                <w:szCs w:val="18"/>
                <w:color w:val="auto"/>
              </w:rPr>
            </w:pPr>
          </w:p>
        </w:tc>
      </w:tr>
      <w:tr>
        <w:trPr>
          <w:trHeight w:val="216"/>
        </w:trPr>
        <w:tc>
          <w:tcPr>
            <w:tcW w:w="5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color w:val="auto"/>
        </w:rPr>
        <w:t>The assumptions used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for stock options granted were as follows:</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Year Ended</w:t>
      </w:r>
    </w:p>
    <w:p>
      <w:pPr>
        <w:ind w:left="6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49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69.7 %</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69.7 %</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1.90 %</w:t>
            </w:r>
          </w:p>
        </w:tc>
        <w:tc>
          <w:tcPr>
            <w:tcW w:w="10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2.77 %</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jc w:val="both"/>
        <w:ind w:left="40" w:right="59" w:firstLine="648"/>
        <w:spacing w:after="0" w:line="223" w:lineRule="exact"/>
        <w:rPr>
          <w:sz w:val="20"/>
          <w:szCs w:val="20"/>
          <w:color w:val="auto"/>
        </w:rPr>
      </w:pPr>
      <w:r>
        <w:rPr>
          <w:rFonts w:ascii="Arial" w:cs="Arial" w:eastAsia="Arial" w:hAnsi="Arial"/>
          <w:sz w:val="18"/>
          <w:szCs w:val="18"/>
          <w:color w:val="auto"/>
        </w:rPr>
        <w:t>In May 2016, the Company issued 62,237 shares of restricted common stock, which are restricted as to sale or transferability, under the 2015 Plan. These restrictions lapse over a four</w:t>
      </w:r>
      <w:r>
        <w:rPr>
          <w:rFonts w:ascii="MS PGothic" w:cs="MS PGothic" w:eastAsia="MS PGothic" w:hAnsi="MS PGothic"/>
          <w:sz w:val="18"/>
          <w:szCs w:val="18"/>
          <w:color w:val="auto"/>
        </w:rPr>
        <w:t>‑</w:t>
      </w:r>
      <w:r>
        <w:rPr>
          <w:rFonts w:ascii="Arial" w:cs="Arial" w:eastAsia="Arial" w:hAnsi="Arial"/>
          <w:sz w:val="18"/>
          <w:szCs w:val="18"/>
          <w:color w:val="auto"/>
        </w:rPr>
        <w:t>year period.</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29"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8"/>
          <w:szCs w:val="18"/>
          <w:color w:val="auto"/>
        </w:rPr>
        <w:t>The Company’s potential dilutive securities, which include common stock options and for the year ended December 31, 2018 included preferred stock, have been excluded from the computation of diluted net loss per share as the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w:t>
      </w:r>
      <w:r>
        <w:rPr>
          <w:rFonts w:ascii="MS PGothic" w:cs="MS PGothic" w:eastAsia="MS PGothic" w:hAnsi="MS PGothic"/>
          <w:sz w:val="18"/>
          <w:szCs w:val="18"/>
          <w:color w:val="auto"/>
        </w:rPr>
        <w:t>‑</w:t>
      </w:r>
      <w:r>
        <w:rPr>
          <w:rFonts w:ascii="Arial" w:cs="Arial" w:eastAsia="Arial" w:hAnsi="Arial"/>
          <w:sz w:val="18"/>
          <w:szCs w:val="18"/>
          <w:color w:val="auto"/>
        </w:rPr>
        <w:t>dilutive effect:</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convertible into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15,560,569</w:t>
            </w: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options to purchase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2,170,212</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2,056,891</w:t>
            </w:r>
          </w:p>
        </w:tc>
      </w:tr>
      <w:tr>
        <w:trPr>
          <w:trHeight w:val="217"/>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2,170,212</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17,617,460</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reconciliation of federal statutory income tax rate to the Company’s effective income tax rate is as follows:</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90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Non-deductible items</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Prior year provision to return adjustments</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6" w:name="page117"/>
    <w:bookmarkEnd w:id="1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principal components of the Company’s deferred tax assets consisted of the following as of December 31, 2019 and 2018:</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Federal and state net operating loss carryforwards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tax credits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Charitable contribution carryforwards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Accruals and other</w:t>
            </w: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deferred tax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(15,525)</w:t>
            </w:r>
          </w:p>
        </w:tc>
        <w:tc>
          <w:tcPr>
            <w:tcW w:w="0" w:type="dxa"/>
            <w:vAlign w:val="bottom"/>
          </w:tcPr>
          <w:p>
            <w:pPr>
              <w:spacing w:after="0"/>
              <w:rPr>
                <w:sz w:val="1"/>
                <w:szCs w:val="1"/>
                <w:color w:val="auto"/>
              </w:rPr>
            </w:pPr>
          </w:p>
        </w:tc>
      </w:tr>
      <w:tr>
        <w:trPr>
          <w:trHeight w:val="23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3"/>
        </w:trPr>
        <w:tc>
          <w:tcPr>
            <w:tcW w:w="4460" w:type="dxa"/>
            <w:vAlign w:val="bottom"/>
          </w:tcPr>
          <w:p>
            <w:pPr>
              <w:spacing w:after="0" w:line="203" w:lineRule="exact"/>
              <w:rPr>
                <w:sz w:val="20"/>
                <w:szCs w:val="20"/>
                <w:color w:val="auto"/>
              </w:rPr>
            </w:pPr>
            <w:r>
              <w:rPr>
                <w:rFonts w:ascii="Arial" w:cs="Arial" w:eastAsia="Arial" w:hAnsi="Arial"/>
                <w:sz w:val="18"/>
                <w:szCs w:val="18"/>
                <w:color w:val="auto"/>
              </w:rPr>
              <w:t>Deferred tax liabilities: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Gross deferred tax liabilities</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the Company’s history of losses, the Company recorded a full valuation allowance against its deferred tax assets as of December 31, 2019. The Company increased its valuation allowance by approximately $10.1 million for the year ended December 31, 2019. The Company intends to maintain a valuation allowance until sufficient positive evidence exists to support a reversal of the allowance.</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of December 31, 2019, the Company had federal and state net operating loss carryforwards of $55.0 million and $54.0 million, respectively, some of which begin to expire in the year ending December 31, 2036. Approximately $32.3 million of the federal and state net operating loss carryforwards do not expire. The Company had federal and state research and development tax credit carryforwards of approximately $4.1 million and $0.1 million, respectively, as of December 31, 2019. The federal credits begin to expire in the year ending December 31, 2036 and the state credits begin to expire in the year ending December 31, 2024.</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provisions of Sections 382 and 383 of the Internal Revenue Code (the “IRC”), certain substantial changes in the Company’s ownership may have limited, or may limit in the future, the amount of net operating loss and credit carryforwards that can be used to reduce future income taxes if there has been a significant change in ownership of the Company, as defined by the IRC. Future owner or equity shifts could result in limitations on net operating loss and credit carryforwards.</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Company files income tax returns in the U.S. federal jurisdiction as well as in Maryland. The tax years 2016 to 2018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71" w:lineRule="exact"/>
        <w:rPr>
          <w:sz w:val="20"/>
          <w:szCs w:val="20"/>
          <w:color w:val="auto"/>
        </w:rPr>
      </w:pPr>
    </w:p>
    <w:p>
      <w:pPr>
        <w:jc w:val="both"/>
        <w:ind w:left="40" w:right="59" w:firstLine="648"/>
        <w:spacing w:after="0" w:line="219" w:lineRule="exact"/>
        <w:rPr>
          <w:sz w:val="20"/>
          <w:szCs w:val="20"/>
          <w:color w:val="auto"/>
        </w:rPr>
      </w:pPr>
      <w:r>
        <w:rPr>
          <w:rFonts w:ascii="Arial" w:cs="Arial" w:eastAsia="Arial" w:hAnsi="Arial"/>
          <w:sz w:val="18"/>
          <w:szCs w:val="18"/>
          <w:color w:val="auto"/>
        </w:rPr>
        <w:t>The Company evaluates tax positions for recognition using a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2019, the Company had no unrecognized income tax benefits that would affect the Company’s effective tax rate if recognized.</w:t>
      </w:r>
    </w:p>
    <w:p>
      <w:pPr>
        <w:spacing w:after="0" w:line="20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On December 22, 2017, the U.S. government signed into law the Tax Cuts and Jobs Act (the “Tax Act”) that significantly reforms the Internal Revenue Code of 1986, as amended. In 2018, the Company finished its analysis of the impact of the Tax Act. Where the Company made reasonable estimates in 2017 of the effects related to the Tax Act, the</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7" w:name="page118"/>
    <w:bookmarkEnd w:id="1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Company recorded provisional amounts. After the completed analysis, the resulting impact to the Company’s financial statements did not differ from the recorded provisional amounts.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Employee Benefit Plan</w:t>
      </w:r>
    </w:p>
    <w:p>
      <w:pPr>
        <w:spacing w:after="0" w:line="229" w:lineRule="exact"/>
        <w:rPr>
          <w:sz w:val="20"/>
          <w:szCs w:val="20"/>
          <w:color w:val="auto"/>
        </w:rPr>
      </w:pPr>
    </w:p>
    <w:p>
      <w:pPr>
        <w:jc w:val="both"/>
        <w:ind w:left="40" w:right="59" w:firstLine="648"/>
        <w:spacing w:after="0" w:line="221" w:lineRule="exact"/>
        <w:rPr>
          <w:sz w:val="20"/>
          <w:szCs w:val="20"/>
          <w:color w:val="auto"/>
        </w:rPr>
      </w:pPr>
      <w:r>
        <w:rPr>
          <w:rFonts w:ascii="Arial" w:cs="Arial" w:eastAsia="Arial" w:hAnsi="Arial"/>
          <w:sz w:val="17"/>
          <w:szCs w:val="17"/>
          <w:color w:val="auto"/>
        </w:rPr>
        <w:t>The Company sponsors a 401(k) plan that stipulates that eligible employees can elect to contribute to the 401(k) plan, subject to certain limitations, up to the lesser of the statutory maximum or 100% of eligible compensation on a pre</w:t>
      </w:r>
      <w:r>
        <w:rPr>
          <w:rFonts w:ascii="MS PGothic" w:cs="MS PGothic" w:eastAsia="MS PGothic" w:hAnsi="MS PGothic"/>
          <w:sz w:val="17"/>
          <w:szCs w:val="17"/>
          <w:color w:val="auto"/>
        </w:rPr>
        <w:t>‑</w:t>
      </w:r>
      <w:r>
        <w:rPr>
          <w:rFonts w:ascii="Arial" w:cs="Arial" w:eastAsia="Arial" w:hAnsi="Arial"/>
          <w:sz w:val="17"/>
          <w:szCs w:val="17"/>
          <w:color w:val="auto"/>
        </w:rPr>
        <w:t>tax basis. Through December 31, 2019, the Company has not provided any contributions to this plan.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On January 10, 2020, Lilly notified the Company of its termination of the Lilly Agreement (Note 7), effective as of March 3, 2020 (the "Lilly Termination Date"). Effective as of the Lilly Termination Date, both parties have been relieved of all obligations under the agreement, including future quarterly research and development support payments to be paid by Lilly to the Company.</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December 31, 2019, the Company had deferred revenue related to the Lilly Agreement of $22.4 million, which is composed of a non-refundable up-front payment and a premium on the proceeds from Lilly's investment in the Company. The Company will recognize all of the deferred revenue as of the Lilly Termination Date in the statement of operations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2019.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year ended December 31, 2019 that has materially affected, or is reasonably likely to materially affect, our internal control over financial reporting.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will be contained in our definitive proxy statement for our 2020 annual meeting of stockholders, or our Proxy Statement, to be filed with the SEC within 120 days of December 31, 2019, and is incorporated herein by reference.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herein by reference.</w:t>
      </w:r>
    </w:p>
    <w:p>
      <w:pPr>
        <w:spacing w:after="0" w:line="166" w:lineRule="exact"/>
        <w:rPr>
          <w:sz w:val="20"/>
          <w:szCs w:val="20"/>
          <w:color w:val="auto"/>
        </w:rPr>
      </w:pPr>
    </w:p>
    <w:p>
      <w:pPr>
        <w:ind w:left="70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herein by reference.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herein by reference.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Index to Financial Statements in Part II Item 8 of this Annual Report.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documents listed in the following Exhibit Index are incorporated by reference or are filed with this report, in each case as indicated therein (numbered in accordance with Item 601 of Regulation S-K).</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20" w:type="dxa"/>
            <w:vAlign w:val="bottom"/>
            <w:gridSpan w:val="5"/>
          </w:tcPr>
          <w:p>
            <w:pPr>
              <w:ind w:left="1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9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7620" w:type="dxa"/>
            <w:vAlign w:val="bottom"/>
            <w:gridSpan w:val="6"/>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Amended and Restated Certificate of Incorporation (incorporated by reference to Exhibit 3.1 filed with</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Company’s Current Report on 8-K filed with the Commission on May 13, 2019 (File No. 001-38905)).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7620" w:type="dxa"/>
            <w:vAlign w:val="bottom"/>
            <w:tcBorders>
              <w:bottom w:val="single" w:sz="8" w:color="0000EE"/>
            </w:tcBorders>
            <w:gridSpan w:val="6"/>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Amended and Restated Bylaws (incorporated by reference to Exhibit 3.2 filed with Company’s Current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gridSpan w:val="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Report on 8-K filed with the Commission on May 13, 2019 (File No. 001-38905)).</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7620" w:type="dxa"/>
            <w:vAlign w:val="bottom"/>
            <w:gridSpan w:val="6"/>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Amended and Restated Investors’ Rights Agreement, dated as of November 5, 2018, by and among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gridSpan w:val="6"/>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Company and the investors party thereto (incorporated by reference to Exhibit 4.1 filed with Company’s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Registration Statement on Form S-1 filed with the Commission on April 12, 2019 (File No. 333-</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230837)</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19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6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Description of Registered Securities.</w:t>
              </w:r>
            </w:hyperlink>
          </w:p>
        </w:tc>
        <w:tc>
          <w:tcPr>
            <w:tcW w:w="49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152">
        <w:r>
          <w:rPr>
            <w:rFonts w:ascii="Arial" w:cs="Arial" w:eastAsia="Arial" w:hAnsi="Arial"/>
            <w:sz w:val="18"/>
            <w:szCs w:val="18"/>
            <w:u w:val="single" w:color="auto"/>
            <w:color w:val="0000EE"/>
          </w:rPr>
          <w:t>License Agreement, dated as of December 29, 2015, by and between the Company and Yale University</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(incorporated by reference to Exhibit 10.1 filed with Company’s Registration Statement on Form S-1</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filed with the Commission on April 12, 2019 (File No. 333-230837)).</w:t>
        </w:r>
      </w:hyperlink>
    </w:p>
    <w:p>
      <w:pPr>
        <w:spacing w:after="0" w:line="184" w:lineRule="exact"/>
        <w:rPr>
          <w:rFonts w:ascii="Arial" w:cs="Arial" w:eastAsia="Arial" w:hAnsi="Arial"/>
          <w:sz w:val="18"/>
          <w:szCs w:val="18"/>
          <w:color w:val="auto"/>
        </w:rPr>
      </w:pPr>
    </w:p>
    <w:p>
      <w:pPr>
        <w:jc w:val="both"/>
        <w:ind w:left="1340" w:right="59" w:hanging="516"/>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153">
        <w:r>
          <w:rPr>
            <w:rFonts w:ascii="Arial" w:cs="Arial" w:eastAsia="Arial" w:hAnsi="Arial"/>
            <w:sz w:val="18"/>
            <w:szCs w:val="18"/>
            <w:u w:val="single" w:color="auto"/>
            <w:color w:val="0000EE"/>
          </w:rPr>
          <w:t>Corporate Sponsored Research Agreement, dated as of December 29, 2015, by and between the</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EE"/>
          </w:rPr>
          <w:t>Company and Yale University (incorporated by reference to Exhibit 10.2 filed with Company’s</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Registration Statement on Form S-1 filed with the Commission on April 12, 2019 (File No. 333-</w:t>
        </w:r>
      </w:hyperlink>
      <w:hyperlink r:id="rId153">
        <w:r>
          <w:rPr>
            <w:rFonts w:ascii="Arial" w:cs="Arial" w:eastAsia="Arial" w:hAnsi="Arial"/>
            <w:sz w:val="18"/>
            <w:szCs w:val="18"/>
            <w:u w:val="single" w:color="auto"/>
            <w:color w:val="0000EE"/>
          </w:rPr>
          <w:t>230837)).</w:t>
        </w:r>
      </w:hyperlink>
    </w:p>
    <w:p>
      <w:pPr>
        <w:spacing w:after="0" w:line="187" w:lineRule="exact"/>
        <w:rPr>
          <w:rFonts w:ascii="Arial" w:cs="Arial" w:eastAsia="Arial" w:hAnsi="Arial"/>
          <w:sz w:val="18"/>
          <w:szCs w:val="18"/>
          <w:u w:val="single" w:color="auto"/>
          <w:color w:val="0000EE"/>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54">
        <w:r>
          <w:rPr>
            <w:rFonts w:ascii="Arial" w:cs="Arial" w:eastAsia="Arial" w:hAnsi="Arial"/>
            <w:sz w:val="18"/>
            <w:szCs w:val="18"/>
            <w:u w:val="single" w:color="auto"/>
            <w:color w:val="0000EE"/>
          </w:rPr>
          <w:t>NextCure, Inc. 2015 Omnibus Incentive Plan, as amended (incorporated by reference to Exhibit 10.6</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filed with Company’s Registration Statement on Form S-1 filed with the Commission on April 12, 2019</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(File No. 333-230837)).</w:t>
        </w:r>
      </w:hyperlink>
    </w:p>
    <w:p>
      <w:pPr>
        <w:spacing w:after="0" w:line="184" w:lineRule="exact"/>
        <w:rPr>
          <w:rFonts w:ascii="Arial" w:cs="Arial" w:eastAsia="Arial" w:hAnsi="Arial"/>
          <w:sz w:val="18"/>
          <w:szCs w:val="18"/>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10.4+ </w:t>
      </w:r>
      <w:hyperlink r:id="rId155">
        <w:r>
          <w:rPr>
            <w:rFonts w:ascii="Arial" w:cs="Arial" w:eastAsia="Arial" w:hAnsi="Arial"/>
            <w:sz w:val="18"/>
            <w:szCs w:val="18"/>
            <w:u w:val="single" w:color="auto"/>
            <w:color w:val="0000EE"/>
          </w:rPr>
          <w:t>Form of Stock Option Agreement under the NextCure, Inc. 2015 Omnibus Incentive Plan (incorporated</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EE"/>
          </w:rPr>
          <w:t>by reference to Exhibit 10.7 filed with Company’s Registration Statement on Form S-1 filed with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Commission on April 12, 2019 (File No. 333-230837)).</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57">
        <w:r>
          <w:rPr>
            <w:rFonts w:ascii="Arial" w:cs="Arial" w:eastAsia="Arial" w:hAnsi="Arial"/>
            <w:sz w:val="18"/>
            <w:szCs w:val="18"/>
            <w:u w:val="single" w:color="auto"/>
            <w:color w:val="0000EE"/>
          </w:rPr>
          <w:t>NextCure, Inc. 2019 Omnibus Incentive Plan (incorporated by reference to Exhibit 10.8 filed with</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Registration Statement on Form S-1/A filed with the Commission on April 29, 2019 (File No. 333-</w:t>
        </w:r>
      </w:hyperlink>
      <w:hyperlink r:id="rId157">
        <w:r>
          <w:rPr>
            <w:rFonts w:ascii="Arial" w:cs="Arial" w:eastAsia="Arial" w:hAnsi="Arial"/>
            <w:sz w:val="18"/>
            <w:szCs w:val="18"/>
            <w:u w:val="single" w:color="auto"/>
            <w:color w:val="0000EE"/>
          </w:rPr>
          <w:t>230837)).</w:t>
        </w:r>
      </w:hyperlink>
    </w:p>
    <w:p>
      <w:pPr>
        <w:spacing w:after="0" w:line="184" w:lineRule="exact"/>
        <w:rPr>
          <w:rFonts w:ascii="Arial" w:cs="Arial" w:eastAsia="Arial" w:hAnsi="Arial"/>
          <w:sz w:val="18"/>
          <w:szCs w:val="18"/>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158">
        <w:r>
          <w:rPr>
            <w:rFonts w:ascii="Arial" w:cs="Arial" w:eastAsia="Arial" w:hAnsi="Arial"/>
            <w:sz w:val="18"/>
            <w:szCs w:val="18"/>
            <w:u w:val="single" w:color="auto"/>
            <w:color w:val="0000EE"/>
          </w:rPr>
          <w:t>Forms of Stock Option Agreement under the NextCure, Inc. 2019 Omnibus Incentive Plan (incorporated</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by reference to Exhibit 10.9 filed with Company’s Registration Statement on Form S-1/A filed with the</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Commission on April 29, 2019 (File No. 333-230837)).</w:t>
        </w:r>
      </w:hyperlink>
    </w:p>
    <w:p>
      <w:pPr>
        <w:spacing w:after="0" w:line="184" w:lineRule="exact"/>
        <w:rPr>
          <w:rFonts w:ascii="Arial" w:cs="Arial" w:eastAsia="Arial" w:hAnsi="Arial"/>
          <w:sz w:val="18"/>
          <w:szCs w:val="18"/>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159">
        <w:r>
          <w:rPr>
            <w:rFonts w:ascii="Arial" w:cs="Arial" w:eastAsia="Arial" w:hAnsi="Arial"/>
            <w:sz w:val="18"/>
            <w:szCs w:val="18"/>
            <w:u w:val="single" w:color="auto"/>
            <w:color w:val="0000EE"/>
          </w:rPr>
          <w:t>Form of Restricted Stock Agreement under the NextCure, Inc. 2019 Omnibus Incentive Plan</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(incorporated by reference to Exhibit 10.10 filed with Company’s Registration Statement on Form S-1/A</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filed with the Commission on April 29, 2019 (File No. 333-230837)).</w:t>
        </w:r>
      </w:hyperlink>
    </w:p>
    <w:p>
      <w:pPr>
        <w:spacing w:after="0" w:line="184" w:lineRule="exact"/>
        <w:rPr>
          <w:rFonts w:ascii="Arial" w:cs="Arial" w:eastAsia="Arial" w:hAnsi="Arial"/>
          <w:sz w:val="18"/>
          <w:szCs w:val="18"/>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60">
        <w:r>
          <w:rPr>
            <w:rFonts w:ascii="Arial" w:cs="Arial" w:eastAsia="Arial" w:hAnsi="Arial"/>
            <w:sz w:val="18"/>
            <w:szCs w:val="18"/>
            <w:u w:val="single" w:color="auto"/>
            <w:color w:val="0000EE"/>
          </w:rPr>
          <w:t>Form of Restricted Stock Unit Agreement under the NextCure, Inc. 2019 Omnibus Incentive Plan</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EE"/>
          </w:rPr>
          <w:t>(incorporated by reference to Exhibit 10.11 filed with Company’s Registration Statement on Form S-1/A</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filed with the Commission on April 29, 2019 (File No. 333-230837)).</w:t>
        </w:r>
      </w:hyperlink>
    </w:p>
    <w:p>
      <w:pPr>
        <w:spacing w:after="0" w:line="184" w:lineRule="exact"/>
        <w:rPr>
          <w:rFonts w:ascii="Arial" w:cs="Arial" w:eastAsia="Arial" w:hAnsi="Arial"/>
          <w:sz w:val="18"/>
          <w:szCs w:val="18"/>
          <w:color w:val="auto"/>
        </w:rPr>
      </w:pPr>
    </w:p>
    <w:p>
      <w:pPr>
        <w:jc w:val="both"/>
        <w:ind w:left="1340" w:right="59" w:hanging="51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10.9+ </w:t>
      </w:r>
      <w:hyperlink r:id="rId161">
        <w:r>
          <w:rPr>
            <w:rFonts w:ascii="Arial" w:cs="Arial" w:eastAsia="Arial" w:hAnsi="Arial"/>
            <w:sz w:val="18"/>
            <w:szCs w:val="18"/>
            <w:u w:val="single" w:color="auto"/>
            <w:color w:val="0000EE"/>
          </w:rPr>
          <w:t>NextCure, Inc. 2019 Employee Stock Purchase Plan (incorporated by reference to Exhibit 10.12 filed</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EE"/>
          </w:rPr>
          <w:t>with Company’s Registration Statement on Form S-1/A filed with the Commission on April 29, 2019</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(File No. 333-230837)).</w:t>
        </w:r>
      </w:hyperlink>
    </w:p>
    <w:p>
      <w:pPr>
        <w:spacing w:after="0" w:line="184" w:lineRule="exact"/>
        <w:rPr>
          <w:rFonts w:ascii="Arial" w:cs="Arial" w:eastAsia="Arial" w:hAnsi="Arial"/>
          <w:sz w:val="18"/>
          <w:szCs w:val="18"/>
          <w:color w:val="auto"/>
        </w:rPr>
      </w:pPr>
    </w:p>
    <w:p>
      <w:pPr>
        <w:jc w:val="both"/>
        <w:ind w:left="134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10.10+ </w:t>
      </w:r>
      <w:hyperlink r:id="rId162">
        <w:r>
          <w:rPr>
            <w:rFonts w:ascii="Arial" w:cs="Arial" w:eastAsia="Arial" w:hAnsi="Arial"/>
            <w:sz w:val="18"/>
            <w:szCs w:val="18"/>
            <w:u w:val="single" w:color="auto"/>
            <w:color w:val="0000EE"/>
          </w:rPr>
          <w:t>Non-Employee Director Compensation Program (incorporated by reference to Exhibit 10.13 filed with</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Company’s Registration Statement on Form S-1/A filed with the Commission on April 29, 2019 (File</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No. 333-230837)).</w:t>
        </w:r>
      </w:hyperlink>
    </w:p>
    <w:p>
      <w:pPr>
        <w:spacing w:after="0" w:line="184" w:lineRule="exact"/>
        <w:rPr>
          <w:rFonts w:ascii="Arial" w:cs="Arial" w:eastAsia="Arial" w:hAnsi="Arial"/>
          <w:sz w:val="18"/>
          <w:szCs w:val="18"/>
          <w:color w:val="auto"/>
        </w:rPr>
      </w:pPr>
    </w:p>
    <w:p>
      <w:pPr>
        <w:jc w:val="both"/>
        <w:ind w:left="1340" w:right="59" w:hanging="59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163">
        <w:r>
          <w:rPr>
            <w:rFonts w:ascii="Arial" w:cs="Arial" w:eastAsia="Arial" w:hAnsi="Arial"/>
            <w:sz w:val="18"/>
            <w:szCs w:val="18"/>
            <w:u w:val="single" w:color="auto"/>
            <w:color w:val="0000EE"/>
          </w:rPr>
          <w:t>Form of Indemnification Agreement by and between the Company and each of its directors and executive</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officers (incorporated by reference to Exhibit 10.5 filed with Company’s Registration Statement on</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Form S-1 filed with the Commission on April 12, 2019 (File No. 333-230837)).</w:t>
        </w:r>
      </w:hyperlink>
    </w:p>
    <w:p>
      <w:pPr>
        <w:spacing w:after="0" w:line="184" w:lineRule="exact"/>
        <w:rPr>
          <w:rFonts w:ascii="Arial" w:cs="Arial" w:eastAsia="Arial" w:hAnsi="Arial"/>
          <w:sz w:val="18"/>
          <w:szCs w:val="18"/>
          <w:color w:val="auto"/>
        </w:rPr>
      </w:pPr>
    </w:p>
    <w:p>
      <w:pPr>
        <w:jc w:val="both"/>
        <w:ind w:left="134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164">
        <w:r>
          <w:rPr>
            <w:rFonts w:ascii="Arial" w:cs="Arial" w:eastAsia="Arial" w:hAnsi="Arial"/>
            <w:sz w:val="18"/>
            <w:szCs w:val="18"/>
            <w:u w:val="single" w:color="auto"/>
            <w:color w:val="0000EE"/>
          </w:rPr>
          <w:t>Employment Letter, dated as of September 12, 2016, by and between the Company and Michael Richman</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EE"/>
          </w:rPr>
          <w:t>(incorporated by reference to Exhibit 10.15 filed with Company’s Registration Statement on Form S-1</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filed with the Commission on April 12, 2019 (File No. 333-230837)).</w:t>
        </w:r>
      </w:hyperlink>
    </w:p>
    <w:p>
      <w:pPr>
        <w:spacing w:after="0" w:line="184" w:lineRule="exact"/>
        <w:rPr>
          <w:rFonts w:ascii="Arial" w:cs="Arial" w:eastAsia="Arial" w:hAnsi="Arial"/>
          <w:sz w:val="18"/>
          <w:szCs w:val="18"/>
          <w:color w:val="auto"/>
        </w:rPr>
      </w:pPr>
    </w:p>
    <w:p>
      <w:pPr>
        <w:jc w:val="both"/>
        <w:ind w:left="134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10.13+ </w:t>
      </w:r>
      <w:hyperlink r:id="rId165">
        <w:r>
          <w:rPr>
            <w:rFonts w:ascii="Arial" w:cs="Arial" w:eastAsia="Arial" w:hAnsi="Arial"/>
            <w:sz w:val="18"/>
            <w:szCs w:val="18"/>
            <w:u w:val="single" w:color="auto"/>
            <w:color w:val="0000EE"/>
          </w:rPr>
          <w:t>Employment Letter, dated as of December 18, 2017, by and between the Company and Steven P.</w:t>
        </w:r>
      </w:hyperlink>
      <w:r>
        <w:rPr>
          <w:rFonts w:ascii="Arial" w:cs="Arial" w:eastAsia="Arial" w:hAnsi="Arial"/>
          <w:sz w:val="18"/>
          <w:szCs w:val="18"/>
          <w:color w:val="auto"/>
        </w:rPr>
        <w:t xml:space="preserve"> </w:t>
      </w:r>
      <w:hyperlink r:id="rId165">
        <w:r>
          <w:rPr>
            <w:rFonts w:ascii="Arial" w:cs="Arial" w:eastAsia="Arial" w:hAnsi="Arial"/>
            <w:sz w:val="18"/>
            <w:szCs w:val="18"/>
            <w:u w:val="single" w:color="auto"/>
            <w:color w:val="0000EE"/>
          </w:rPr>
          <w:t>Cobourn (incorporated by reference to Exhibit 10.16 filed with Company’s Registration Statement on</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Form S-1 filed with the Commission on April 12, 2019 (File No. 333-230837)).</w:t>
        </w:r>
      </w:hyperlink>
    </w:p>
    <w:p>
      <w:pPr>
        <w:spacing w:after="0" w:line="184" w:lineRule="exact"/>
        <w:rPr>
          <w:rFonts w:ascii="Arial" w:cs="Arial" w:eastAsia="Arial" w:hAnsi="Arial"/>
          <w:sz w:val="18"/>
          <w:szCs w:val="18"/>
          <w:color w:val="auto"/>
        </w:rPr>
      </w:pPr>
    </w:p>
    <w:p>
      <w:pPr>
        <w:jc w:val="both"/>
        <w:ind w:left="1340" w:right="59" w:hanging="606"/>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10.14+ </w:t>
      </w:r>
      <w:hyperlink r:id="rId166">
        <w:r>
          <w:rPr>
            <w:rFonts w:ascii="Arial" w:cs="Arial" w:eastAsia="Arial" w:hAnsi="Arial"/>
            <w:sz w:val="17"/>
            <w:szCs w:val="17"/>
            <w:u w:val="single" w:color="auto"/>
            <w:color w:val="0000EE"/>
          </w:rPr>
          <w:t>Employment Letter, dated as of September 12, 2016, by and between the Company and Sol Langermann,</w:t>
        </w:r>
      </w:hyperlink>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EE"/>
          </w:rPr>
          <w:t>Ph.D. (incorporated by reference to Exhibit 10.17 filed with Company’s Registration Statement on</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Form S-1 filed with the Commission on April 12, 2019 (File No. 333-230837)).</w:t>
        </w:r>
      </w:hyperlink>
    </w:p>
    <w:p>
      <w:pPr>
        <w:spacing w:after="0" w:line="165" w:lineRule="exact"/>
        <w:rPr>
          <w:rFonts w:ascii="Arial" w:cs="Arial" w:eastAsia="Arial" w:hAnsi="Arial"/>
          <w:sz w:val="17"/>
          <w:szCs w:val="17"/>
          <w:color w:val="auto"/>
        </w:rPr>
      </w:pPr>
    </w:p>
    <w:p>
      <w:pPr>
        <w:jc w:val="both"/>
        <w:ind w:left="1340" w:right="59" w:hanging="606"/>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10.15† </w:t>
      </w:r>
      <w:hyperlink r:id="rId167">
        <w:r>
          <w:rPr>
            <w:rFonts w:ascii="Arial" w:cs="Arial" w:eastAsia="Arial" w:hAnsi="Arial"/>
            <w:sz w:val="18"/>
            <w:szCs w:val="18"/>
            <w:u w:val="single" w:color="auto"/>
            <w:color w:val="0000EE"/>
          </w:rPr>
          <w:t>Lease Agreement, dated as of January 30, 2019, by and between the Company and ARE-</w:t>
        </w:r>
      </w:hyperlink>
      <w:hyperlink r:id="rId167">
        <w:r>
          <w:rPr>
            <w:rFonts w:ascii="Arial" w:cs="Arial" w:eastAsia="Arial" w:hAnsi="Arial"/>
            <w:sz w:val="18"/>
            <w:szCs w:val="18"/>
            <w:u w:val="single" w:color="auto"/>
            <w:color w:val="0000EE"/>
          </w:rPr>
          <w:t>8000/9000/10000 Virginia Manor, LLC (incorporated by reference to Exhibit 10.14 filed with Company’s</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Registration Statement on Form S-1 filed with the Commission on April 12, 2019 (File No. 333-</w:t>
        </w:r>
      </w:hyperlink>
      <w:hyperlink r:id="rId167">
        <w:r>
          <w:rPr>
            <w:rFonts w:ascii="Arial" w:cs="Arial" w:eastAsia="Arial" w:hAnsi="Arial"/>
            <w:sz w:val="18"/>
            <w:szCs w:val="18"/>
            <w:u w:val="single" w:color="auto"/>
            <w:color w:val="0000EE"/>
          </w:rPr>
          <w:t>230837)).</w:t>
        </w:r>
      </w:hyperlink>
    </w:p>
    <w:p>
      <w:pPr>
        <w:spacing w:after="0" w:line="187" w:lineRule="exact"/>
        <w:rPr>
          <w:rFonts w:ascii="Arial" w:cs="Arial" w:eastAsia="Arial" w:hAnsi="Arial"/>
          <w:sz w:val="18"/>
          <w:szCs w:val="18"/>
          <w:u w:val="single" w:color="auto"/>
          <w:color w:val="0000EE"/>
        </w:rPr>
      </w:pPr>
    </w:p>
    <w:p>
      <w:pPr>
        <w:jc w:val="both"/>
        <w:ind w:left="1340" w:right="59" w:hanging="606"/>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10.16† </w:t>
      </w:r>
      <w:hyperlink r:id="rId168">
        <w:r>
          <w:rPr>
            <w:rFonts w:ascii="Arial" w:cs="Arial" w:eastAsia="Arial" w:hAnsi="Arial"/>
            <w:sz w:val="17"/>
            <w:szCs w:val="17"/>
            <w:u w:val="single" w:color="auto"/>
            <w:color w:val="0000EE"/>
          </w:rPr>
          <w:t>First Amendment to Lease Agreement, dated August 2, 2019, by and between the Company and ARE-</w:t>
        </w:r>
      </w:hyperlink>
      <w:hyperlink r:id="rId168">
        <w:r>
          <w:rPr>
            <w:rFonts w:ascii="Arial" w:cs="Arial" w:eastAsia="Arial" w:hAnsi="Arial"/>
            <w:sz w:val="17"/>
            <w:szCs w:val="17"/>
            <w:u w:val="single" w:color="auto"/>
            <w:color w:val="0000EE"/>
          </w:rPr>
          <w:t>8000/9000/10000 Virginia Manor, LLC (incorporated by reference to Exhibit 10.1 filed with Company’s</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Quarterly Report on Form 10-Q filed on November 12, 2019 (File No. 001-38905)).</w:t>
        </w:r>
      </w:hyperlink>
    </w:p>
    <w:p>
      <w:pPr>
        <w:spacing w:after="0" w:line="165" w:lineRule="exact"/>
        <w:rPr>
          <w:rFonts w:ascii="Arial" w:cs="Arial" w:eastAsia="Arial" w:hAnsi="Arial"/>
          <w:sz w:val="17"/>
          <w:szCs w:val="17"/>
          <w:color w:val="auto"/>
        </w:rPr>
      </w:pPr>
    </w:p>
    <w:p>
      <w:pPr>
        <w:jc w:val="both"/>
        <w:ind w:left="1340" w:right="59" w:hanging="606"/>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10.17† </w:t>
      </w:r>
      <w:hyperlink r:id="rId169">
        <w:r>
          <w:rPr>
            <w:rFonts w:ascii="Arial" w:cs="Arial" w:eastAsia="Arial" w:hAnsi="Arial"/>
            <w:sz w:val="17"/>
            <w:szCs w:val="17"/>
            <w:u w:val="single" w:color="auto"/>
            <w:color w:val="0000EE"/>
          </w:rPr>
          <w:t>Amended and Restated Sublease Agreement, dated as of March 15, 2019, by and between the Company</w:t>
        </w:r>
      </w:hyperlink>
      <w:r>
        <w:rPr>
          <w:rFonts w:ascii="Arial" w:cs="Arial" w:eastAsia="Arial" w:hAnsi="Arial"/>
          <w:sz w:val="17"/>
          <w:szCs w:val="17"/>
          <w:color w:val="auto"/>
        </w:rPr>
        <w:t xml:space="preserve"> </w:t>
      </w:r>
      <w:hyperlink r:id="rId169">
        <w:r>
          <w:rPr>
            <w:rFonts w:ascii="Arial" w:cs="Arial" w:eastAsia="Arial" w:hAnsi="Arial"/>
            <w:sz w:val="17"/>
            <w:szCs w:val="17"/>
            <w:u w:val="single" w:color="auto"/>
            <w:color w:val="0000EE"/>
          </w:rPr>
          <w:t>and Lupin, Inc. (incorporated by reference to Exhibit 10.4 filed with Company’s Registration Statement</w:t>
        </w:r>
      </w:hyperlink>
      <w:r>
        <w:rPr>
          <w:rFonts w:ascii="Arial" w:cs="Arial" w:eastAsia="Arial" w:hAnsi="Arial"/>
          <w:sz w:val="17"/>
          <w:szCs w:val="17"/>
          <w:u w:val="single" w:color="auto"/>
          <w:color w:val="0000EE"/>
        </w:rPr>
        <w:t xml:space="preserve"> </w:t>
      </w:r>
      <w:hyperlink r:id="rId169">
        <w:r>
          <w:rPr>
            <w:rFonts w:ascii="Arial" w:cs="Arial" w:eastAsia="Arial" w:hAnsi="Arial"/>
            <w:sz w:val="17"/>
            <w:szCs w:val="17"/>
            <w:u w:val="single" w:color="auto"/>
            <w:color w:val="0000EE"/>
          </w:rPr>
          <w:t>on Form S-1 filed with the Commission on April 12, 2019 (File No. 333-230837)).</w:t>
        </w:r>
      </w:hyperlink>
    </w:p>
    <w:p>
      <w:pPr>
        <w:spacing w:after="0" w:line="165" w:lineRule="exact"/>
        <w:rPr>
          <w:rFonts w:ascii="Arial" w:cs="Arial" w:eastAsia="Arial" w:hAnsi="Arial"/>
          <w:sz w:val="17"/>
          <w:szCs w:val="17"/>
          <w:color w:val="auto"/>
        </w:rPr>
      </w:pPr>
    </w:p>
    <w:p>
      <w:pPr>
        <w:ind w:left="82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28">
        <w:r>
          <w:rPr>
            <w:rFonts w:ascii="Arial" w:cs="Arial" w:eastAsia="Arial" w:hAnsi="Arial"/>
            <w:sz w:val="16"/>
            <w:szCs w:val="16"/>
            <w:u w:val="single" w:color="auto"/>
            <w:color w:val="0000EE"/>
          </w:rPr>
          <w:t>Consent of Ernst &amp; Young LLP, independent registered public accounting firm.</w:t>
        </w:r>
      </w:hyperlink>
    </w:p>
    <w:p>
      <w:pPr>
        <w:spacing w:after="0" w:line="225" w:lineRule="exact"/>
        <w:rPr>
          <w:rFonts w:ascii="Arial" w:cs="Arial" w:eastAsia="Arial" w:hAnsi="Arial"/>
          <w:sz w:val="17"/>
          <w:szCs w:val="17"/>
          <w:color w:val="auto"/>
        </w:rPr>
      </w:pPr>
    </w:p>
    <w:p>
      <w:pPr>
        <w:ind w:left="1340" w:right="59" w:hanging="516"/>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29">
        <w:r>
          <w:rPr>
            <w:rFonts w:ascii="Arial" w:cs="Arial" w:eastAsia="Arial" w:hAnsi="Arial"/>
            <w:sz w:val="18"/>
            <w:szCs w:val="18"/>
            <w:u w:val="single" w:color="auto"/>
            <w:color w:val="0000EE"/>
          </w:rPr>
          <w:t>Certification of Michael Richman pursuant to Rule 13a-14(a) under the Securities Exchange Act of 1934</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as adopted pursuant to Section 302 of the Sarbanes-Oxley Act of 2002.</w:t>
        </w:r>
      </w:hyperlink>
    </w:p>
    <w:p>
      <w:pPr>
        <w:sectPr>
          <w:pgSz w:w="11900" w:h="16838" w:orient="portrait"/>
          <w:cols w:equalWidth="0" w:num="1">
            <w:col w:w="9019"/>
          </w:cols>
          <w:pgMar w:left="1440" w:top="125"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21" w:name="page122"/>
    <w:bookmarkEnd w:id="1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40" w:right="59" w:hanging="516"/>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30">
        <w:r>
          <w:rPr>
            <w:rFonts w:ascii="Arial" w:cs="Arial" w:eastAsia="Arial" w:hAnsi="Arial"/>
            <w:sz w:val="18"/>
            <w:szCs w:val="18"/>
            <w:u w:val="single" w:color="auto"/>
            <w:color w:val="0000EE"/>
          </w:rPr>
          <w:t>Certification of Steven P. Cobourn pursuant to Rule 13a-14(a) under the Securities Exchange Act of 1934</w:t>
        </w:r>
      </w:hyperlink>
      <w:r>
        <w:rPr>
          <w:rFonts w:ascii="Arial" w:cs="Arial" w:eastAsia="Arial" w:hAnsi="Arial"/>
          <w:sz w:val="18"/>
          <w:szCs w:val="18"/>
          <w:u w:val="single" w:color="auto"/>
          <w:color w:val="0000EE"/>
        </w:rPr>
        <w:t xml:space="preserve"> </w:t>
      </w:r>
      <w:hyperlink w:anchor="page130">
        <w:r>
          <w:rPr>
            <w:rFonts w:ascii="Arial" w:cs="Arial" w:eastAsia="Arial" w:hAnsi="Arial"/>
            <w:sz w:val="18"/>
            <w:szCs w:val="18"/>
            <w:u w:val="single" w:color="auto"/>
            <w:color w:val="0000EE"/>
          </w:rPr>
          <w:t>as adopted pursuant to Section 302 of the Sarbanes-Oxley Act of 2002.</w:t>
        </w:r>
      </w:hyperlink>
    </w:p>
    <w:p>
      <w:pPr>
        <w:spacing w:after="0" w:line="170" w:lineRule="exact"/>
        <w:rPr>
          <w:sz w:val="20"/>
          <w:szCs w:val="20"/>
          <w:color w:val="auto"/>
        </w:rPr>
      </w:pPr>
    </w:p>
    <w:p>
      <w:pPr>
        <w:ind w:left="1340" w:right="79" w:hanging="516"/>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31">
        <w:r>
          <w:rPr>
            <w:rFonts w:ascii="Arial" w:cs="Arial" w:eastAsia="Arial" w:hAnsi="Arial"/>
            <w:sz w:val="18"/>
            <w:szCs w:val="18"/>
            <w:u w:val="single" w:color="auto"/>
            <w:color w:val="0000EE"/>
          </w:rPr>
          <w:t>Certification of Michael Richman and Steven P. Cobourn pursuant to 18 U.S.C. Section 1350 as adopted</w:t>
        </w:r>
      </w:hyperlink>
      <w:r>
        <w:rPr>
          <w:rFonts w:ascii="Arial" w:cs="Arial" w:eastAsia="Arial" w:hAnsi="Arial"/>
          <w:sz w:val="18"/>
          <w:szCs w:val="18"/>
          <w:u w:val="single" w:color="auto"/>
          <w:color w:val="0000EE"/>
        </w:rPr>
        <w:t xml:space="preserve"> </w:t>
      </w:r>
      <w:hyperlink w:anchor="page131">
        <w:r>
          <w:rPr>
            <w:rFonts w:ascii="Arial" w:cs="Arial" w:eastAsia="Arial" w:hAnsi="Arial"/>
            <w:sz w:val="18"/>
            <w:szCs w:val="18"/>
            <w:u w:val="single" w:color="auto"/>
            <w:color w:val="0000EE"/>
          </w:rPr>
          <w:t>pursuant to Section 906 of the Sarbanes-Oxley Act of 2002.</w:t>
        </w:r>
      </w:hyperlink>
    </w:p>
    <w:p>
      <w:pPr>
        <w:spacing w:after="0" w:line="170" w:lineRule="exact"/>
        <w:rPr>
          <w:sz w:val="20"/>
          <w:szCs w:val="20"/>
          <w:color w:val="auto"/>
        </w:rPr>
      </w:pPr>
    </w:p>
    <w:p>
      <w:pPr>
        <w:ind w:left="220"/>
        <w:spacing w:after="0"/>
        <w:tabs>
          <w:tab w:leader="none" w:pos="1320" w:val="left"/>
        </w:tabs>
        <w:rPr>
          <w:sz w:val="20"/>
          <w:szCs w:val="20"/>
          <w:color w:val="auto"/>
        </w:rPr>
      </w:pPr>
      <w:r>
        <w:rPr>
          <w:rFonts w:ascii="Arial" w:cs="Arial" w:eastAsia="Arial" w:hAnsi="Arial"/>
          <w:sz w:val="18"/>
          <w:szCs w:val="18"/>
          <w:color w:val="auto"/>
        </w:rPr>
        <w:t>EX-101.INS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color w:val="auto"/>
        </w:rPr>
        <w:t>EX-101.SCH</w:t>
      </w:r>
      <w:r>
        <w:rPr>
          <w:sz w:val="20"/>
          <w:szCs w:val="20"/>
          <w:color w:val="auto"/>
        </w:rPr>
        <w:tab/>
      </w:r>
      <w:r>
        <w:rPr>
          <w:rFonts w:ascii="Arial" w:cs="Arial" w:eastAsia="Arial" w:hAnsi="Arial"/>
          <w:sz w:val="16"/>
          <w:szCs w:val="16"/>
          <w:color w:val="auto"/>
        </w:rPr>
        <w:t>XBRL Taxonomy Extension Schema Document</w:t>
      </w:r>
    </w:p>
    <w:p>
      <w:pPr>
        <w:spacing w:after="0" w:line="225"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color w:val="auto"/>
        </w:rPr>
        <w:t>EX-101.CAL</w:t>
      </w:r>
      <w:r>
        <w:rPr>
          <w:sz w:val="20"/>
          <w:szCs w:val="20"/>
          <w:color w:val="auto"/>
        </w:rPr>
        <w:tab/>
      </w:r>
      <w:r>
        <w:rPr>
          <w:rFonts w:ascii="Arial" w:cs="Arial" w:eastAsia="Arial" w:hAnsi="Arial"/>
          <w:sz w:val="16"/>
          <w:szCs w:val="16"/>
          <w:color w:val="auto"/>
        </w:rPr>
        <w:t>XBRL Taxonomy Extension Calculation Linkbase Document</w:t>
      </w:r>
    </w:p>
    <w:p>
      <w:pPr>
        <w:spacing w:after="0" w:line="225" w:lineRule="exact"/>
        <w:rPr>
          <w:sz w:val="20"/>
          <w:szCs w:val="20"/>
          <w:color w:val="auto"/>
        </w:rPr>
      </w:pPr>
    </w:p>
    <w:p>
      <w:pPr>
        <w:ind w:left="180"/>
        <w:spacing w:after="0"/>
        <w:tabs>
          <w:tab w:leader="none" w:pos="1320" w:val="left"/>
        </w:tabs>
        <w:rPr>
          <w:sz w:val="20"/>
          <w:szCs w:val="20"/>
          <w:color w:val="auto"/>
        </w:rPr>
      </w:pPr>
      <w:r>
        <w:rPr>
          <w:rFonts w:ascii="Arial" w:cs="Arial" w:eastAsia="Arial" w:hAnsi="Arial"/>
          <w:sz w:val="18"/>
          <w:szCs w:val="18"/>
          <w:color w:val="auto"/>
        </w:rPr>
        <w:t>EX-101.DEF</w:t>
      </w:r>
      <w:r>
        <w:rPr>
          <w:sz w:val="20"/>
          <w:szCs w:val="20"/>
          <w:color w:val="auto"/>
        </w:rPr>
        <w:tab/>
      </w:r>
      <w:r>
        <w:rPr>
          <w:rFonts w:ascii="Arial" w:cs="Arial" w:eastAsia="Arial" w:hAnsi="Arial"/>
          <w:sz w:val="16"/>
          <w:szCs w:val="16"/>
          <w:color w:val="auto"/>
        </w:rPr>
        <w:t>XBRL Taxonomy Extension Definition Linkbase Document</w:t>
      </w:r>
    </w:p>
    <w:p>
      <w:pPr>
        <w:spacing w:after="0" w:line="225"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color w:val="auto"/>
        </w:rPr>
        <w:t>EX-101.LAB</w:t>
      </w:r>
      <w:r>
        <w:rPr>
          <w:sz w:val="20"/>
          <w:szCs w:val="20"/>
          <w:color w:val="auto"/>
        </w:rPr>
        <w:tab/>
      </w:r>
      <w:r>
        <w:rPr>
          <w:rFonts w:ascii="Arial" w:cs="Arial" w:eastAsia="Arial" w:hAnsi="Arial"/>
          <w:sz w:val="16"/>
          <w:szCs w:val="16"/>
          <w:color w:val="auto"/>
        </w:rPr>
        <w:t>XBRL Taxonomy Extension Label Linkbase Document</w:t>
      </w:r>
    </w:p>
    <w:p>
      <w:pPr>
        <w:spacing w:after="0" w:line="225" w:lineRule="exact"/>
        <w:rPr>
          <w:sz w:val="20"/>
          <w:szCs w:val="20"/>
          <w:color w:val="auto"/>
        </w:rPr>
      </w:pPr>
    </w:p>
    <w:p>
      <w:pPr>
        <w:ind w:left="180"/>
        <w:spacing w:after="0"/>
        <w:tabs>
          <w:tab w:leader="none" w:pos="1320" w:val="left"/>
        </w:tabs>
        <w:rPr>
          <w:sz w:val="20"/>
          <w:szCs w:val="20"/>
          <w:color w:val="auto"/>
        </w:rPr>
      </w:pPr>
      <w:r>
        <w:rPr>
          <w:rFonts w:ascii="Arial" w:cs="Arial" w:eastAsia="Arial" w:hAnsi="Arial"/>
          <w:sz w:val="18"/>
          <w:szCs w:val="18"/>
          <w:color w:val="auto"/>
        </w:rPr>
        <w:t>EX-101.PRE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9" w:lineRule="exact"/>
        <w:rPr>
          <w:sz w:val="20"/>
          <w:szCs w:val="20"/>
          <w:color w:val="auto"/>
        </w:rPr>
      </w:pPr>
    </w:p>
    <w:p>
      <w:pPr>
        <w:ind w:left="380" w:hanging="336"/>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ind w:left="360" w:hanging="316"/>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this exhibit have been omitted in compliance with Item 601 of Regulation S-K.</w:t>
      </w:r>
    </w:p>
    <w:p>
      <w:pPr>
        <w:spacing w:after="0" w:line="206" w:lineRule="exact"/>
        <w:rPr>
          <w:rFonts w:ascii="Arial" w:cs="Arial" w:eastAsia="Arial" w:hAnsi="Arial"/>
          <w:sz w:val="18"/>
          <w:szCs w:val="18"/>
          <w:color w:val="auto"/>
        </w:rPr>
      </w:pPr>
    </w:p>
    <w:p>
      <w:pPr>
        <w:ind w:left="700" w:right="5999"/>
        <w:spacing w:after="0" w:line="532" w:lineRule="auto"/>
        <w:rPr>
          <w:rFonts w:ascii="Arial" w:cs="Arial" w:eastAsia="Arial" w:hAnsi="Arial"/>
          <w:sz w:val="18"/>
          <w:szCs w:val="18"/>
          <w:color w:val="auto"/>
        </w:rPr>
      </w:pPr>
      <w:r>
        <w:rPr>
          <w:rFonts w:ascii="Arial" w:cs="Arial" w:eastAsia="Arial" w:hAnsi="Arial"/>
          <w:sz w:val="18"/>
          <w:szCs w:val="18"/>
          <w:b w:val="1"/>
          <w:bCs w:val="1"/>
          <w:color w:val="auto"/>
        </w:rPr>
        <w:t xml:space="preserve">Item 16. Form 10-K Summary </w:t>
      </w:r>
      <w:r>
        <w:rPr>
          <w:rFonts w:ascii="Arial" w:cs="Arial" w:eastAsia="Arial" w:hAnsi="Arial"/>
          <w:sz w:val="18"/>
          <w:szCs w:val="18"/>
          <w:color w:val="auto"/>
        </w:rPr>
        <w:t>None.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2" w:name="page123"/>
    <w:bookmarkEnd w:id="1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900" w:type="dxa"/>
            <w:vAlign w:val="bottom"/>
            <w:gridSpan w:val="2"/>
          </w:tcPr>
          <w:p>
            <w:pPr>
              <w:ind w:left="144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March 12, 2020</w:t>
            </w:r>
          </w:p>
        </w:tc>
        <w:tc>
          <w:tcPr>
            <w:tcW w:w="5900" w:type="dxa"/>
            <w:vAlign w:val="bottom"/>
            <w:gridSpan w:val="2"/>
          </w:tcPr>
          <w:p>
            <w:pPr>
              <w:ind w:left="1440"/>
              <w:spacing w:after="0"/>
              <w:rPr>
                <w:sz w:val="20"/>
                <w:szCs w:val="20"/>
                <w:color w:val="auto"/>
              </w:rPr>
            </w:pPr>
            <w:r>
              <w:rPr>
                <w:rFonts w:ascii="Arial" w:cs="Arial" w:eastAsia="Arial" w:hAnsi="Arial"/>
                <w:sz w:val="18"/>
                <w:szCs w:val="18"/>
                <w:color w:val="auto"/>
              </w:rPr>
              <w:t>By:    /s/ Michael Richman</w:t>
            </w:r>
          </w:p>
        </w:tc>
      </w:tr>
      <w:tr>
        <w:trPr>
          <w:trHeight w:val="211"/>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Richman</w:t>
            </w:r>
          </w:p>
        </w:tc>
      </w:tr>
    </w:tbl>
    <w:p>
      <w:pPr>
        <w:ind w:left="5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Michael Richman</w:t>
            </w:r>
          </w:p>
        </w:tc>
        <w:tc>
          <w:tcPr>
            <w:tcW w:w="4360" w:type="dxa"/>
            <w:vAlign w:val="bottom"/>
            <w:gridSpan w:val="3"/>
          </w:tcPr>
          <w:p>
            <w:pPr>
              <w:ind w:left="220"/>
              <w:spacing w:after="0"/>
              <w:rPr>
                <w:sz w:val="20"/>
                <w:szCs w:val="20"/>
                <w:color w:val="auto"/>
              </w:rPr>
            </w:pPr>
            <w:r>
              <w:rPr>
                <w:rFonts w:ascii="Arial" w:cs="Arial" w:eastAsia="Arial" w:hAnsi="Arial"/>
                <w:sz w:val="18"/>
                <w:szCs w:val="18"/>
                <w:i w:val="1"/>
                <w:iCs w:val="1"/>
                <w:color w:val="auto"/>
              </w:rPr>
              <w:t>(Principal Executive Officer)</w:t>
            </w: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Steven P. Cobourn</w:t>
            </w:r>
          </w:p>
        </w:tc>
        <w:tc>
          <w:tcPr>
            <w:tcW w:w="4360" w:type="dxa"/>
            <w:vAlign w:val="bottom"/>
            <w:gridSpan w:val="3"/>
          </w:tcPr>
          <w:p>
            <w:pPr>
              <w:ind w:left="220"/>
              <w:spacing w:after="0"/>
              <w:rPr>
                <w:sz w:val="20"/>
                <w:szCs w:val="20"/>
                <w:color w:val="auto"/>
              </w:rPr>
            </w:pPr>
            <w:r>
              <w:rPr>
                <w:rFonts w:ascii="Arial" w:cs="Arial" w:eastAsia="Arial" w:hAnsi="Arial"/>
                <w:sz w:val="18"/>
                <w:szCs w:val="18"/>
                <w:i w:val="1"/>
                <w:iCs w:val="1"/>
                <w:color w:val="auto"/>
              </w:rPr>
              <w:t>(Principal Financial and Accounting Officer)</w:t>
            </w: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Kabakoff, Ph.D.</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Chair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David Kabakoff, Ph.D.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Elaine V. Jones, Ph.D.</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Elaine V. Jones, Ph.D.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Chau Q. Khuong</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Chau Q. Khuong</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J. Li</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Judith J. Li</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Morrison, M.D.</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Briggs Morrison, M.D.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Shannon, M.D.</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Tim Shannon, M.D.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Webster</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Stephen Webster</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Stella Xu</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Stella Xu</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850"/>
        </w:trPr>
        <w:tc>
          <w:tcPr>
            <w:tcW w:w="2620" w:type="dxa"/>
            <w:vAlign w:val="bottom"/>
          </w:tcPr>
          <w:p>
            <w:pPr>
              <w:spacing w:after="0"/>
              <w:rPr>
                <w:sz w:val="24"/>
                <w:szCs w:val="24"/>
                <w:color w:val="auto"/>
              </w:rPr>
            </w:pPr>
          </w:p>
        </w:tc>
        <w:tc>
          <w:tcPr>
            <w:tcW w:w="4100" w:type="dxa"/>
            <w:vAlign w:val="bottom"/>
            <w:gridSpan w:val="2"/>
          </w:tcPr>
          <w:p>
            <w:pPr>
              <w:ind w:left="170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60"/>
        </w:trPr>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As of the end of the period covered by the Annual Report on Form 10-K of which this exhibit forms a part, the only class of securities of NextCure, Inc. (“we” and “our”) registered under Section 12 of the Securities Exchange Act of 1934, as amended (the “Exchange Act”), is our common stock, $0.001 par value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The following summary describes our common stock and certain provisions of our amended and restated certificate of incorporation, our amended and restated bylaws, our amended and restated investors’ rights agreement and the Delaware General Corporation Law. Because the following is only a summary, it does not contain all of the information that may be important to you. For a complete description, you should refer to our amended and restated certificate of incorporation, our amended and restated bylaws and our amended and restated investors’ rights agreement, which are incorporated by reference as exhibits to the Annual Report on Form 10-K of which this exhibit is a part, and the applicable provisions of the Delaware General Corporation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100,000,000 shares of common stock, $0.001 par value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our stockholders, including the election of directors. Our stockholders do not have cumulative voting rights in the election of directors. Accordingly, holders of a majority of the voting shares are able to elect all of our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the classified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our amended and restated certificate of incorporation, 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For example, the issuance of our preferred stock could adversely affect the voting power of holders of common stock and the likelihood that such holders will receive dividend payments and payments upon our liquidation.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our amended and restated investors’ rights agreement, the holders of certain shares of common stock, or their transferees, have the right to require us to register their shares under the Securities Act of 1933, as amended, or the Securities Act, so that those shares may be publicly resold, and the right to include their shares in any registration statement we file subject to certain limitations. These rights will expire, with respect to any particular stockholder, upon the earlier of May 13, 2024 and when that stockholder can sell all of its shares under Rule 144 under the Securities Act without limitation during any three-month period without registration.</w:t>
      </w:r>
    </w:p>
    <w:p>
      <w:pPr>
        <w:spacing w:after="0" w:line="188" w:lineRule="exact"/>
        <w:rPr>
          <w:sz w:val="20"/>
          <w:szCs w:val="20"/>
          <w:color w:val="auto"/>
        </w:rPr>
      </w:pPr>
    </w:p>
    <w:p>
      <w:pPr>
        <w:jc w:val="both"/>
        <w:ind w:left="180" w:hanging="179"/>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 traded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have the effect of delaying, deferring, preventing or otherwise impeding any attempt to change control of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a special meeting of stockholders may be called only by or at the direction of our board of directors or by the Chair of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 Board Size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board of directors is divided into three classes. The directors in each class serve for a three-year term, one class being elected each year by our stockholders, with staggered three-year terms. Only one class of directors are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Any vacancy on our board of directors, however occurring, including a vacancy resulting from an increase in the size of our board, may only be filled by a resolution of our board of directors unless our board of directors determines that such vacancies shall be filled by our stockholders. Furthermore, the authorized number of directors may be changed only by a resolution of our board of directors. This system of electing and removing directors, filling vacancies and fixing the size of our board may tend to discourage a third party from making a tender offer or otherwise attempting to obtain control of us, because it generally makes it more difficult for stockholders to replace a majority of the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or, if subject matter jurisdiction of such action is vested exclusively in the federal courts, the United States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officers and employees, (iii) 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 actions arising under the Securities Act or the Exchange Act. Although our amended and restated bylaws contain the choice of forum provision described above, it is possible that a court could find that such a provision is inapplicable for a particular claim or action or that such provision is unenforceable.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amendment of any of the above provisions that are in our amended and restated certificate of incorporation, except for the provision making it possible for our board of directors to issue undesignated preferred stock, would require approval by a stockholder vote by the holders of at least a 662/3% of the voting power of our then outstanding voting stock.</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“NXTC”.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60" w:right="40" w:hanging="327"/>
        <w:spacing w:after="0" w:line="26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S-8 No. 333-231438) pertaining to the NextCure, Inc. 2019 Employee Stock Purchase Plan; and</w:t>
      </w:r>
    </w:p>
    <w:p>
      <w:pPr>
        <w:spacing w:after="0" w:line="190" w:lineRule="exact"/>
        <w:rPr>
          <w:rFonts w:ascii="Arial" w:cs="Arial" w:eastAsia="Arial" w:hAnsi="Arial"/>
          <w:sz w:val="20"/>
          <w:szCs w:val="20"/>
          <w:color w:val="auto"/>
        </w:rPr>
      </w:pPr>
    </w:p>
    <w:p>
      <w:pPr>
        <w:ind w:left="660" w:right="200" w:hanging="327"/>
        <w:spacing w:after="0" w:line="26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S-8 No. 333-231436) pertaining to the NextCure, Inc. 2015 Omnibus Incentive Plan and the NextCure, Inc. 2019 Omnibus Incentive Plan;</w:t>
      </w:r>
    </w:p>
    <w:p>
      <w:pPr>
        <w:spacing w:after="0" w:line="19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of our report dated March 12, 2020, with respect to the financial statements of NextCure, Inc. included in this Annual Report (Form 10-K) of NextCure, Inc. for the year ended December 31, 2019.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7"/>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NextCure, Inc.;</w:t>
      </w:r>
    </w:p>
    <w:p>
      <w:pPr>
        <w:spacing w:after="0" w:line="225" w:lineRule="exact"/>
        <w:rPr>
          <w:rFonts w:ascii="Arial" w:cs="Arial" w:eastAsia="Arial" w:hAnsi="Arial"/>
          <w:sz w:val="18"/>
          <w:szCs w:val="18"/>
          <w:color w:val="auto"/>
        </w:rPr>
      </w:pPr>
    </w:p>
    <w:p>
      <w:pPr>
        <w:ind w:left="660" w:right="200" w:hanging="327"/>
        <w:spacing w:after="0" w:line="263" w:lineRule="auto"/>
        <w:tabs>
          <w:tab w:leader="none" w:pos="6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7"/>
        <w:spacing w:after="0" w:line="263" w:lineRule="auto"/>
        <w:tabs>
          <w:tab w:leader="none" w:pos="6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7"/>
        <w:spacing w:after="0" w:line="277"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firstLine="1"/>
        <w:spacing w:after="0" w:line="311" w:lineRule="auto"/>
        <w:tabs>
          <w:tab w:leader="none" w:pos="131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80" w:firstLine="1"/>
        <w:spacing w:after="0" w:line="263" w:lineRule="auto"/>
        <w:tabs>
          <w:tab w:leader="none" w:pos="13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firstLine="1"/>
        <w:spacing w:after="0" w:line="311" w:lineRule="auto"/>
        <w:tabs>
          <w:tab w:leader="none" w:pos="131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7"/>
        <w:spacing w:after="0" w:line="263"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firstLine="1"/>
        <w:spacing w:after="0" w:line="263" w:lineRule="auto"/>
        <w:tabs>
          <w:tab w:leader="none" w:pos="13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firstLine="1"/>
        <w:spacing w:after="0" w:line="277" w:lineRule="auto"/>
        <w:tabs>
          <w:tab w:leader="none" w:pos="131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7"/>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NextCure, Inc.;</w:t>
      </w:r>
    </w:p>
    <w:p>
      <w:pPr>
        <w:spacing w:after="0" w:line="225" w:lineRule="exact"/>
        <w:rPr>
          <w:rFonts w:ascii="Arial" w:cs="Arial" w:eastAsia="Arial" w:hAnsi="Arial"/>
          <w:sz w:val="18"/>
          <w:szCs w:val="18"/>
          <w:color w:val="auto"/>
        </w:rPr>
      </w:pPr>
    </w:p>
    <w:p>
      <w:pPr>
        <w:ind w:left="660" w:right="200" w:hanging="327"/>
        <w:spacing w:after="0" w:line="263" w:lineRule="auto"/>
        <w:tabs>
          <w:tab w:leader="none" w:pos="6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7"/>
        <w:spacing w:after="0" w:line="263" w:lineRule="auto"/>
        <w:tabs>
          <w:tab w:leader="none" w:pos="6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7"/>
        <w:spacing w:after="0" w:line="277"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firstLine="1"/>
        <w:spacing w:after="0" w:line="311" w:lineRule="auto"/>
        <w:tabs>
          <w:tab w:leader="none" w:pos="1315"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80" w:firstLine="1"/>
        <w:spacing w:after="0" w:line="263" w:lineRule="auto"/>
        <w:tabs>
          <w:tab w:leader="none" w:pos="13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firstLine="1"/>
        <w:spacing w:after="0" w:line="311" w:lineRule="auto"/>
        <w:tabs>
          <w:tab w:leader="none" w:pos="1315"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7"/>
        <w:spacing w:after="0" w:line="263"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firstLine="1"/>
        <w:spacing w:after="0" w:line="263" w:lineRule="auto"/>
        <w:tabs>
          <w:tab w:leader="none" w:pos="13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firstLine="1"/>
        <w:spacing w:after="0" w:line="277" w:lineRule="auto"/>
        <w:tabs>
          <w:tab w:leader="none" w:pos="131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the Annual Report on Form 10-K of NextCure, Inc. (the “Company”) for the year ended December 31, 2019,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3"/>
        <w:spacing w:after="0"/>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3"/>
        <w:spacing w:after="0" w:line="277" w:lineRule="auto"/>
        <w:tabs>
          <w:tab w:leader="none" w:pos="10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lowerRoman"/>
      <w:start w:val="2"/>
    </w:lvl>
  </w:abstractNum>
  <w:abstractNum w:abstractNumId="12">
    <w:nsid w:val="77465F01"/>
    <w:multiLevelType w:val="hybridMultilevel"/>
    <w:lvl w:ilvl="0">
      <w:lvlJc w:val="left"/>
      <w:lvlText w:val="(%1)"/>
      <w:numFmt w:val="lowerRoman"/>
      <w:start w:val="4"/>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Roman"/>
      <w:start w:val="4"/>
    </w:lvl>
  </w:abstractNum>
  <w:abstractNum w:abstractNumId="47">
    <w:nsid w:val="4F4EF005"/>
    <w:multiLevelType w:val="hybridMultilevel"/>
    <w:lvl w:ilvl="0">
      <w:lvlJc w:val="left"/>
      <w:lvlText w:val="(%1)"/>
      <w:numFmt w:val="lowerRoman"/>
      <w:start w:val="2"/>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lowerRoman"/>
      <w:start w:val="4"/>
    </w:lvl>
  </w:abstractNum>
  <w:abstractNum w:abstractNumId="53">
    <w:nsid w:val="180115BE"/>
    <w:multiLevelType w:val="hybridMultilevel"/>
    <w:lvl w:ilvl="0">
      <w:lvlJc w:val="left"/>
      <w:lvlText w:val="(%1)"/>
      <w:numFmt w:val="lowerRoman"/>
      <w:start w:val="2"/>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6"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49" Type="http://schemas.openxmlformats.org/officeDocument/2006/relationships/hyperlink" Target="http://www.sec.gov/Archives/edgar/data/1661059/000104746919003060/a2238817zex-3_1.htm" TargetMode="External"/><Relationship Id="rId150" Type="http://schemas.openxmlformats.org/officeDocument/2006/relationships/hyperlink" Target="http://www.sec.gov/Archives/edgar/data/1661059/000104746919003060/a2238817zex-3_2.htm" TargetMode="External"/><Relationship Id="rId151" Type="http://schemas.openxmlformats.org/officeDocument/2006/relationships/hyperlink" Target="http://www.sec.gov/Archives/edgar/data/1661059/000104746919002203/a2238441zex-4_1.htm" TargetMode="External"/><Relationship Id="rId152" Type="http://schemas.openxmlformats.org/officeDocument/2006/relationships/hyperlink" Target="http://www.sec.gov/Archives/edgar/data/1661059/000104746919002203/a2238441zex-10_1.htm" TargetMode="External"/><Relationship Id="rId153" Type="http://schemas.openxmlformats.org/officeDocument/2006/relationships/hyperlink" Target="http://www.sec.gov/Archives/edgar/data/1661059/000104746919002203/a2238441zex-10_2.htm" TargetMode="External"/><Relationship Id="rId154" Type="http://schemas.openxmlformats.org/officeDocument/2006/relationships/hyperlink" Target="http://www.sec.gov/Archives/edgar/data/1661059/000104746919002203/a2238441zex-10_6.htm" TargetMode="External"/><Relationship Id="rId155" Type="http://schemas.openxmlformats.org/officeDocument/2006/relationships/hyperlink" Target="http://www.sec.gov/Archives/edgar/data/1661059/000104746919002203/a2238441zex-10_7.htm" TargetMode="External"/><Relationship Id="rId157" Type="http://schemas.openxmlformats.org/officeDocument/2006/relationships/hyperlink" Target="http://www.sec.gov/Archives/edgar/data/1661059/000104746919002652/a2238596zex-10_8.htm" TargetMode="External"/><Relationship Id="rId158" Type="http://schemas.openxmlformats.org/officeDocument/2006/relationships/hyperlink" Target="http://www.sec.gov/Archives/edgar/data/1661059/000104746919002652/a2238596zex-10_9.htm" TargetMode="External"/><Relationship Id="rId159" Type="http://schemas.openxmlformats.org/officeDocument/2006/relationships/hyperlink" Target="http://www.sec.gov/Archives/edgar/data/1661059/000104746919002652/a2238596zex-10_10.htm" TargetMode="External"/><Relationship Id="rId160" Type="http://schemas.openxmlformats.org/officeDocument/2006/relationships/hyperlink" Target="http://www.sec.gov/Archives/edgar/data/1661059/000104746919002652/a2238596zex-10_11.htm" TargetMode="External"/><Relationship Id="rId161" Type="http://schemas.openxmlformats.org/officeDocument/2006/relationships/hyperlink" Target="http://www.sec.gov/Archives/edgar/data/1661059/000104746919002652/a2238596zex-10_12.htm" TargetMode="External"/><Relationship Id="rId162" Type="http://schemas.openxmlformats.org/officeDocument/2006/relationships/hyperlink" Target="http://www.sec.gov/Archives/edgar/data/1661059/000104746919002652/a2238596zex-10_13.htm" TargetMode="External"/><Relationship Id="rId163" Type="http://schemas.openxmlformats.org/officeDocument/2006/relationships/hyperlink" Target="http://www.sec.gov/Archives/edgar/data/1661059/000104746919002203/a2238441zex-10_5.htm" TargetMode="External"/><Relationship Id="rId164" Type="http://schemas.openxmlformats.org/officeDocument/2006/relationships/hyperlink" Target="http://www.sec.gov/Archives/edgar/data/1661059/000104746919002203/a2238441zex-10_15.htm" TargetMode="External"/><Relationship Id="rId165" Type="http://schemas.openxmlformats.org/officeDocument/2006/relationships/hyperlink" Target="http://www.sec.gov/Archives/edgar/data/1661059/000104746919002203/a2238441zex-10_16.htm" TargetMode="External"/><Relationship Id="rId166" Type="http://schemas.openxmlformats.org/officeDocument/2006/relationships/hyperlink" Target="http://www.sec.gov/Archives/edgar/data/1661059/000104746919002203/a2238441zex-10_17.htm" TargetMode="External"/><Relationship Id="rId167" Type="http://schemas.openxmlformats.org/officeDocument/2006/relationships/hyperlink" Target="http://www.sec.gov/Archives/edgar/data/1661059/000104746919002203/a2238441zex-10_14.htm" TargetMode="External"/><Relationship Id="rId168" Type="http://schemas.openxmlformats.org/officeDocument/2006/relationships/hyperlink" Target="http://www.sec.gov/Archives/edgar/data/1661059/000155837019010701/nxtc-20190930ex101b27cfe.htm" TargetMode="External"/><Relationship Id="rId169" Type="http://schemas.openxmlformats.org/officeDocument/2006/relationships/hyperlink" Target="http://www.sec.gov/Archives/edgar/data/1661059/000104746919002203/a2238441z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2020-03-12T16:10:00Z</dcterms:created>
  <dcterms:modified xsi:type="dcterms:W3CDTF">2020-03-12T16:10:00Z</dcterms:modified>
</cp:coreProperties>
</file>