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NextCure,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Squadron Master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64,464.00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64,464.00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Squadron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64,464.00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64,464.00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Sesterhenn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64,464.00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64,464.00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Blank</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64,464.00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64,464.00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64,464.00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NextCure,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9000 VIRGINIA MANOR ROAD, SUITE 200, BELTSVILLE, MARYLAND, 20705.</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Squadron Master Fund LP Squadron Capital Management, LLC Matthew Sesterhenn William Blank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Squadron Master Fund LP c/o Squadron Capital Management, LLC 1211 West 22nd Street, Suite 1008 Oak Brook, IL 60523 Squadron Capital Management, LLC 1211 West 22nd Street, Suite 1008 Oak Brook, IL 60523 Matthew Sesterhenn c/o Squadron Capital Management, LLC 1211 West 22nd Street, Suite 1008 Oak Brook, IL 60523 William Blank c/o Squadron Capital Management, LLC 1211 West 22nd Street, Suite 1008 Oak Brook, IL 60523</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Squadron Master Fund LP - Delaware Squadron Capital Management, LLC - Delaware Matthew Sesterhenn - United States William Blank - United States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Squadron Capital Management, LLC is an investment adviser that is registered under the Investment Advisers Act of 1940. Squadron Capital Management, LLC, which serves as investment adviser to private funds, including but not limited to Squadron Master Fund LP (collectively, the "Funds"), may be deemed to be the beneficial owner of all shares of Common Stock held by the Funds. Mr. Sesterhenn and Mr. Blank, as Partners of Squadron Capital Management, LLC, with the power to exercise investment and voting discretion, may be deemed to be the beneficial owner of all shares of Common Stock held by the Funds. Pursuant to Rule 13d-4 under the Securities Exchange Act of 1934, as amended, Squadron Capital Management, LLC and Mr. Sesterhenn and Mr. Blank expressly disclaim beneficial ownership over any of the securities reported in this statement, and the filing of this statement shall not be construed as an admission that Squadron Capital Management, LLC or Mr. Sesterhenn and Mr. Blank are the beneficial owner of any of the securities reported herein. Squadron Master Fund LP - 64,464 shares Squadron Capital Management, LLC - 64,464 shares Matthew Sesterhenn - 64,464 shares William Blank - 64,464 shares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All such shares of Common Stock in the aggregate represent beneficial ownership of approximately 1.6% of the Common Stock based on (i) 3,612,096 shares of Common Stock, par value $0.001 per share, issued and outstanding as of May 1, 2026, as represented in the Form 10-Q filed by the Issuer with the Securities and Exchange Commission ("SEC") on May 7, 2026, plus (ii) 456,855 shares of Common Stock issued upon the exercise of pre-funded Warrants. Squadron Master Fund LP - 1.6% Squadron Capital Management, LLC - 1.6% Matthew Sesterhenn - 1.6% William Blank - 1.6%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Squadron Master Fund LP - 0 Squadron Capital Management, LLC - 0 Matthew Sesterhenn - 0 William Blank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Squadron Master Fund LP - 64,464 shares Squadron Capital Management, LLC - 64,464 shares Matthew Sesterhenn - 64,464 shares William Blank - 64,464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Squadron Master Fund LP - 0 Squadron Capital Management, LLC - 0 Matthew Sesterhenn - 0 William Blank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Squadron Master Fund LP - 64,464 shares Squadron Capital Management, LLC - 64,464 shares Matthew Sesterhenn - 64,464 shares William Blank - 64,464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Notes above.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Squadron Master Fund LP</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Matthew Sesterhenn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Partner, Squadron Partners LLC, its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Squadron Capital Management LLC</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Matthew Sesterhenn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Matthew Sesterhenn</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Matthew Sesterhenn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Matthew Sesterhenn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William Blank</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William Blank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William Blank</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1641</Words>
  <Characters>8487</Characters>
  <CharactersWithSpaces>10063</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