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91440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4" w:lineRule="exact"/>
        <w:rPr>
          <w:sz w:val="24"/>
          <w:szCs w:val="24"/>
          <w:color w:val="auto"/>
        </w:rPr>
      </w:pPr>
    </w:p>
    <w:p>
      <w:pPr>
        <w:ind w:left="660" w:hanging="396"/>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368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176530</wp:posOffset>
            </wp:positionH>
            <wp:positionV relativeFrom="paragraph">
              <wp:posOffset>-234950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660" w:hanging="396"/>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wp:posOffset>
            </wp:positionH>
            <wp:positionV relativeFrom="paragraph">
              <wp:posOffset>-92075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sectPr>
      </w:pPr>
    </w:p>
    <w:p>
      <w:pPr>
        <w:spacing w:after="0" w:line="64"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80" w:space="720"/>
            <w:col w:w="120" w:space="680"/>
            <w:col w:w="3440"/>
          </w:cols>
          <w:pgMar w:left="820" w:top="233" w:right="8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82550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6"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46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04-5231247</w:t>
            </w:r>
          </w:p>
        </w:tc>
        <w:tc>
          <w:tcPr>
            <w:tcW w:w="0" w:type="dxa"/>
            <w:vAlign w:val="bottom"/>
          </w:tcPr>
          <w:p>
            <w:pPr>
              <w:spacing w:after="0"/>
              <w:rPr>
                <w:sz w:val="1"/>
                <w:szCs w:val="1"/>
                <w:color w:val="auto"/>
              </w:rPr>
            </w:pP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78"/>
        </w:trPr>
        <w:tc>
          <w:tcPr>
            <w:tcW w:w="46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20705</w:t>
            </w:r>
          </w:p>
        </w:tc>
        <w:tc>
          <w:tcPr>
            <w:tcW w:w="0" w:type="dxa"/>
            <w:vAlign w:val="bottom"/>
          </w:tcPr>
          <w:p>
            <w:pPr>
              <w:spacing w:after="0"/>
              <w:rPr>
                <w:sz w:val="1"/>
                <w:szCs w:val="1"/>
                <w:color w:val="auto"/>
              </w:rPr>
            </w:pPr>
          </w:p>
        </w:tc>
      </w:tr>
      <w:tr>
        <w:trPr>
          <w:trHeight w:val="153"/>
        </w:trPr>
        <w:tc>
          <w:tcPr>
            <w:tcW w:w="4620" w:type="dxa"/>
            <w:vAlign w:val="bottom"/>
          </w:tcPr>
          <w:p>
            <w:pPr>
              <w:jc w:val="center"/>
              <w:ind w:right="1108"/>
              <w:spacing w:after="0" w:line="153" w:lineRule="exact"/>
              <w:rPr>
                <w:sz w:val="20"/>
                <w:szCs w:val="20"/>
                <w:color w:val="auto"/>
              </w:rPr>
            </w:pPr>
            <w:r>
              <w:rPr>
                <w:rFonts w:ascii="Arial" w:cs="Arial" w:eastAsia="Arial" w:hAnsi="Arial"/>
                <w:sz w:val="14"/>
                <w:szCs w:val="14"/>
                <w:b w:val="1"/>
                <w:bCs w:val="1"/>
                <w:color w:val="auto"/>
                <w:w w:val="94"/>
              </w:rPr>
              <w:t>Beltsville, Maryland</w:t>
            </w:r>
          </w:p>
        </w:tc>
        <w:tc>
          <w:tcPr>
            <w:tcW w:w="3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6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71"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233" w:right="839" w:bottom="1440" w:gutter="0" w:footer="0" w:header="0"/>
          <w:type w:val="continuous"/>
        </w:sectPr>
      </w:pPr>
    </w:p>
    <w:p>
      <w:pPr>
        <w:spacing w:after="0" w:line="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ind w:left="68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2">
            <w:col w:w="7560" w:space="720"/>
            <w:col w:w="1960"/>
          </w:cols>
          <w:pgMar w:left="820" w:top="233" w:right="839" w:bottom="1440" w:gutter="0" w:footer="0" w:header="0"/>
          <w:type w:val="continuous"/>
        </w:sectPr>
      </w:pPr>
    </w:p>
    <w:p>
      <w:pPr>
        <w:ind w:firstLine="64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May 6, 2020, the registrant had 27,517,371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1038225</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For the Quarter Ended March 31, 2020</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7"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Financial Statements</w:t>
        </w:r>
      </w:hyperlink>
    </w:p>
    <w:p>
      <w:pPr>
        <w:ind w:left="800"/>
        <w:spacing w:after="0" w:line="231"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March 31, 2020 (unaudited) and December 31, 2019</w:t>
        </w:r>
      </w:hyperlink>
    </w:p>
    <w:p>
      <w:pPr>
        <w:ind w:left="800"/>
        <w:spacing w:after="0" w:line="219" w:lineRule="auto"/>
        <w:rPr>
          <w:sz w:val="20"/>
          <w:szCs w:val="20"/>
          <w:color w:val="auto"/>
        </w:rPr>
      </w:pPr>
      <w:r>
        <w:rPr>
          <w:rFonts w:ascii="Arial" w:cs="Arial" w:eastAsia="Arial" w:hAnsi="Arial"/>
          <w:sz w:val="18"/>
          <w:szCs w:val="18"/>
          <w:u w:val="single" w:color="auto"/>
          <w:color w:val="0000EE"/>
        </w:rPr>
        <w:t>Unaudited Condensed Statements of Operations and Comprehensive Income (Loss) for the Three Months Ended March 31, 2020 and 2019</w:t>
      </w:r>
    </w:p>
    <w:p>
      <w:pPr>
        <w:ind w:left="800" w:right="300"/>
        <w:spacing w:after="0" w:line="233" w:lineRule="auto"/>
        <w:rPr>
          <w:sz w:val="20"/>
          <w:szCs w:val="20"/>
          <w:color w:val="auto"/>
        </w:rPr>
      </w:pPr>
      <w:r>
        <w:rPr>
          <w:rFonts w:ascii="Arial" w:cs="Arial" w:eastAsia="Arial" w:hAnsi="Arial"/>
          <w:sz w:val="18"/>
          <w:szCs w:val="18"/>
          <w:u w:val="single" w:color="auto"/>
          <w:color w:val="0000EE"/>
        </w:rPr>
        <w:t>Unaudited Condensed Statements of Preferred Stock and Stockholders’ Equity (Deficit) for the Three Months Ended March 31, 2020 and 2019</w:t>
      </w:r>
    </w:p>
    <w:p>
      <w:pPr>
        <w:spacing w:after="0" w:line="1" w:lineRule="exact"/>
        <w:rPr>
          <w:sz w:val="20"/>
          <w:szCs w:val="20"/>
          <w:color w:val="auto"/>
        </w:rPr>
      </w:pPr>
    </w:p>
    <w:p>
      <w:pPr>
        <w:ind w:left="800" w:right="120"/>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Statements of Cash Flows for the Three Months Ended March 31, 2020 and 2019</w:t>
        </w:r>
      </w:hyperlink>
      <w:r>
        <w:rPr>
          <w:rFonts w:ascii="Arial" w:cs="Arial" w:eastAsia="Arial" w:hAnsi="Arial"/>
          <w:sz w:val="18"/>
          <w:szCs w:val="18"/>
          <w:u w:val="single" w:color="auto"/>
          <w:color w:val="0000EE"/>
        </w:rPr>
        <w:t xml:space="preserve"> Notes to Unaudited Condensed Financial Statements</w:t>
      </w:r>
    </w:p>
    <w:p>
      <w:pPr>
        <w:spacing w:after="0" w:line="1" w:lineRule="exact"/>
        <w:rPr>
          <w:sz w:val="20"/>
          <w:szCs w:val="20"/>
          <w:color w:val="auto"/>
        </w:rPr>
      </w:pPr>
    </w:p>
    <w:p>
      <w:pPr>
        <w:ind w:left="40" w:right="1160"/>
        <w:spacing w:after="0" w:line="250" w:lineRule="auto"/>
        <w:rPr>
          <w:rFonts w:ascii="Arial" w:cs="Arial" w:eastAsia="Arial" w:hAnsi="Arial"/>
          <w:sz w:val="18"/>
          <w:szCs w:val="18"/>
          <w:u w:val="single" w:color="auto"/>
          <w:color w:val="0000EE"/>
        </w:rPr>
      </w:pPr>
      <w:r>
        <w:rPr>
          <w:rFonts w:ascii="Arial" w:cs="Arial" w:eastAsia="Arial" w:hAnsi="Arial"/>
          <w:sz w:val="18"/>
          <w:szCs w:val="18"/>
          <w:u w:val="single" w:color="auto"/>
          <w:color w:val="0000EE"/>
        </w:rPr>
        <w:t xml:space="preserve">Item 2. Management’s Discussion and Analysis of Financial Condition and Results of Operations Item 3. Quantitative and Qualitative Disclosures about Market Risk </w:t>
      </w:r>
      <w:hyperlink w:anchor="page23">
        <w:r>
          <w:rPr>
            <w:rFonts w:ascii="Arial" w:cs="Arial" w:eastAsia="Arial" w:hAnsi="Arial"/>
            <w:sz w:val="18"/>
            <w:szCs w:val="18"/>
            <w:u w:val="single" w:color="auto"/>
            <w:color w:val="0000EE"/>
          </w:rPr>
          <w:t>Item 4. Controls and Procedures</w:t>
        </w:r>
      </w:hyperlink>
    </w:p>
    <w:p>
      <w:pPr>
        <w:spacing w:after="0" w:line="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 OTHER INFORMATION</w:t>
        </w:r>
      </w:hyperlink>
    </w:p>
    <w:p>
      <w:pPr>
        <w:spacing w:after="0" w:line="9"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EE"/>
        </w:rPr>
      </w:pPr>
      <w:hyperlink w:anchor="page2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4">
        <w:r>
          <w:rPr>
            <w:rFonts w:ascii="Arial" w:cs="Arial" w:eastAsia="Arial" w:hAnsi="Arial"/>
            <w:sz w:val="16"/>
            <w:szCs w:val="16"/>
            <w:u w:val="single" w:color="auto"/>
            <w:color w:val="0000EE"/>
          </w:rPr>
          <w:t>Legal Proceedings</w:t>
        </w:r>
      </w:hyperlink>
    </w:p>
    <w:p>
      <w:pPr>
        <w:spacing w:after="0" w:line="9" w:lineRule="exact"/>
        <w:rPr>
          <w:sz w:val="20"/>
          <w:szCs w:val="20"/>
          <w:color w:val="auto"/>
        </w:rPr>
      </w:pPr>
    </w:p>
    <w:p>
      <w:pPr>
        <w:ind w:left="40"/>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Item 1A</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u w:val="single" w:color="auto"/>
          <w:color w:val="0000EE"/>
        </w:rPr>
        <w:t>Item 2.</w:t>
      </w:r>
      <w:r>
        <w:rPr>
          <w:sz w:val="20"/>
          <w:szCs w:val="20"/>
          <w:color w:val="auto"/>
        </w:rPr>
        <w:tab/>
      </w:r>
      <w:r>
        <w:rPr>
          <w:rFonts w:ascii="Arial" w:cs="Arial" w:eastAsia="Arial" w:hAnsi="Arial"/>
          <w:sz w:val="16"/>
          <w:szCs w:val="16"/>
          <w:u w:val="single" w:color="auto"/>
          <w:color w:val="0000EE"/>
        </w:rPr>
        <w:t>Unregistered Sales of Equity Securities and Use of Proceeds</w:t>
      </w:r>
    </w:p>
    <w:p>
      <w:pPr>
        <w:spacing w:after="0" w:line="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u w:val="single" w:color="auto"/>
          <w:color w:val="0000EE"/>
        </w:rPr>
        <w:t>Item 3.</w:t>
      </w:r>
      <w:r>
        <w:rPr>
          <w:sz w:val="20"/>
          <w:szCs w:val="20"/>
          <w:color w:val="auto"/>
        </w:rPr>
        <w:tab/>
      </w:r>
      <w:r>
        <w:rPr>
          <w:rFonts w:ascii="Arial" w:cs="Arial" w:eastAsia="Arial" w:hAnsi="Arial"/>
          <w:sz w:val="16"/>
          <w:szCs w:val="16"/>
          <w:u w:val="single" w:color="auto"/>
          <w:color w:val="0000EE"/>
        </w:rPr>
        <w:t>Defaults Upon Senior Securities</w:t>
      </w:r>
    </w:p>
    <w:p>
      <w:pPr>
        <w:spacing w:after="0" w:line="9"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EE"/>
        </w:rPr>
      </w:pPr>
      <w:hyperlink w:anchor="page25">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25">
        <w:r>
          <w:rPr>
            <w:rFonts w:ascii="Arial" w:cs="Arial" w:eastAsia="Arial" w:hAnsi="Arial"/>
            <w:sz w:val="16"/>
            <w:szCs w:val="16"/>
            <w:u w:val="single" w:color="auto"/>
            <w:color w:val="0000EE"/>
          </w:rPr>
          <w:t>Mine Safety Disclosures</w:t>
        </w:r>
      </w:hyperlink>
    </w:p>
    <w:p>
      <w:pPr>
        <w:spacing w:after="0" w:line="9"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EE"/>
        </w:rPr>
      </w:pPr>
      <w:hyperlink w:anchor="page25">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25">
        <w:r>
          <w:rPr>
            <w:rFonts w:ascii="Arial" w:cs="Arial" w:eastAsia="Arial" w:hAnsi="Arial"/>
            <w:sz w:val="16"/>
            <w:szCs w:val="16"/>
            <w:u w:val="single" w:color="auto"/>
            <w:color w:val="0000EE"/>
          </w:rPr>
          <w:t>Other Information</w:t>
        </w:r>
      </w:hyperlink>
    </w:p>
    <w:p>
      <w:pPr>
        <w:spacing w:after="0" w:line="9" w:lineRule="exact"/>
        <w:rPr>
          <w:sz w:val="20"/>
          <w:szCs w:val="20"/>
          <w:color w:val="auto"/>
        </w:rPr>
      </w:pPr>
    </w:p>
    <w:p>
      <w:pPr>
        <w:ind w:left="40"/>
        <w:spacing w:after="0"/>
        <w:tabs>
          <w:tab w:leader="none" w:pos="780" w:val="left"/>
        </w:tabs>
        <w:rPr>
          <w:rFonts w:ascii="Arial" w:cs="Arial" w:eastAsia="Arial" w:hAnsi="Arial"/>
          <w:sz w:val="17"/>
          <w:szCs w:val="17"/>
          <w:u w:val="single" w:color="auto"/>
          <w:color w:val="0000EE"/>
        </w:rPr>
      </w:pPr>
      <w:hyperlink w:anchor="page25">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25">
        <w:r>
          <w:rPr>
            <w:rFonts w:ascii="Arial" w:cs="Arial" w:eastAsia="Arial" w:hAnsi="Arial"/>
            <w:sz w:val="17"/>
            <w:szCs w:val="17"/>
            <w:u w:val="single" w:color="auto"/>
            <w:color w:val="0000EE"/>
          </w:rPr>
          <w:t>Exhibits</w:t>
        </w:r>
      </w:hyperlink>
    </w:p>
    <w:p>
      <w:pPr>
        <w:spacing w:after="0" w:line="9" w:lineRule="exact"/>
        <w:rPr>
          <w:sz w:val="20"/>
          <w:szCs w:val="20"/>
          <w:color w:val="auto"/>
        </w:rPr>
      </w:pPr>
    </w:p>
    <w:p>
      <w:pPr>
        <w:ind w:left="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20955</wp:posOffset>
            </wp:positionV>
            <wp:extent cx="300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2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w:t>
      </w:r>
    </w:p>
    <w:p>
      <w:pPr>
        <w:spacing w:after="0" w:line="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w:t>
      </w:r>
    </w:p>
    <w:p>
      <w:pPr>
        <w:spacing w:after="0" w:line="15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w:t>
      </w:r>
    </w:p>
    <w:p>
      <w:pPr>
        <w:spacing w:after="0" w:line="17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8420" w:space="160"/>
            <w:col w:w="43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28,907</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34,091</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293,191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300,514</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339,995</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12,090</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w:t>
            </w:r>
          </w:p>
        </w:tc>
      </w:tr>
      <w:tr>
        <w:trPr>
          <w:trHeight w:val="203"/>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343,472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356,168</w:t>
            </w: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4,871</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Term loan, current portion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w:t>
            </w: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15,042</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net of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Term loan, net of current portion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3,333</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net of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11,715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34,684</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3"/>
        </w:trPr>
        <w:tc>
          <w:tcPr>
            <w:tcW w:w="6660" w:type="dxa"/>
            <w:vAlign w:val="bottom"/>
          </w:tcPr>
          <w:p>
            <w:pPr>
              <w:ind w:left="120"/>
              <w:spacing w:after="0"/>
              <w:rPr>
                <w:sz w:val="20"/>
                <w:szCs w:val="20"/>
                <w:color w:val="auto"/>
              </w:rPr>
            </w:pPr>
            <w:r>
              <w:rPr>
                <w:rFonts w:ascii="Arial" w:cs="Arial" w:eastAsia="Arial" w:hAnsi="Arial"/>
                <w:sz w:val="16"/>
                <w:szCs w:val="16"/>
                <w:color w:val="auto"/>
                <w:w w:val="91"/>
              </w:rPr>
              <w:t>Preferred stock, par value of $0.001 per share; 10,000,000 shares authorized at March 31, 2020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December 31, 2019, respectively. No shares issued and outstanding at March 31, 2020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6660" w:type="dxa"/>
            <w:vAlign w:val="bottom"/>
          </w:tcPr>
          <w:p>
            <w:pPr>
              <w:ind w:left="120"/>
              <w:spacing w:after="0"/>
              <w:rPr>
                <w:sz w:val="20"/>
                <w:szCs w:val="20"/>
                <w:color w:val="auto"/>
              </w:rPr>
            </w:pPr>
            <w:r>
              <w:rPr>
                <w:rFonts w:ascii="Arial" w:cs="Arial" w:eastAsia="Arial" w:hAnsi="Arial"/>
                <w:sz w:val="16"/>
                <w:szCs w:val="16"/>
                <w:color w:val="auto"/>
              </w:rPr>
              <w:t>December 31, 2019,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Common stock, par value of $0.001 per share; 100,000,000 shares authorized at March 31, 2020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and December 31, 2019, respectively, 27,516,402 and 27,499,260 shares issued and outstanding at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2"/>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March 31, 2020 and December 31, 2019,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403,573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402,529</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(71,301)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(81,034)</w:t>
            </w:r>
          </w:p>
        </w:tc>
      </w:tr>
      <w:tr>
        <w:trPr>
          <w:trHeight w:val="196"/>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331,757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321,484</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Total liabilities, preferred stock and stockholders’ equity</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343,472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ind w:right="7"/>
              <w:spacing w:after="0" w:line="149" w:lineRule="exact"/>
              <w:rPr>
                <w:sz w:val="20"/>
                <w:szCs w:val="20"/>
                <w:color w:val="auto"/>
              </w:rPr>
            </w:pPr>
            <w:r>
              <w:rPr>
                <w:rFonts w:ascii="Arial" w:cs="Arial" w:eastAsia="Arial" w:hAnsi="Arial"/>
                <w:sz w:val="14"/>
                <w:szCs w:val="14"/>
                <w:b w:val="1"/>
                <w:bCs w:val="1"/>
                <w:color w:val="auto"/>
              </w:rPr>
              <w:t>March 31,</w:t>
            </w: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Revenue from research and development arrangement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22,378</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Shares used in the calculation of earnings (loss) per share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27,506,927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1,379,444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29,348,615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1,379,444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9,733</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STATEMENTS OF PREFERRED STOCK AND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9"/>
          </w:tcPr>
          <w:p>
            <w:pPr>
              <w:ind w:left="60"/>
              <w:spacing w:after="0"/>
              <w:rPr>
                <w:sz w:val="20"/>
                <w:szCs w:val="20"/>
                <w:color w:val="auto"/>
              </w:rPr>
            </w:pPr>
            <w:r>
              <w:rPr>
                <w:rFonts w:ascii="Arial" w:cs="Arial" w:eastAsia="Arial" w:hAnsi="Arial"/>
                <w:sz w:val="13"/>
                <w:szCs w:val="13"/>
                <w:b w:val="1"/>
                <w:bCs w:val="1"/>
                <w:color w:val="auto"/>
                <w:w w:val="92"/>
              </w:rPr>
              <w:t>Three Months Ended March 31, 2020</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Preferred Stock</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tcBorders>
              <w:bottom w:val="single" w:sz="8" w:color="auto"/>
            </w:tcBorders>
            <w:gridSpan w:val="3"/>
          </w:tcPr>
          <w:p>
            <w:pPr>
              <w:ind w:left="400"/>
              <w:spacing w:after="0" w:line="135" w:lineRule="exact"/>
              <w:rPr>
                <w:sz w:val="20"/>
                <w:szCs w:val="20"/>
                <w:color w:val="auto"/>
              </w:rPr>
            </w:pPr>
            <w:r>
              <w:rPr>
                <w:rFonts w:ascii="Arial" w:cs="Arial" w:eastAsia="Arial" w:hAnsi="Arial"/>
                <w:sz w:val="13"/>
                <w:szCs w:val="13"/>
                <w:b w:val="1"/>
                <w:bCs w:val="1"/>
                <w:color w:val="auto"/>
                <w:w w:val="84"/>
              </w:rPr>
              <w:t>Series A</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gridSpan w:val="3"/>
          </w:tcPr>
          <w:p>
            <w:pPr>
              <w:ind w:left="420"/>
              <w:spacing w:after="0" w:line="135" w:lineRule="exact"/>
              <w:rPr>
                <w:sz w:val="20"/>
                <w:szCs w:val="20"/>
                <w:color w:val="auto"/>
              </w:rPr>
            </w:pPr>
            <w:r>
              <w:rPr>
                <w:rFonts w:ascii="Arial" w:cs="Arial" w:eastAsia="Arial" w:hAnsi="Arial"/>
                <w:sz w:val="13"/>
                <w:szCs w:val="13"/>
                <w:b w:val="1"/>
                <w:bCs w:val="1"/>
                <w:color w:val="auto"/>
                <w:w w:val="99"/>
              </w:rPr>
              <w:t>Series B</w:t>
            </w:r>
          </w:p>
        </w:tc>
        <w:tc>
          <w:tcPr>
            <w:tcW w:w="30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bottom w:val="single" w:sz="8" w:color="auto"/>
            </w:tcBorders>
            <w:gridSpan w:val="3"/>
          </w:tcPr>
          <w:p>
            <w:pPr>
              <w:ind w:left="20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8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Accumulated</w:t>
            </w:r>
          </w:p>
        </w:tc>
        <w:tc>
          <w:tcPr>
            <w:tcW w:w="74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3"/>
          </w:tcPr>
          <w:p>
            <w:pPr>
              <w:jc w:val="center"/>
              <w:ind w:left="8"/>
              <w:spacing w:after="0" w:line="104" w:lineRule="exact"/>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1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600" w:type="dxa"/>
            <w:vAlign w:val="bottom"/>
            <w:tcBorders>
              <w:top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27,499,260</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27</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$ 402,529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(81,034)</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321,484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600" w:type="dxa"/>
            <w:vAlign w:val="bottom"/>
          </w:tcPr>
          <w:p>
            <w:pPr>
              <w:ind w:left="4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common stock</w:t>
            </w:r>
          </w:p>
        </w:tc>
        <w:tc>
          <w:tcPr>
            <w:tcW w:w="6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17,142</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20" w:type="dxa"/>
            <w:vAlign w:val="bottom"/>
          </w:tcPr>
          <w:p>
            <w:pPr>
              <w:ind w:left="100"/>
              <w:spacing w:after="0" w:line="121" w:lineRule="exact"/>
              <w:rPr>
                <w:sz w:val="20"/>
                <w:szCs w:val="20"/>
                <w:color w:val="auto"/>
              </w:rPr>
            </w:pPr>
            <w:r>
              <w:rPr>
                <w:rFonts w:ascii="Arial" w:cs="Arial" w:eastAsia="Arial" w:hAnsi="Arial"/>
                <w:sz w:val="13"/>
                <w:szCs w:val="13"/>
                <w:color w:val="auto"/>
              </w:rPr>
              <w:t>Unrealized loss on marketable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ind w:left="100"/>
              <w:spacing w:after="0"/>
              <w:rPr>
                <w:sz w:val="20"/>
                <w:szCs w:val="20"/>
                <w:color w:val="auto"/>
              </w:rPr>
            </w:pPr>
            <w:r>
              <w:rPr>
                <w:rFonts w:ascii="Arial" w:cs="Arial" w:eastAsia="Arial" w:hAnsi="Arial"/>
                <w:sz w:val="13"/>
                <w:szCs w:val="13"/>
                <w:color w:val="auto"/>
              </w:rPr>
              <w:t>securities, net of tax $0</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w:t>
            </w:r>
          </w:p>
        </w:tc>
        <w:tc>
          <w:tcPr>
            <w:tcW w:w="6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0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27,516,402</w:t>
            </w:r>
          </w:p>
        </w:tc>
        <w:tc>
          <w:tcPr>
            <w:tcW w:w="14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$ 403,573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(543)</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(71,301)</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331,757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2540</wp:posOffset>
            </wp:positionV>
            <wp:extent cx="47059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Preferred Stock</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Series A</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Series B</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60" w:type="dxa"/>
            <w:vAlign w:val="bottom"/>
            <w:vMerge w:val="restart"/>
          </w:tcPr>
          <w:p>
            <w:pPr>
              <w:spacing w:after="0"/>
              <w:rPr>
                <w:sz w:val="20"/>
                <w:szCs w:val="20"/>
                <w:color w:val="auto"/>
              </w:rPr>
            </w:pPr>
            <w:r>
              <w:rPr>
                <w:rFonts w:ascii="Arial" w:cs="Arial" w:eastAsia="Arial" w:hAnsi="Arial"/>
                <w:sz w:val="13"/>
                <w:szCs w:val="13"/>
                <w:color w:val="auto"/>
                <w:w w:val="93"/>
              </w:rPr>
              <w:t>Balance as of December 31, 2018</w:t>
            </w:r>
          </w:p>
        </w:tc>
        <w:tc>
          <w:tcPr>
            <w:tcW w:w="180" w:type="dxa"/>
            <w:vAlign w:val="bottom"/>
          </w:tcPr>
          <w:p>
            <w:pPr>
              <w:spacing w:after="0"/>
              <w:rPr>
                <w:sz w:val="21"/>
                <w:szCs w:val="21"/>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21"/>
                <w:szCs w:val="21"/>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14"/>
        </w:trPr>
        <w:tc>
          <w:tcPr>
            <w:tcW w:w="18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2"/>
              </w:rPr>
              <w:t>68,181,819</w:t>
            </w:r>
          </w:p>
        </w:tc>
        <w:tc>
          <w:tcPr>
            <w:tcW w:w="140" w:type="dxa"/>
            <w:vAlign w:val="bottom"/>
          </w:tcPr>
          <w:p>
            <w:pPr>
              <w:spacing w:after="0"/>
              <w:rPr>
                <w:sz w:val="9"/>
                <w:szCs w:val="9"/>
                <w:color w:val="auto"/>
              </w:rPr>
            </w:pPr>
          </w:p>
        </w:tc>
        <w:tc>
          <w:tcPr>
            <w:tcW w:w="12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0"/>
              </w:rPr>
              <w:t>71,000</w:t>
            </w:r>
          </w:p>
        </w:tc>
        <w:tc>
          <w:tcPr>
            <w:tcW w:w="120" w:type="dxa"/>
            <w:vAlign w:val="bottom"/>
          </w:tcPr>
          <w:p>
            <w:pPr>
              <w:spacing w:after="0"/>
              <w:rPr>
                <w:sz w:val="9"/>
                <w:szCs w:val="9"/>
                <w:color w:val="auto"/>
              </w:rPr>
            </w:pPr>
          </w:p>
        </w:tc>
        <w:tc>
          <w:tcPr>
            <w:tcW w:w="6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2"/>
              </w:rPr>
              <w:t>56,828,851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5"/>
              </w:rPr>
              <w:t>91,223</w:t>
            </w:r>
          </w:p>
        </w:tc>
        <w:tc>
          <w:tcPr>
            <w:tcW w:w="0" w:type="dxa"/>
            <w:vAlign w:val="bottom"/>
          </w:tcPr>
          <w:p>
            <w:pPr>
              <w:spacing w:after="0"/>
              <w:rPr>
                <w:sz w:val="1"/>
                <w:szCs w:val="1"/>
                <w:color w:val="auto"/>
              </w:rPr>
            </w:pPr>
          </w:p>
        </w:tc>
      </w:tr>
      <w:tr>
        <w:trPr>
          <w:trHeight w:val="135"/>
        </w:trPr>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Issuance of common stock</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180" w:type="dxa"/>
            <w:vAlign w:val="bottom"/>
          </w:tcPr>
          <w:p>
            <w:pPr>
              <w:spacing w:after="0"/>
              <w:rPr>
                <w:sz w:val="12"/>
                <w:szCs w:val="12"/>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860" w:type="dxa"/>
            <w:vAlign w:val="bottom"/>
          </w:tcPr>
          <w:p>
            <w:pPr>
              <w:spacing w:after="0" w:line="133" w:lineRule="exact"/>
              <w:rPr>
                <w:sz w:val="20"/>
                <w:szCs w:val="20"/>
                <w:color w:val="auto"/>
              </w:rPr>
            </w:pPr>
            <w:r>
              <w:rPr>
                <w:rFonts w:ascii="Arial" w:cs="Arial" w:eastAsia="Arial" w:hAnsi="Arial"/>
                <w:sz w:val="13"/>
                <w:szCs w:val="13"/>
                <w:color w:val="auto"/>
              </w:rPr>
              <w:t>Balance as of March 31, 2019</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2"/>
              </w:rPr>
              <w:t>68,181,819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0"/>
              </w:rPr>
              <w:t>71,000</w:t>
            </w: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2"/>
              </w:rPr>
              <w:t>56,828,851</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5"/>
              </w:rPr>
              <w:t>91,223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-985520</wp:posOffset>
            </wp:positionV>
            <wp:extent cx="5991860" cy="977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186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Stockholders’ Deficit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040" w:type="dxa"/>
            <w:vAlign w:val="bottom"/>
            <w:tcBorders>
              <w:bottom w:val="single" w:sz="8" w:color="auto"/>
            </w:tcBorders>
            <w:gridSpan w:val="3"/>
          </w:tcPr>
          <w:p>
            <w:pPr>
              <w:ind w:left="20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8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Accumulated</w:t>
            </w:r>
          </w:p>
        </w:tc>
        <w:tc>
          <w:tcPr>
            <w:tcW w:w="74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03"/>
        </w:trPr>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3"/>
          </w:tcPr>
          <w:p>
            <w:pPr>
              <w:jc w:val="center"/>
              <w:ind w:left="8"/>
              <w:spacing w:after="0" w:line="104" w:lineRule="exact"/>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14"/>
        </w:trPr>
        <w:tc>
          <w:tcPr>
            <w:tcW w:w="6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93"/>
              </w:rPr>
              <w:t>1,374,812</w:t>
            </w:r>
          </w:p>
        </w:tc>
        <w:tc>
          <w:tcPr>
            <w:tcW w:w="140" w:type="dxa"/>
            <w:vAlign w:val="bottom"/>
          </w:tcPr>
          <w:p>
            <w:pPr>
              <w:spacing w:after="0"/>
              <w:rPr>
                <w:sz w:val="9"/>
                <w:szCs w:val="9"/>
                <w:color w:val="auto"/>
              </w:rPr>
            </w:pPr>
          </w:p>
        </w:tc>
        <w:tc>
          <w:tcPr>
            <w:tcW w:w="3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352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tcPr>
          <w:p>
            <w:pPr>
              <w:ind w:left="620"/>
              <w:spacing w:after="0" w:line="11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(47,297)</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(46,944)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4,697</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(6,155)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1,379,509</w:t>
            </w:r>
          </w:p>
        </w:tc>
        <w:tc>
          <w:tcPr>
            <w:tcW w:w="14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ind w:left="62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(53,452)</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(52,712)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80" w:space="160"/>
            <w:col w:w="4620"/>
          </w:cols>
          <w:pgMar w:left="1220" w:top="125" w:right="1219" w:bottom="1440" w:gutter="0" w:footer="0" w:header="0"/>
          <w:type w:val="continuous"/>
        </w:sectPr>
      </w:pPr>
    </w:p>
    <w:p>
      <w:pPr>
        <w:spacing w:after="0" w:line="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0007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type w:val="continuous"/>
        </w:sectPr>
      </w:pPr>
    </w:p>
    <w:bookmarkStart w:id="5" w:name="page6"/>
    <w:bookmarkEnd w:id="5"/>
    <w:p>
      <w:pPr>
        <w:ind w:left="40"/>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4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9,733</w:t>
            </w:r>
          </w:p>
        </w:tc>
        <w:tc>
          <w:tcPr>
            <w:tcW w:w="20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(6,155)</w:t>
            </w: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Adjustments to reconcile net income (loss) to net cash used in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10"/>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w:t>
            </w: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09"/>
        </w:trPr>
        <w:tc>
          <w:tcPr>
            <w:tcW w:w="64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issuances of common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Proceeds from the term loan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4,649</w:t>
            </w: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financing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Payments of the term loan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0"/>
        </w:trPr>
        <w:tc>
          <w:tcPr>
            <w:tcW w:w="64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135,633</w:t>
            </w:r>
          </w:p>
        </w:tc>
      </w:tr>
      <w:tr>
        <w:trPr>
          <w:trHeight w:val="217"/>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130,588</w:t>
            </w:r>
          </w:p>
        </w:tc>
      </w:tr>
      <w:tr>
        <w:trPr>
          <w:trHeight w:val="216"/>
        </w:trPr>
        <w:tc>
          <w:tcPr>
            <w:tcW w:w="6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40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Cash paid for income taxes</w:t>
            </w:r>
          </w:p>
        </w:tc>
        <w:tc>
          <w:tcPr>
            <w:tcW w:w="3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640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Deferred financing costs included in accrued liabilities</w:t>
            </w: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w:t>
            </w: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59" w:firstLine="648"/>
        <w:spacing w:after="0" w:line="217" w:lineRule="exact"/>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class immunomedicines to treat cancer and other immune</w:t>
      </w:r>
      <w:r>
        <w:rPr>
          <w:rFonts w:ascii="MS PGothic" w:cs="MS PGothic" w:eastAsia="MS PGothic" w:hAnsi="MS PGothic"/>
          <w:sz w:val="18"/>
          <w:szCs w:val="18"/>
          <w:color w:val="auto"/>
        </w:rPr>
        <w:t>‑</w:t>
      </w:r>
      <w:r>
        <w:rPr>
          <w:rFonts w:ascii="Arial" w:cs="Arial" w:eastAsia="Arial" w:hAnsi="Arial"/>
          <w:sz w:val="18"/>
          <w:szCs w:val="18"/>
          <w:color w:val="auto"/>
        </w:rPr>
        <w:t>related diseases by restoring normal immune function. Through its proprietary Functional, Integrated, NextCure Discovery in Immuno</w:t>
      </w:r>
      <w:r>
        <w:rPr>
          <w:rFonts w:ascii="MS PGothic" w:cs="MS PGothic" w:eastAsia="MS PGothic" w:hAnsi="MS PGothic"/>
          <w:sz w:val="18"/>
          <w:szCs w:val="18"/>
          <w:color w:val="auto"/>
        </w:rPr>
        <w:t>‑</w:t>
      </w:r>
      <w:r>
        <w:rPr>
          <w:rFonts w:ascii="Arial" w:cs="Arial" w:eastAsia="Arial" w:hAnsi="Arial"/>
          <w:sz w:val="18"/>
          <w:szCs w:val="18"/>
          <w:color w:val="auto"/>
        </w:rPr>
        <w:t>Oncology (“FIND</w:t>
      </w:r>
      <w:r>
        <w:rPr>
          <w:rFonts w:ascii="MS PGothic" w:cs="MS PGothic" w:eastAsia="MS PGothic" w:hAnsi="MS PGothic"/>
          <w:sz w:val="18"/>
          <w:szCs w:val="18"/>
          <w:color w:val="auto"/>
        </w:rPr>
        <w:t>‑</w:t>
      </w:r>
      <w:r>
        <w:rPr>
          <w:rFonts w:ascii="Arial" w:cs="Arial" w:eastAsia="Arial" w:hAnsi="Arial"/>
          <w:sz w:val="18"/>
          <w:szCs w:val="18"/>
          <w:color w:val="auto"/>
        </w:rPr>
        <w:t>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w:t>
      </w:r>
      <w:r>
        <w:rPr>
          <w:rFonts w:ascii="MS PGothic" w:cs="MS PGothic" w:eastAsia="MS PGothic" w:hAnsi="MS PGothic"/>
          <w:sz w:val="18"/>
          <w:szCs w:val="18"/>
          <w:color w:val="auto"/>
        </w:rPr>
        <w:t>‑</w:t>
      </w:r>
      <w:r>
        <w:rPr>
          <w:rFonts w:ascii="Arial" w:cs="Arial" w:eastAsia="Arial" w:hAnsi="Arial"/>
          <w:sz w:val="18"/>
          <w:szCs w:val="18"/>
          <w:color w:val="auto"/>
        </w:rPr>
        <w:t>IO platform.</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Company has not generated any revenue to date from product sales and does not expect to generate any revenues from product sales in the foreseeable future. Through March 2020, the Company has funded its operations primarily with proceeds from public offerings of its common stock, private placements of its preferred stock and upfront fees received under the Company’s former agreement with Eli Lilly and Company (Note 6). The Company expects to incur additional operating losses and negative operating cash flows for the foreseeable future.</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2019.</w:t>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accompanying unaudited condensed financial statements include the accounts of NextCure, Inc.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the Company’s Annual Report on Form 10-K for the fiscal year ended December 31, 2019 (the “Annual Report”).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unaudited condensed financial statements include the accounts of NextCure, Inc. In the opinion of management, the information furnished reflects certain adjustments, all of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or to identify matters that require additional disclosure. The results of operations for interim periods are not necessarily indicative of results to be expected for the full year or any other interim period.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2016, the FASB issued ASU No. 2016-02, Leases (“ASU 2016-02”). The new guidance will require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the Company for fiscal years beginning after December 15, 2020 and interim periods within fiscal years beginning after December 15, 2021, assuming the Company remains an emerging growth company. The Company continues to determine if it will elect to use the practical expedients permitted by the guidance and continues to gather data required to comply with the guidance. Based on the work completed to date, the Company is considering the implications of adopting the new standard, including the discount rate to be used in valuing new and existing leases and all applicable financial statement disclosures required by the new guidance. The Company is continuing to evaluate the effect of adoption and anticipates that it will result in the recognition of additional assets and corresponding liabilities related to the existing leases on its balance sheet. The Company is assessing potential impacts on its internal controls, business processes, and accounting policies related to both the implementation of, and ongoing compliance with, the new guidance.</w:t>
      </w:r>
    </w:p>
    <w:p>
      <w:pPr>
        <w:spacing w:after="0" w:line="17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will be effective for non-emerging growth companies for fiscal years beginning December 15, 2019 and interim periods within those fiscal years, and will be effective for the Company for fiscal years beginning after December 15, 2022 and interim periods within those fiscal years, assuming the Company remains an emerging growth company. Early adoption is permitted. The Company is currently evaluating the effects the adoption of ASU 2016-13 may have on its financial statements.</w:t>
      </w:r>
    </w:p>
    <w:p>
      <w:pPr>
        <w:spacing w:after="0" w:line="16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2018, the Financial Accounting Standards Board (“FASB”) issued Accounting Standards Update No. 2018-13, Fair Value Measurement—Disclosure Framework-Changes to the Disclosure Requirement for Fair Value Measurement (“ASU 2018-13”). The amendments in ASU 2018-13 modify the disclosure requirements on fair value measurements in ASC 820, Fair Value Measurement, based on the concepts in the FASB Concepts Statement, including the consideration of costs and benefits. ASU 2018-13 is effective for all companies for fiscal years beginning after December 15, 2019 and interim periods within those fiscal years. Early adoption is permitted. The Company adopted this standard effective January 1, 2020. The adoption of this standard did not have a material impact on the Company’s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Company is required, as a condition of its $5.0 million term loan (the “ Term Loan”),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Term Loan reserve totaled $4.7 million as of March 31, 2020. This amount is presented in part as restricted cash and in part as other assets on the accompanying balance sheet.</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statement of cash flows: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02"/>
        </w:trPr>
        <w:tc>
          <w:tcPr>
            <w:tcW w:w="6620" w:type="dxa"/>
            <w:vAlign w:val="bottom"/>
            <w:gridSpan w:val="7"/>
          </w:tcPr>
          <w:p>
            <w:pPr>
              <w:spacing w:after="0" w:line="201" w:lineRule="exact"/>
              <w:rPr>
                <w:sz w:val="20"/>
                <w:szCs w:val="20"/>
                <w:color w:val="auto"/>
              </w:rPr>
            </w:pPr>
            <w:r>
              <w:rPr>
                <w:rFonts w:ascii="Arial" w:cs="Arial" w:eastAsia="Arial" w:hAnsi="Arial"/>
                <w:sz w:val="18"/>
                <w:szCs w:val="18"/>
                <w:color w:val="auto"/>
              </w:rPr>
              <w:t>Restricted cash (including $3,056 and $3,333 in other assets as of March 31, 2020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December 31, 2019, respectively)</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648"/>
        </w:trPr>
        <w:tc>
          <w:tcPr>
            <w:tcW w:w="4320" w:type="dxa"/>
            <w:vAlign w:val="bottom"/>
          </w:tcPr>
          <w:p>
            <w:pPr>
              <w:spacing w:after="0"/>
              <w:rPr>
                <w:sz w:val="20"/>
                <w:szCs w:val="20"/>
                <w:color w:val="auto"/>
              </w:rPr>
            </w:pPr>
            <w:r>
              <w:rPr>
                <w:rFonts w:ascii="Arial" w:cs="Arial" w:eastAsia="Arial" w:hAnsi="Arial"/>
                <w:sz w:val="18"/>
                <w:szCs w:val="18"/>
                <w:b w:val="1"/>
                <w:bCs w:val="1"/>
                <w:color w:val="auto"/>
              </w:rPr>
              <w:t>4. Marketable Securities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Marketable securities consist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Agency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258,091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257,391</w:t>
            </w: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293,191</w:t>
            </w:r>
          </w:p>
        </w:tc>
        <w:tc>
          <w:tcPr>
            <w:tcW w:w="0" w:type="dxa"/>
            <w:vAlign w:val="bottom"/>
          </w:tcPr>
          <w:p>
            <w:pPr>
              <w:spacing w:after="0"/>
              <w:rPr>
                <w:sz w:val="1"/>
                <w:szCs w:val="1"/>
                <w:color w:val="auto"/>
              </w:rPr>
            </w:pPr>
          </w:p>
        </w:tc>
      </w:tr>
      <w:tr>
        <w:trPr>
          <w:trHeight w:val="378"/>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271,072</w:t>
            </w:r>
          </w:p>
        </w:tc>
        <w:tc>
          <w:tcPr>
            <w:tcW w:w="0" w:type="dxa"/>
            <w:vAlign w:val="bottom"/>
          </w:tcPr>
          <w:p>
            <w:pPr>
              <w:spacing w:after="0"/>
              <w:rPr>
                <w:sz w:val="1"/>
                <w:szCs w:val="1"/>
                <w:color w:val="auto"/>
              </w:rPr>
            </w:pPr>
          </w:p>
        </w:tc>
      </w:tr>
      <w:tr>
        <w:trPr>
          <w:trHeight w:val="217"/>
        </w:trPr>
        <w:tc>
          <w:tcPr>
            <w:tcW w:w="432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300,552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As of March 31, 2020, no marketable securities are considered to be other-than-temporarily impaired. The Company uses the specific identification method when calculating realized gains and losses. For the three months ended March 31, 2020, the Company recorded approximately $64,000 in realized gains on available-for-sale securities.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March 31, 2020 and December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Quoted Prices in</w:t>
            </w:r>
          </w:p>
        </w:tc>
        <w:tc>
          <w:tcPr>
            <w:tcW w:w="9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or</w:t>
            </w: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15,158</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257,391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308,349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$ 293,191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Quoted Prices in</w:t>
            </w:r>
          </w:p>
        </w:tc>
        <w:tc>
          <w:tcPr>
            <w:tcW w:w="9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or</w:t>
            </w: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19,341</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Agency bonds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271,072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271,072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319,855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$ 300,514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three months ended March 31, 2020 and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Agreement with Eli Lilly and Company</w:t>
      </w:r>
    </w:p>
    <w:p>
      <w:pPr>
        <w:spacing w:after="0" w:line="22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Company recognized revenue under the Lilly Agreement of $22.4 million for the three months ended March 31, 2020 and $1.4 million for the three months ended March 31, 2019. Effective as of March 3, 2020, both parties have been relieved of all obligations under the agreement, including future quarterly research and development support payments to be paid by Lilly to the Company.</w:t>
      </w:r>
    </w:p>
    <w:p>
      <w:pPr>
        <w:spacing w:after="0" w:line="19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7.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Company’s initial public offering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7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2020, 2,899,011 shares were reserved for future grant under the 2019 Plan.</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60" w:type="dxa"/>
            <w:vAlign w:val="bottom"/>
            <w:tcBorders>
              <w:bottom w:val="single" w:sz="8" w:color="auto"/>
            </w:tcBorders>
            <w:gridSpan w:val="10"/>
          </w:tcPr>
          <w:p>
            <w:pPr>
              <w:jc w:val="right"/>
              <w:ind w:right="595"/>
              <w:spacing w:after="0"/>
              <w:rPr>
                <w:sz w:val="20"/>
                <w:szCs w:val="20"/>
                <w:color w:val="auto"/>
              </w:rPr>
            </w:pPr>
            <w:r>
              <w:rPr>
                <w:rFonts w:ascii="Arial" w:cs="Arial" w:eastAsia="Arial" w:hAnsi="Arial"/>
                <w:sz w:val="14"/>
                <w:szCs w:val="14"/>
                <w:b w:val="1"/>
                <w:bCs w:val="1"/>
                <w:color w:val="auto"/>
              </w:rPr>
              <w:t>Options Outstanding and Exercisable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14"/>
                <w:szCs w:val="14"/>
                <w:b w:val="1"/>
                <w:bCs w:val="1"/>
                <w:color w:val="auto"/>
                <w:w w:val="86"/>
                <w:vertAlign w:val="superscript"/>
              </w:rPr>
              <w:t>(1)</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2,170,212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884,525</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41.65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Forfeitures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March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3,015,595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3" w:lineRule="exact"/>
              <w:rPr>
                <w:sz w:val="20"/>
                <w:szCs w:val="20"/>
                <w:color w:val="auto"/>
              </w:rPr>
            </w:pPr>
            <w:r>
              <w:rPr>
                <w:rFonts w:ascii="Arial" w:cs="Arial" w:eastAsia="Arial" w:hAnsi="Arial"/>
                <w:sz w:val="18"/>
                <w:szCs w:val="18"/>
                <w:color w:val="auto"/>
              </w:rPr>
              <w:t>Vested and expected to vest as of March 31, 2020</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7"/>
              </w:rPr>
              <w:t>3,015,595</w:t>
            </w:r>
          </w:p>
        </w:tc>
        <w:tc>
          <w:tcPr>
            <w:tcW w:w="80" w:type="dxa"/>
            <w:vAlign w:val="bottom"/>
          </w:tcPr>
          <w:p>
            <w:pPr>
              <w:spacing w:after="0"/>
              <w:rPr>
                <w:sz w:val="17"/>
                <w:szCs w:val="17"/>
                <w:color w:val="auto"/>
              </w:rPr>
            </w:pP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16.77</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65,322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as of 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828,250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60" w:right="79" w:hanging="316"/>
        <w:spacing w:after="0" w:line="263"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March 31, 2020 and December 31, 2019.</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weighted average grant date fair value of stock options granted to employees for the three months ended March 31, 2020 was $25.90. The aggregate intrinsic value of stock options exercised during the three months ended March 31, 2020 was $0.6 million. As of March 31, 2020, there was $28.6 million of total unrecognized compensation expense related to unvested options under the Plans that will be recognized over a weighted-average period of approximately three years.</w:t>
      </w:r>
    </w:p>
    <w:p>
      <w:pPr>
        <w:spacing w:after="0" w:line="18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three months ended March 31, 2020 and December 31, 2019 was approximately $30.3 million and $7.6 million, respectively.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months ended March 31, 2020 and 2019:</w:t>
      </w:r>
    </w:p>
    <w:p>
      <w:pPr>
        <w:spacing w:after="0" w:line="163"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75"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Three Months Ended</w:t>
      </w:r>
    </w:p>
    <w:p>
      <w:pPr>
        <w:ind w:left="6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r>
      <w:tr>
        <w:trPr>
          <w:trHeight w:val="210"/>
        </w:trPr>
        <w:tc>
          <w:tcPr>
            <w:tcW w:w="9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years</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0"/>
              </w:rPr>
              <w:t>years</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gridSpan w:val="3"/>
          </w:tcPr>
          <w:p>
            <w:pPr>
              <w:jc w:val="right"/>
              <w:ind w:right="190"/>
              <w:spacing w:after="0"/>
              <w:rPr>
                <w:sz w:val="20"/>
                <w:szCs w:val="20"/>
                <w:color w:val="auto"/>
              </w:rPr>
            </w:pPr>
            <w:r>
              <w:rPr>
                <w:rFonts w:ascii="Arial" w:cs="Arial" w:eastAsia="Arial" w:hAnsi="Arial"/>
                <w:sz w:val="18"/>
                <w:szCs w:val="18"/>
                <w:color w:val="auto"/>
              </w:rPr>
              <w:t>69.7 %</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4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0.6 - 1.0 %</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20"/>
                <w:szCs w:val="20"/>
                <w:color w:val="auto"/>
              </w:rPr>
            </w:pPr>
          </w:p>
        </w:tc>
      </w:tr>
      <w:tr>
        <w:trPr>
          <w:trHeight w:val="890"/>
        </w:trPr>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20" w:type="dxa"/>
            <w:vAlign w:val="bottom"/>
          </w:tcPr>
          <w:p>
            <w:pPr>
              <w:jc w:val="right"/>
              <w:ind w:right="119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Net Income (Loss) Per Share Attributable to Common Stockholders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computation of basic earnings (loss) per share ("EPS") is based on the weighted-average number of common shares outstanding, without consideration for dilutive common stock equivalents. The computation of diluted EPS is based on the weighted-average number of common shares outstanding and dilutive potential common shares, which include shares that may be issued under the stock option plan, as determined using the treasury stock method.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computation for basic and diluted EPS were as follows (in millions, except share and per share data):</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040" w:type="dxa"/>
            <w:vAlign w:val="bottom"/>
          </w:tcPr>
          <w:p>
            <w:pPr>
              <w:ind w:left="100"/>
              <w:spacing w:after="0"/>
              <w:rPr>
                <w:sz w:val="20"/>
                <w:szCs w:val="20"/>
                <w:color w:val="auto"/>
              </w:rPr>
            </w:pPr>
            <w:r>
              <w:rPr>
                <w:rFonts w:ascii="Arial" w:cs="Arial" w:eastAsia="Arial" w:hAnsi="Arial"/>
                <w:sz w:val="18"/>
                <w:szCs w:val="18"/>
                <w:color w:val="auto"/>
              </w:rPr>
              <w:t>Net income (loss) for basic and 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9,733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(6,155)</w:t>
            </w:r>
          </w:p>
        </w:tc>
      </w:tr>
      <w:tr>
        <w:trPr>
          <w:trHeight w:val="216"/>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(Denominator):</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27,506,927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1,379,444</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common stock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1,841,688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Weighted-average shares for diluted EPS</w:t>
            </w: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29,348,615</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1,379,444</w:t>
            </w:r>
          </w:p>
        </w:tc>
        <w:tc>
          <w:tcPr>
            <w:tcW w:w="40" w:type="dxa"/>
            <w:vAlign w:val="bottom"/>
            <w:tcBorders>
              <w:bottom w:val="single" w:sz="8" w:color="CCEEFF"/>
            </w:tcBorders>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Basic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r>
    </w:tbl>
    <w:p>
      <w:pPr>
        <w:spacing w:after="0" w:line="20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For the quarter ended March 31, 2020, options to purchase 3,000 shares of the Company's common stock were excluded from the computation of diluted net income per share as their effect would have been anti-dilutive.</w:t>
      </w:r>
    </w:p>
    <w:p>
      <w:pPr>
        <w:spacing w:after="0" w:line="14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For the quarter ended March 31, 2019, all shares of preferred stock and options to purchase shares of the Company’s common stock were excluded from the computation of diluted net loss per share as the effect would have been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convertible into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15,560,569</w:t>
            </w:r>
          </w:p>
        </w:tc>
      </w:tr>
      <w:tr>
        <w:trPr>
          <w:trHeight w:val="216"/>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options to purchase common stock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2,052,194</w:t>
            </w:r>
          </w:p>
        </w:tc>
      </w:tr>
      <w:tr>
        <w:trPr>
          <w:trHeight w:val="217"/>
        </w:trPr>
        <w:tc>
          <w:tcPr>
            <w:tcW w:w="6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17,612,763</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 Company did not record a provision or benefit for income taxes during the three months ended March 31, 2020 and 2019. The Company continues to maintain a full valuation allowance against its deferred tax assets.</w:t>
      </w:r>
    </w:p>
    <w:p>
      <w:pPr>
        <w:spacing w:after="0" w:line="14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Under the provisions of Sections 382 and 383 of the IRC, certain substantial changes in the Company’s ownership may have limited, or may limit in the future, the amount of net operating loss and research and development credit carryforwards that can be used to reduce future income taxes.</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On March 27, 2020, the Coronavirus Aid, Relief and Economic Security Act ("CARES Act") was signed into law. The CARES Act includes various income and payroll tax provisions. The Company has analyzed the tax provisions of the CARES Act and determined they have no significant financial impact to our condensed financial statements.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impact of the COVID-19 pandemic on the Company’s business and financial performance is uncertain and depends on various factors, including the scope and duration of the pandemic, government restrictions and other actions, including relief measures, implemented to address the impact of the pandemic, and resulting impacts on the financial markets and overall economy. The Company is unable to determine the extent of the impact of the pandemic on its operations and financial condition going forward. These developments are highly uncertain and unpredictable, and may materially adversely affect the Company’s financial position and results of operations</w:t>
      </w:r>
    </w:p>
    <w:p>
      <w:pPr>
        <w:spacing w:after="0" w:line="17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impacts of the COVID-19 pandemic have put significant strain on clinical trial sites used by the Company, raised concerns around monitoring patient safety, and caused enrollment to slow in the Phase 2 portion of the ongoing Phase 1/2 monotherapy clinical trial of the Company's lead product candidate, NC318. The Company is working closely with its clinical partners and taking the necessary steps to adjust its protocols and timelines due to the impact of the pandemic. On April 13, 2020, the Company announced that initial data from the Phase 2 portion of the ongoing Phase 1/2 clinical trial of NC318 is expected to be temporarily delayed, and the Company has temporarily delayed the initiation of a Phase 2 clinical trial to evaluate NC318 in combination with standard of care chemotherapies and a Phase 1/2 clinical trial of the Company’s second product candidate, NC410.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2019, or our Annual Report. Some of the statements contained in this discussion and analysis or set forth elsewhere in this Quarterly Report are forward-looking statements within the meaning of the Private Securities Litigation Reform Act of 1995, including with respect to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74" w:lineRule="exact"/>
        <w:rPr>
          <w:sz w:val="20"/>
          <w:szCs w:val="20"/>
          <w:color w:val="auto"/>
        </w:rPr>
      </w:pPr>
    </w:p>
    <w:p>
      <w:pPr>
        <w:jc w:val="both"/>
        <w:ind w:left="700" w:right="59" w:hanging="332"/>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jc w:val="both"/>
        <w:ind w:left="700" w:right="59" w:hanging="332"/>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86" w:lineRule="exact"/>
        <w:rPr>
          <w:rFonts w:ascii="Arial" w:cs="Arial" w:eastAsia="Arial" w:hAnsi="Arial"/>
          <w:sz w:val="18"/>
          <w:szCs w:val="18"/>
          <w:color w:val="auto"/>
        </w:rPr>
      </w:pPr>
    </w:p>
    <w:p>
      <w:pPr>
        <w:ind w:left="700" w:right="79" w:hanging="332"/>
        <w:spacing w:after="0" w:line="308"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timing or likelihood of regulatory filings for NC318, NC410 and any other product candidates we develop and our ability to obtain and maintain regulatory approvals for such product candidates for any indication;</w:t>
      </w:r>
    </w:p>
    <w:p>
      <w:pPr>
        <w:spacing w:after="0" w:line="146" w:lineRule="exact"/>
        <w:rPr>
          <w:rFonts w:ascii="Arial" w:cs="Arial" w:eastAsia="Arial" w:hAnsi="Arial"/>
          <w:sz w:val="17"/>
          <w:szCs w:val="17"/>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development of a companion or complimentary diagnostic for NC318, NC410 or any other product candidates we develop;</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potential benefits, activity, effectiveness and safety of NC318, NC410 and any other product candidates we develop;</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potential benefits of and our ability to maintain our relationships and collaborations with Yale University and Dr. Lieping Chen;</w:t>
      </w:r>
    </w:p>
    <w:p>
      <w:pPr>
        <w:spacing w:after="0" w:line="170" w:lineRule="exact"/>
        <w:rPr>
          <w:rFonts w:ascii="Arial" w:cs="Arial" w:eastAsia="Arial" w:hAnsi="Arial"/>
          <w:sz w:val="18"/>
          <w:szCs w:val="18"/>
          <w:color w:val="auto"/>
        </w:rPr>
      </w:pPr>
    </w:p>
    <w:p>
      <w:pPr>
        <w:jc w:val="both"/>
        <w:ind w:left="700" w:right="79" w:hanging="332"/>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700" w:right="79" w:hanging="332"/>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developments and projections relating to our competitors and our industry, including competing therapies; and</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such as the impacts of the COVID-19 pandemic, and that may cause our or our industry’s actual results, levels of activity, performance or achievements to be materially different from those anticipated by the forward-looking statements. We discuss many of these risks elsewhere in this report, including in the section entitled “Risk Factors” included in Part II, Item 1A, in the “Risk Factors” section of our Annual Report, and in our various filings with the Securities and Exchange Commission, or the SEC. You should read these factors and the other cautionary statements made in this Quarterly Report as being applicable to all related forward-looking statements wherever they appear in this Quarterly Report.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Quarterly Report, whether as a result of new information, future events or otherwise, except as required by law. We qualify all of our forward-looking statements by the foregoing cautionary statements.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While we are considered an essential business under applicable regulations and continue to operate, the impacts of COVID-19 have placed significant strain on our clinical trial sites, raised concerns around monitoring patient safety, and caused enrollment to slow in the Phase 2 portion of the ongoing Phase 1/2 monotherapy clinical trial of our lead product candidate, NC318. We are working closely with our clinical partners and taking steps to adjust our protocols and timelines due to the impact of the COVID-19 pandemic, as discussed below. We cannot predict the scope and severity of any further disruptions as a result of COVID-19 or their impacts on us, but if we or any of the third parties with whom we engage, including the collaborators, contract organizations, third-party manufacturers, suppliers, clinical trial sites, regulators and other third parties with whom we conduct business were to experience related business disruptions, our ability to conduct our business in the manner and on the timelines presently planned could be materially and negatively impacted. The impact of the COVID-19 pandemic on our business and financial performance is uncertain and depends on various factors, including the scope and duration of the pandemic, government restrictions and other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actions, including relief measures, implemented to address the impact of the pandemic, and resulting impacts on the financial markets and overall economy. We are unable to determine the extent of the impact of the pandemic on our operations and financial condition going forward. These developments are highly uncertain and unpredictable, and may materially adversely affect our financial position and results of operation</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was presented at the Society for Immunotherapy of Cancer annual meeting in November 2019. We expect to report initial biomarker data from the Phase 1 portion of this trial midyear 2020. We began enrolling patients in the Phase 2 portion of the trial in October 2019. In April 2020, we announced that given enrollment slowdown due to the COVID-19 pandemic, we expect initial data from the Phase 2 portion of the Phase 1/2 monotherapy trial to be temporarily delayed. However, we will continue to support ongoing activities for patients enrolled in the trial and will work with our clinical sites to enroll new patients as appropriate. We intend to initiate an additional Phase 2 clinical trial to evaluate NC318 in combination with standard of care chemotherapies in patients with advanced or metastatic solid tumors. Due to the COVID-19 pandemic, we have temporarily delayed initiating this combination trial.</w:t>
      </w:r>
    </w:p>
    <w:p>
      <w:pPr>
        <w:spacing w:after="0" w:line="17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second product candidate, NC410, is a novel immunomedicine designed to block immune suppression mediated by an immune modulator called Leukocyte-Associated Immunoglobulin-like Receptor 1. The U.S. Food and Drug Administration, or the FDA, accepted our investigational new drug application, or IND, for NC410 in the first quarter of 2020. We intend to initiate a Phase 1/2 clinical trial in patients with advanced or metastatic solid tumors and were prepared to start the Phase 1 portion of the trial in March 2020. However, due to the COVID-19 pandemic, we have temporarily delayed initiating this trial as well.</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of our efforts and financial resources to research and development activities for our product candidates, discovery programs and FIND-IO platform, organizing and staffing our company, identifying business development opportunities, raising capital, securing intellectual property rights related to our product candidates, building and optimizing our manufacturing capabilities and conducting discovery.</w:t>
      </w:r>
    </w:p>
    <w:p>
      <w:pPr>
        <w:spacing w:after="0" w:line="15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 and Company, or Lilly, we have never been profitable and have incurred net losses since the commencement of our operations. Our net income for the three months ended March 31, 2020 was $9.7 million and our net loss for the three months ended March 31, 2019 was $6.2 million. As of March 31, 2020, we had an accumulated deficit of $71.3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funded our operations to date primarily with proceeds from public offerings of our common stock, private placements our preferred stock and upfront fees received under our former research and development collaboration agreement with Lilly, or the Lilly Agreement. From our inception through March 31, 2020, we received gross proceeds of $164.4 million through private placements of preferred stock.</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to us were approximately $77.0 million after deducting underwriting discounts and commissions of $6.0 million and offering expenses of $3.4 million.</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As of March 31, 2020, we had cash, cash equivalents and marketable securities, excluding restricted cash, of $322.1 million. We believe that our existing cash, cash equivalents and marketable securities will be sufficient to fund our planned operations for at least the next 12 months.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planned Phase 1/2 clinical trial of NC410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the three months ended March 31, 2020, we recognized $22.4 million in revenue under the Lilly Agreement. Lilly terminated the Lilly Agreement effective March 3, 2020, or the Lilly Termination Date, and the Company recognized all of the deferred revenue as of the Lilly Termination Date in the condensed statement of operations. Through March 31, 2020, we have not generated any revenue from product sales.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see Note 2 to our unaudited condensed financial statements included elsewhere in this Quarterly Report.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20" w:right="79" w:hanging="328"/>
        <w:spacing w:after="0" w:line="223" w:lineRule="exact"/>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personnel engaged in research and development functions;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1020" w:right="79" w:hanging="328"/>
        <w:spacing w:after="0" w:line="28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 or Yale;</w:t>
      </w:r>
    </w:p>
    <w:p>
      <w:pPr>
        <w:spacing w:after="0" w:line="165" w:lineRule="exact"/>
        <w:rPr>
          <w:rFonts w:ascii="Arial" w:cs="Arial" w:eastAsia="Arial" w:hAnsi="Arial"/>
          <w:sz w:val="17"/>
          <w:szCs w:val="17"/>
          <w:color w:val="auto"/>
        </w:rPr>
      </w:pPr>
    </w:p>
    <w:p>
      <w:pPr>
        <w:ind w:left="1020" w:hanging="328"/>
        <w:spacing w:after="0" w:line="196" w:lineRule="exact"/>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and related travel expenses;</w:t>
      </w:r>
    </w:p>
    <w:p>
      <w:pPr>
        <w:spacing w:after="0" w:line="236"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20" w:right="79" w:hanging="328"/>
        <w:spacing w:after="0" w:line="223" w:lineRule="exact"/>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facility</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direct depreciation costs and allocated expenses for rent and maintenance of facilities and other operating costs.</w:t>
      </w:r>
    </w:p>
    <w:p>
      <w:pPr>
        <w:spacing w:after="0" w:line="203"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203"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Due to the early-stage nature of our programs and the discovery-related nature of our efforts, we do not track costs on a program-by-program basis. As our current and future product candidates proceed along a development path further in clinical trials, we intend to track the costs of each program.</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ongoing Phase 1/2 clinical trial of NC318, our planned Phase 2 clinical trial in combination with standard of care chemotherapies and preclinical studies and a Phase 1/2 clinical trial of NC410, as we develop a complementary diagnostic for NC318 if we determine it is advisable, as we expand our current good manufacturing practice, or cGMP, manufacturing capacity, including to provide drug supply of NC318 for future clinical trials, and as we expand our pipeline through research and development activities related to our FIND-IO platform and discovery programs.</w:t>
      </w:r>
    </w:p>
    <w:p>
      <w:pPr>
        <w:spacing w:after="0" w:line="19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61" w:lineRule="exact"/>
        <w:rPr>
          <w:sz w:val="20"/>
          <w:szCs w:val="20"/>
          <w:color w:val="auto"/>
        </w:rPr>
      </w:pPr>
    </w:p>
    <w:p>
      <w:pPr>
        <w:ind w:left="1020" w:right="79" w:hanging="328"/>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scope, progress, results and costs of clinical trials of NC318 and NC410, as well as of any future clinical trials of other product candidates and other research and development activities that we may conduct;</w:t>
      </w:r>
    </w:p>
    <w:p>
      <w:pPr>
        <w:spacing w:after="0" w:line="123" w:lineRule="exact"/>
        <w:rPr>
          <w:rFonts w:ascii="Arial" w:cs="Arial" w:eastAsia="Arial" w:hAnsi="Arial"/>
          <w:sz w:val="16"/>
          <w:szCs w:val="16"/>
          <w:color w:val="auto"/>
        </w:rPr>
      </w:pPr>
    </w:p>
    <w:p>
      <w:pPr>
        <w:ind w:left="1020" w:right="5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6"/>
          <w:szCs w:val="16"/>
          <w:color w:val="auto"/>
        </w:rPr>
        <w:t>General and administrative expenses consist primarily of personnel</w:t>
      </w:r>
      <w:r>
        <w:rPr>
          <w:rFonts w:ascii="MS PGothic" w:cs="MS PGothic" w:eastAsia="MS PGothic" w:hAnsi="MS PGothic"/>
          <w:sz w:val="16"/>
          <w:szCs w:val="16"/>
          <w:color w:val="auto"/>
        </w:rPr>
        <w:t>‑</w:t>
      </w:r>
      <w:r>
        <w:rPr>
          <w:rFonts w:ascii="Arial" w:cs="Arial" w:eastAsia="Arial" w:hAnsi="Arial"/>
          <w:sz w:val="16"/>
          <w:szCs w:val="16"/>
          <w:color w:val="auto"/>
        </w:rPr>
        <w:t>related costs, including payroll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human resources, business and corporate development and other administrative functions, professional fees for legal, intellectual property, consulting and accounting services, rent and other facility</w:t>
      </w:r>
      <w:r>
        <w:rPr>
          <w:rFonts w:ascii="MS PGothic" w:cs="MS PGothic" w:eastAsia="MS PGothic" w:hAnsi="MS PGothic"/>
          <w:sz w:val="16"/>
          <w:szCs w:val="16"/>
          <w:color w:val="auto"/>
        </w:rPr>
        <w:t>‑</w:t>
      </w:r>
      <w:r>
        <w:rPr>
          <w:rFonts w:ascii="Arial" w:cs="Arial" w:eastAsia="Arial" w:hAnsi="Arial"/>
          <w:sz w:val="16"/>
          <w:szCs w:val="16"/>
          <w:color w:val="auto"/>
        </w:rPr>
        <w:t>related costs, depreciation and other general operating expenses not otherwise classified as research and development expenses. General and administrative expenses also include all patent</w:t>
      </w:r>
      <w:r>
        <w:rPr>
          <w:rFonts w:ascii="MS PGothic" w:cs="MS PGothic" w:eastAsia="MS PGothic" w:hAnsi="MS PGothic"/>
          <w:sz w:val="16"/>
          <w:szCs w:val="16"/>
          <w:color w:val="auto"/>
        </w:rPr>
        <w:t>‑</w:t>
      </w:r>
      <w:r>
        <w:rPr>
          <w:rFonts w:ascii="Arial" w:cs="Arial" w:eastAsia="Arial" w:hAnsi="Arial"/>
          <w:sz w:val="16"/>
          <w:szCs w:val="16"/>
          <w:color w:val="auto"/>
        </w:rPr>
        <w:t>related costs incurred in connection with filing and prosecuting patent applications, which are expensed as incurred.</w:t>
      </w:r>
    </w:p>
    <w:p>
      <w:pPr>
        <w:spacing w:after="0" w:line="20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Other income, net consists primarily of interest income earned on U.S. Treasury obligations and payment of interest on our term loan with a commercial bank, or the Term Loan.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w w:val="92"/>
              </w:rPr>
              <w:t>Revenue from research and development arrangement</w:t>
            </w:r>
          </w:p>
        </w:tc>
        <w:tc>
          <w:tcPr>
            <w:tcW w:w="20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22,378</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(6,155)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4200" w:type="dxa"/>
            <w:vAlign w:val="bottom"/>
          </w:tcPr>
          <w:p>
            <w:pPr>
              <w:spacing w:after="0"/>
              <w:rPr>
                <w:sz w:val="24"/>
                <w:szCs w:val="24"/>
                <w:color w:val="auto"/>
              </w:rPr>
            </w:pPr>
          </w:p>
        </w:tc>
        <w:tc>
          <w:tcPr>
            <w:tcW w:w="1900" w:type="dxa"/>
            <w:vAlign w:val="bottom"/>
          </w:tcPr>
          <w:p>
            <w:pPr>
              <w:jc w:val="right"/>
              <w:ind w:right="145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Revenue was $22.4 million and $1.4 million for the three months ended March 31, 2020 and 2019, respectively. The increase in revenue is related to the recognition of all of the deferred revenue under the Lilly Agreement as of the Lilly Termination Date.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Research and development expenses for the three months ended March 31, 2020 increased by $4.1 million to $10.6 million compared to $6.5 million for the three months ended March 31, 2019. The increase was driven primarily by $1.7 million in lab supplies and services for NC318, NC410, other early-stage programs and discovery activities. Other significant components of the increase in research and development expenses included $1.4 million in personnel-related costs due to an increase in headcount and $0.6 million in clinical research costs related to advancing NC318 and NC410.</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General and administrative expenses for the three months ended March 31, 2020 increased by $1.9 million to $3.6 million as compared to $1.7 million for the three months ended March 31, 2019. The increase was driven primarily by increases, in connection with operating as a public company, of $0.5 million for professional fees related to legal, finance and audit services, public relations, compensation and investor relations support, $0.4 million in insurance expenses and $0.4 million in personnel-related costs due to an increase in headcount.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Other income, net for the three months ended March 31, 2020 increased by $0.9 million to $1.5 million from $0.7 million for the three months ended March 31, 2019. The increase was driven primarily by interest income earned on higher cash and marketable securities balances, partially offset by interest expense related to the Term Loan.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As of March 31, 2020, we had cash and cash equivalents and marketable securities, excluding restricted cash, of $28.9 million and marketable securities of $293.2 million. We believe that our existing cash, cash equivalents and marketable securities will be sufficient to fund our planned operations for at least the next 12 months.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2016, we entered into the Term Loan to finance laboratory equipment purchases. In January 2019, we amended the Term Loan to increase our borrowing capacity from $1.0 million to $5.0 million. As amended, the Term Loan matures in January 2023. Under the Term Loan, we will make interest-only payments through January 2020 and 36 equal monthly payments of principal plus accrued interest thereafter through January 2023. As of March 31, 2020, our outstanding borrowings under the Term Loan were $4.7 million.</w:t>
      </w:r>
    </w:p>
    <w:p>
      <w:pPr>
        <w:spacing w:after="0" w:line="18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will continue to require additional capital to develop our product candidates and fund operations for the foreseeable future. We may seek to raise capital through sale of equity, debt financings, strategic alliances and licensing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arrangements. Adequate additional funding may not be available to us on acceptable terms or at all, including as a result of the impact of the COVID-19 pandemic.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Three Months Ended</w:t>
      </w:r>
    </w:p>
    <w:p>
      <w:pP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(7,080)</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2,970</w:t>
            </w:r>
          </w:p>
        </w:tc>
        <w:tc>
          <w:tcPr>
            <w:tcW w:w="60" w:type="dxa"/>
            <w:vAlign w:val="bottom"/>
          </w:tcPr>
          <w:p>
            <w:pPr>
              <w:spacing w:after="0"/>
              <w:rPr>
                <w:sz w:val="18"/>
                <w:szCs w:val="18"/>
                <w:color w:val="auto"/>
              </w:rPr>
            </w:pPr>
          </w:p>
        </w:tc>
      </w:tr>
      <w:tr>
        <w:trPr>
          <w:trHeight w:val="217"/>
        </w:trPr>
        <w:tc>
          <w:tcPr>
            <w:tcW w:w="6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Net cash used in operating activities was $10.6 million for the three months ended March 31, 2020, which was primarily due to the recognition of deferred revenue related to the terminated Lilly Agreement of $22.4 million, partially offset by our net income of $9.7 million and non-cash charges of $1.8 million for share-based compensation and depreciation. Net cash used in operating activities was $7.0 million for the three months ended March 31, 2019, which was primarily due to our net loss of $6.2 million.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Cash provided by investing activities for the three months ended March 31, 2020 was $5.4 million, which was primarily due to net proceeds from marketable securities of $6.8 million, partially offset by purchases of property and equipment of $1.4 million. Cash used in investing activities for the three months ended March 31, 2019 was $0.9 million, which consisted primarily of purchases of property and equipment.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Cash used in financing activities was $0.2 million for the three months ended March 31, 2020, which consisted primarily of payments related to the Term Loan. Cash provided by financing activities was $3.0 million for the three months ended March 31, 2019, which consisted primarily of net proceeds from the Term Loan, partially offset by the issuance costs, deferred offering costs and payments under the existing Term Loan.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to our contractual obligations during the three month period ended March 31, 2020, as compared to those disclosed in our Annual Report.</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During the three months ended March 31, 2020, there were no material changes to our critical accounting policies reported in our Annual Report.</w:t>
      </w:r>
    </w:p>
    <w:p>
      <w:pPr>
        <w:spacing w:after="0" w:line="16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jc w:val="both"/>
        <w:ind w:left="40" w:right="59" w:firstLine="648"/>
        <w:spacing w:after="0" w:line="223" w:lineRule="exact"/>
        <w:rPr>
          <w:sz w:val="20"/>
          <w:szCs w:val="20"/>
          <w:color w:val="auto"/>
        </w:rPr>
      </w:pPr>
      <w:r>
        <w:rPr>
          <w:rFonts w:ascii="Arial" w:cs="Arial" w:eastAsia="Arial" w:hAnsi="Arial"/>
          <w:sz w:val="18"/>
          <w:szCs w:val="18"/>
          <w:color w:val="auto"/>
        </w:rPr>
        <w:t>Since our inception, we have not engaged in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the rules and regulations of the Securities and Exchange Commission.</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As an emerging growth company under the Jumpstart Our Business Startups Act of 2012, or the JOBS Act, we are eligible to take advantage of certain exemptions from various reporting requirements that are applicable to other public companies that are not emerging growth companies.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2020.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March 31, 2020 that has materially affected, or is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and in the “Risk Factors” section of our Annual Report together with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225"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have placed significant strain on our clinical trial sites, raised concerns around monitoring patient safety, and caused enrollment to slow in the Phase 2 portion of the ongoing Phase 1/2 monotherapy clinical trial of our lead product candidate, NC318. We are working closely with our clinical partners and taking steps to adjust our protocols and timelines due to the impact of the COVID-19 pandemic. Specifically, initial data from the Phase 2 portion of our ongoing Phase 1/2 clinical trial of NC318 is expected to be temporarily delayed, and we have temporarily delayed the initiation of our Phase 2 clinical trial to evaluate NC318 in combination with standard of care chemotherapies as well as the Phase 1 portion of our Phase 1/2 clinical trial of NC410, which we had been prepared to begin in March 2020.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our Annual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cannot predict the scope and severity of disruptions resulting from COVID-19 or their impacts on us, but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impact of the COVID-19 pandemic on our business and financial performance is uncertain and depends on various factors, including the scope and duration of the pandemic and the extent and effectiveness of government restrictions, relief measures and other actions implemented to address the impact of the pandemic, and resulting economic impacts. We are unable to determine the extent of the impact of the pandemic on our operations and financial condition going forward. These developments are highly uncertain and unpredictable, and may materially adversely affect our financial position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patients in our clinical trials, as we have in the Phase 2 portion of our ongoing Phase 1/2 clinical trial, our clinical development activities could be delayed or otherwise be adversely affected.</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For example, we have experienced a slowdown of enrollment in the Phase 2 portion of our ongoing Phase 1/2 clinical trial of NC318 as a result of the COVID-19 pandemic. Delays from difficulties in patient enrollment in a clinical trial may result in increased costs or affect the timing, outcome or completion of the trial, which could delay or prevent our receipt of regulatory approval the applicable product candidate or to abandon the trial altogether.</w:t>
      </w:r>
    </w:p>
    <w:p>
      <w:pPr>
        <w:spacing w:after="0" w:line="177" w:lineRule="exact"/>
        <w:rPr>
          <w:sz w:val="20"/>
          <w:szCs w:val="20"/>
          <w:color w:val="auto"/>
        </w:rPr>
      </w:pPr>
    </w:p>
    <w:p>
      <w:pPr>
        <w:ind w:left="40" w:right="239"/>
        <w:spacing w:after="0" w:line="308"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4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In addition, COVID-19 has disrupted global supply chains, including pharmaceutical and medical supply chains. We cannot be certain that our suppliers will continue to provide us with the quantities of the raw materials that we require or satisfy our anticipated specifications and quality requirements whether due to our size, COVID-19, or 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7543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EX-101.INS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EX-101.SCH</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EX-101.CAL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EX-101.DEF</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EX-101.LAB</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47574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19" w:lineRule="exact"/>
        <w:rPr>
          <w:sz w:val="20"/>
          <w:szCs w:val="20"/>
          <w:color w:val="auto"/>
        </w:rPr>
      </w:pPr>
    </w:p>
    <w:p>
      <w:pPr>
        <w:ind w:right="59"/>
        <w:spacing w:after="0" w:line="277"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of Michael Richman pursuant to Rule 13a-14(a) under the Securities Exchange Act of</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1934 as adopted pursuant to Section 302 of the Sarbanes-Oxley Act of 2002.</w:t>
        </w:r>
      </w:hyperlink>
    </w:p>
    <w:p>
      <w:pPr>
        <w:spacing w:after="0" w:line="170" w:lineRule="exact"/>
        <w:rPr>
          <w:sz w:val="20"/>
          <w:szCs w:val="20"/>
          <w:color w:val="auto"/>
        </w:rPr>
      </w:pPr>
    </w:p>
    <w:p>
      <w:pPr>
        <w:ind w:right="59"/>
        <w:spacing w:after="0" w:line="277"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Certification of Steven P. Cobourn pursuant to Rule 13a-14(a) under the Securities Exchange Act of</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1934 as adopted pursuant to Section 302 of the Sarbanes-Oxley Act of 2002.</w:t>
        </w:r>
      </w:hyperlink>
    </w:p>
    <w:p>
      <w:pPr>
        <w:spacing w:after="0" w:line="170" w:lineRule="exact"/>
        <w:rPr>
          <w:sz w:val="20"/>
          <w:szCs w:val="20"/>
          <w:color w:val="auto"/>
        </w:rPr>
      </w:pPr>
    </w:p>
    <w:p>
      <w:pPr>
        <w:ind w:right="59"/>
        <w:spacing w:after="0" w:line="277"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Michael Richman and Steven P. Cobourn pursuant to 18 U.S.C. Section 1350 as</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adopted pursuant to Section 906 of the Sarbanes-Oxley Act of 2002.</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2">
            <w:col w:w="1320" w:space="140"/>
            <w:col w:w="755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60" w:type="dxa"/>
            <w:vAlign w:val="bottom"/>
            <w:gridSpan w:val="2"/>
          </w:tcPr>
          <w:p>
            <w:pPr>
              <w:ind w:left="1640"/>
              <w:spacing w:after="0"/>
              <w:rPr>
                <w:sz w:val="20"/>
                <w:szCs w:val="20"/>
                <w:color w:val="auto"/>
              </w:rPr>
            </w:pPr>
            <w:r>
              <w:rPr>
                <w:rFonts w:ascii="Arial" w:cs="Arial" w:eastAsia="Arial" w:hAnsi="Arial"/>
                <w:sz w:val="18"/>
                <w:szCs w:val="18"/>
                <w:b w:val="1"/>
                <w:bCs w:val="1"/>
                <w:color w:val="auto"/>
              </w:rPr>
              <w:t>NEXTCURE, INC.</w:t>
            </w:r>
          </w:p>
        </w:tc>
      </w:tr>
      <w:tr>
        <w:trPr>
          <w:trHeight w:val="365"/>
        </w:trPr>
        <w:tc>
          <w:tcPr>
            <w:tcW w:w="2860" w:type="dxa"/>
            <w:vAlign w:val="bottom"/>
          </w:tcPr>
          <w:p>
            <w:pPr>
              <w:spacing w:after="0"/>
              <w:rPr>
                <w:sz w:val="20"/>
                <w:szCs w:val="20"/>
                <w:color w:val="auto"/>
              </w:rPr>
            </w:pPr>
            <w:r>
              <w:rPr>
                <w:rFonts w:ascii="Arial" w:cs="Arial" w:eastAsia="Arial" w:hAnsi="Arial"/>
                <w:sz w:val="18"/>
                <w:szCs w:val="18"/>
                <w:color w:val="auto"/>
              </w:rPr>
              <w:t>Date: May 7, 2020</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82"/>
        </w:trPr>
        <w:tc>
          <w:tcPr>
            <w:tcW w:w="2860" w:type="dxa"/>
            <w:vAlign w:val="bottom"/>
          </w:tcPr>
          <w:p>
            <w:pPr>
              <w:spacing w:after="0"/>
              <w:rPr>
                <w:sz w:val="15"/>
                <w:szCs w:val="15"/>
                <w:color w:val="auto"/>
              </w:rPr>
            </w:pPr>
          </w:p>
        </w:tc>
        <w:tc>
          <w:tcPr>
            <w:tcW w:w="6060" w:type="dxa"/>
            <w:vAlign w:val="bottom"/>
            <w:gridSpan w:val="2"/>
          </w:tcPr>
          <w:p>
            <w:pPr>
              <w:ind w:left="1640"/>
              <w:spacing w:after="0" w:line="182" w:lineRule="exact"/>
              <w:rPr>
                <w:sz w:val="20"/>
                <w:szCs w:val="20"/>
                <w:color w:val="auto"/>
              </w:rPr>
            </w:pPr>
            <w:r>
              <w:rPr>
                <w:rFonts w:ascii="Arial" w:cs="Arial" w:eastAsia="Arial" w:hAnsi="Arial"/>
                <w:sz w:val="18"/>
                <w:szCs w:val="18"/>
                <w:color w:val="auto"/>
              </w:rPr>
              <w:t>Name:Michael Richman</w:t>
            </w:r>
          </w:p>
        </w:tc>
      </w:tr>
      <w:tr>
        <w:trPr>
          <w:trHeight w:val="230"/>
        </w:trPr>
        <w:tc>
          <w:tcPr>
            <w:tcW w:w="28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Date: May 7, 2020</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82"/>
        </w:trPr>
        <w:tc>
          <w:tcPr>
            <w:tcW w:w="2860" w:type="dxa"/>
            <w:vAlign w:val="bottom"/>
          </w:tcPr>
          <w:p>
            <w:pPr>
              <w:spacing w:after="0"/>
              <w:rPr>
                <w:sz w:val="15"/>
                <w:szCs w:val="15"/>
                <w:color w:val="auto"/>
              </w:rPr>
            </w:pPr>
          </w:p>
        </w:tc>
        <w:tc>
          <w:tcPr>
            <w:tcW w:w="6060" w:type="dxa"/>
            <w:vAlign w:val="bottom"/>
            <w:gridSpan w:val="2"/>
          </w:tcPr>
          <w:p>
            <w:pPr>
              <w:ind w:left="1640"/>
              <w:spacing w:after="0" w:line="182" w:lineRule="exact"/>
              <w:rPr>
                <w:sz w:val="20"/>
                <w:szCs w:val="20"/>
                <w:color w:val="auto"/>
              </w:rPr>
            </w:pPr>
            <w:r>
              <w:rPr>
                <w:rFonts w:ascii="Arial" w:cs="Arial" w:eastAsia="Arial" w:hAnsi="Arial"/>
                <w:sz w:val="18"/>
                <w:szCs w:val="18"/>
                <w:color w:val="auto"/>
              </w:rPr>
              <w:t>Name:Steven P. Cobourn</w:t>
            </w:r>
          </w:p>
        </w:tc>
      </w:tr>
      <w:tr>
        <w:trPr>
          <w:trHeight w:val="230"/>
        </w:trPr>
        <w:tc>
          <w:tcPr>
            <w:tcW w:w="28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50"/>
        </w:trPr>
        <w:tc>
          <w:tcPr>
            <w:tcW w:w="2860" w:type="dxa"/>
            <w:vAlign w:val="bottom"/>
          </w:tcPr>
          <w:p>
            <w:pPr>
              <w:spacing w:after="0"/>
              <w:rPr>
                <w:sz w:val="24"/>
                <w:szCs w:val="24"/>
                <w:color w:val="auto"/>
              </w:rPr>
            </w:pPr>
          </w:p>
        </w:tc>
        <w:tc>
          <w:tcPr>
            <w:tcW w:w="2140" w:type="dxa"/>
            <w:vAlign w:val="bottom"/>
          </w:tcPr>
          <w:p>
            <w:pPr>
              <w:ind w:left="1520"/>
              <w:spacing w:after="0"/>
              <w:rPr>
                <w:sz w:val="20"/>
                <w:szCs w:val="20"/>
                <w:color w:val="auto"/>
              </w:rPr>
            </w:pPr>
            <w:r>
              <w:rPr>
                <w:rFonts w:ascii="Arial" w:cs="Arial" w:eastAsia="Arial" w:hAnsi="Arial"/>
                <w:sz w:val="18"/>
                <w:szCs w:val="18"/>
                <w:color w:val="auto"/>
              </w:rPr>
              <w:t>25</w:t>
            </w:r>
          </w:p>
        </w:tc>
        <w:tc>
          <w:tcPr>
            <w:tcW w:w="39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7"/>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7"/>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7"/>
        <w:spacing w:after="0" w:line="27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firstLine="1"/>
        <w:spacing w:after="0" w:line="311" w:lineRule="auto"/>
        <w:tabs>
          <w:tab w:leader="none" w:pos="13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80" w:firstLine="1"/>
        <w:spacing w:after="0" w:line="263" w:lineRule="auto"/>
        <w:tabs>
          <w:tab w:leader="none" w:pos="13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firstLine="1"/>
        <w:spacing w:after="0" w:line="311" w:lineRule="auto"/>
        <w:tabs>
          <w:tab w:leader="none" w:pos="13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7"/>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firstLine="1"/>
        <w:spacing w:after="0" w:line="263"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firstLine="1"/>
        <w:spacing w:after="0" w:line="277"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7"/>
        <w:spacing w:after="0" w:line="263"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7"/>
        <w:spacing w:after="0" w:line="263"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7"/>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firstLine="1"/>
        <w:spacing w:after="0" w:line="311" w:lineRule="auto"/>
        <w:tabs>
          <w:tab w:leader="none" w:pos="131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80" w:firstLine="1"/>
        <w:spacing w:after="0" w:line="263" w:lineRule="auto"/>
        <w:tabs>
          <w:tab w:leader="none" w:pos="13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firstLine="1"/>
        <w:spacing w:after="0" w:line="311" w:lineRule="auto"/>
        <w:tabs>
          <w:tab w:leader="none" w:pos="131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7"/>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firstLine="1"/>
        <w:spacing w:after="0" w:line="263"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firstLine="1"/>
        <w:spacing w:after="0" w:line="277" w:lineRule="auto"/>
        <w:tabs>
          <w:tab w:leader="none" w:pos="13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March 31, 2020,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3"/>
        <w:spacing w:after="0" w:line="277" w:lineRule="auto"/>
        <w:tabs>
          <w:tab w:leader="none" w:pos="1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2020-05-07T16:33:00Z</dcterms:created>
  <dcterms:modified xsi:type="dcterms:W3CDTF">2020-05-07T16:33:00Z</dcterms:modified>
</cp:coreProperties>
</file>