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125730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640" w:hanging="416"/>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4" w:lineRule="exact"/>
        <w:rPr>
          <w:rFonts w:ascii="Arial" w:cs="Arial" w:eastAsia="Arial" w:hAnsi="Arial"/>
          <w:sz w:val="16"/>
          <w:szCs w:val="16"/>
          <w:color w:val="auto"/>
        </w:rPr>
      </w:pPr>
    </w:p>
    <w:p>
      <w:pPr>
        <w:ind w:left="3720"/>
        <w:spacing w:after="0"/>
        <w:rPr>
          <w:rFonts w:ascii="Arial" w:cs="Arial" w:eastAsia="Arial" w:hAnsi="Arial"/>
          <w:sz w:val="16"/>
          <w:szCs w:val="16"/>
          <w:color w:val="auto"/>
        </w:rPr>
      </w:pPr>
      <w:r>
        <w:rPr>
          <w:rFonts w:ascii="Arial" w:cs="Arial" w:eastAsia="Arial" w:hAnsi="Arial"/>
          <w:sz w:val="14"/>
          <w:szCs w:val="14"/>
          <w:b w:val="1"/>
          <w:bCs w:val="1"/>
          <w:color w:val="auto"/>
        </w:rPr>
        <w:t>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149860</wp:posOffset>
            </wp:positionH>
            <wp:positionV relativeFrom="paragraph">
              <wp:posOffset>-255270</wp:posOffset>
            </wp:positionV>
            <wp:extent cx="107315" cy="82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315" cy="82550"/>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640" w:hanging="396"/>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164465</wp:posOffset>
            </wp:positionH>
            <wp:positionV relativeFrom="paragraph">
              <wp:posOffset>-109220</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p>
      <w:pPr>
        <w:spacing w:after="0" w:line="64"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9" w:lineRule="exact"/>
        <w:rPr>
          <w:sz w:val="24"/>
          <w:szCs w:val="24"/>
          <w:color w:val="auto"/>
        </w:rPr>
      </w:pPr>
    </w:p>
    <w:p>
      <w:pPr>
        <w:sectPr>
          <w:pgSz w:w="11900" w:h="16838" w:orient="portrait"/>
          <w:cols w:equalWidth="0" w:num="3">
            <w:col w:w="5260" w:space="720"/>
            <w:col w:w="120" w:space="680"/>
            <w:col w:w="3440"/>
          </w:cols>
          <w:pgMar w:left="840" w:top="665" w:right="83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116840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NextCure,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99060</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3" w:lineRule="exact"/>
        <w:rPr>
          <w:sz w:val="24"/>
          <w:szCs w:val="24"/>
          <w:color w:val="auto"/>
        </w:rPr>
      </w:pPr>
    </w:p>
    <w:tbl>
      <w:tblPr>
        <w:tblLayout w:type="fixed"/>
        <w:tblInd w:w="840" w:type="dxa"/>
        <w:tblCellMar>
          <w:top w:w="0" w:type="dxa"/>
          <w:left w:w="0" w:type="dxa"/>
          <w:bottom w:w="0" w:type="dxa"/>
          <w:right w:w="0" w:type="dxa"/>
        </w:tblCellMar>
      </w:tblPr>
      <w:tr>
        <w:trPr>
          <w:trHeight w:val="180"/>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08"/>
              <w:spacing w:after="0"/>
              <w:rPr>
                <w:sz w:val="20"/>
                <w:szCs w:val="20"/>
                <w:color w:val="auto"/>
              </w:rPr>
            </w:pPr>
            <w:r>
              <w:rPr>
                <w:rFonts w:ascii="Arial" w:cs="Arial" w:eastAsia="Arial" w:hAnsi="Arial"/>
                <w:sz w:val="14"/>
                <w:szCs w:val="14"/>
                <w:b w:val="1"/>
                <w:bCs w:val="1"/>
                <w:color w:val="auto"/>
              </w:rPr>
              <w:t>04-5231247</w:t>
            </w:r>
          </w:p>
        </w:tc>
      </w:tr>
      <w:tr>
        <w:trPr>
          <w:trHeight w:val="182"/>
        </w:trPr>
        <w:tc>
          <w:tcPr>
            <w:tcW w:w="4600" w:type="dxa"/>
            <w:vAlign w:val="bottom"/>
          </w:tcPr>
          <w:p>
            <w:pPr>
              <w:jc w:val="center"/>
              <w:ind w:right="108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r>
      <w:tr>
        <w:trPr>
          <w:trHeight w:val="246"/>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5"/>
              </w:rPr>
              <w:t>9000 Virginia Manor Road, Suite 200</w:t>
            </w:r>
          </w:p>
        </w:tc>
        <w:tc>
          <w:tcPr>
            <w:tcW w:w="3260" w:type="dxa"/>
            <w:vAlign w:val="bottom"/>
          </w:tcPr>
          <w:p>
            <w:pPr>
              <w:spacing w:after="0"/>
              <w:rPr>
                <w:sz w:val="21"/>
                <w:szCs w:val="21"/>
                <w:color w:val="auto"/>
              </w:rPr>
            </w:pPr>
          </w:p>
        </w:tc>
      </w:tr>
      <w:tr>
        <w:trPr>
          <w:trHeight w:val="179"/>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6"/>
              </w:rPr>
              <w:t>Beltsville, Maryland</w:t>
            </w:r>
          </w:p>
        </w:tc>
        <w:tc>
          <w:tcPr>
            <w:tcW w:w="3260" w:type="dxa"/>
            <w:vAlign w:val="bottom"/>
          </w:tcPr>
          <w:p>
            <w:pPr>
              <w:jc w:val="right"/>
              <w:ind w:right="788"/>
              <w:spacing w:after="0"/>
              <w:rPr>
                <w:sz w:val="20"/>
                <w:szCs w:val="20"/>
                <w:color w:val="auto"/>
              </w:rPr>
            </w:pPr>
            <w:r>
              <w:rPr>
                <w:rFonts w:ascii="Arial" w:cs="Arial" w:eastAsia="Arial" w:hAnsi="Arial"/>
                <w:sz w:val="14"/>
                <w:szCs w:val="14"/>
                <w:b w:val="1"/>
                <w:bCs w:val="1"/>
                <w:color w:val="auto"/>
              </w:rPr>
              <w:t>20705</w:t>
            </w:r>
          </w:p>
        </w:tc>
      </w:tr>
      <w:tr>
        <w:trPr>
          <w:trHeight w:val="182"/>
        </w:trPr>
        <w:tc>
          <w:tcPr>
            <w:tcW w:w="4600" w:type="dxa"/>
            <w:vAlign w:val="bottom"/>
          </w:tcPr>
          <w:p>
            <w:pPr>
              <w:jc w:val="center"/>
              <w:ind w:right="108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(240) 399-4900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43" w:lineRule="exact"/>
        <w:rPr>
          <w:sz w:val="24"/>
          <w:szCs w:val="24"/>
          <w:color w:val="auto"/>
        </w:rPr>
      </w:pPr>
    </w:p>
    <w:p>
      <w:pPr>
        <w:ind w:left="274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64"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NXTC</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71" w:lineRule="exact"/>
        <w:rPr>
          <w:sz w:val="24"/>
          <w:szCs w:val="24"/>
          <w:color w:val="auto"/>
        </w:rPr>
      </w:pPr>
    </w:p>
    <w:p>
      <w:pPr>
        <w:jc w:val="both"/>
        <w:ind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type w:val="continuous"/>
        </w:sectPr>
      </w:pPr>
    </w:p>
    <w:p>
      <w:pPr>
        <w:spacing w:after="0" w:line="33"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Large accelerated filer </w:t>
      </w:r>
      <w:r>
        <w:rPr>
          <w:rFonts w:ascii="Arial Unicode MS" w:cs="Arial Unicode MS" w:eastAsia="Arial Unicode MS" w:hAnsi="Arial Unicode MS"/>
          <w:sz w:val="15"/>
          <w:szCs w:val="15"/>
          <w:color w:val="auto"/>
        </w:rPr>
        <w:t>☐</w:t>
      </w:r>
    </w:p>
    <w:p>
      <w:pPr>
        <w:spacing w:after="0" w:line="46"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Non-accelerated filer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720"/>
        <w:spacing w:after="0" w:line="201" w:lineRule="exact"/>
        <w:rPr>
          <w:sz w:val="20"/>
          <w:szCs w:val="20"/>
          <w:color w:val="auto"/>
        </w:rPr>
      </w:pPr>
      <w:r>
        <w:rPr>
          <w:rFonts w:ascii="Arial" w:cs="Arial" w:eastAsia="Arial" w:hAnsi="Arial"/>
          <w:sz w:val="15"/>
          <w:szCs w:val="15"/>
          <w:color w:val="auto"/>
        </w:rPr>
        <w:t xml:space="preserve">Accelerated filer </w:t>
      </w:r>
      <w:r>
        <w:rPr>
          <w:rFonts w:ascii="Arial Unicode MS" w:cs="Arial Unicode MS" w:eastAsia="Arial Unicode MS" w:hAnsi="Arial Unicode MS"/>
          <w:sz w:val="15"/>
          <w:szCs w:val="15"/>
          <w:color w:val="auto"/>
        </w:rPr>
        <w:t>☐</w:t>
      </w:r>
    </w:p>
    <w:p>
      <w:pPr>
        <w:spacing w:after="0" w:line="46"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Smaller reporting company </w:t>
      </w:r>
      <w:r>
        <w:rPr>
          <w:rFonts w:ascii="Arial Unicode MS" w:cs="Arial Unicode MS" w:eastAsia="Arial Unicode MS" w:hAnsi="Arial Unicode MS"/>
          <w:sz w:val="15"/>
          <w:szCs w:val="15"/>
          <w:color w:val="auto"/>
        </w:rPr>
        <w:t>⌧</w:t>
      </w:r>
    </w:p>
    <w:p>
      <w:pPr>
        <w:spacing w:after="0" w:line="2"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pacing w:after="0" w:line="82" w:lineRule="exact"/>
        <w:rPr>
          <w:sz w:val="24"/>
          <w:szCs w:val="24"/>
          <w:color w:val="auto"/>
        </w:rPr>
      </w:pPr>
    </w:p>
    <w:p>
      <w:pPr>
        <w:sectPr>
          <w:pgSz w:w="11900" w:h="16838" w:orient="portrait"/>
          <w:cols w:equalWidth="0" w:num="2">
            <w:col w:w="7500" w:space="720"/>
            <w:col w:w="2000"/>
          </w:cols>
          <w:pgMar w:left="840" w:top="665" w:right="839" w:bottom="1440" w:gutter="0" w:footer="0" w:header="0"/>
          <w:type w:val="continuous"/>
        </w:sectPr>
      </w:pPr>
    </w:p>
    <w:p>
      <w:pPr>
        <w:ind w:right="20" w:firstLine="64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43" w:lineRule="exact"/>
        <w:rPr>
          <w:sz w:val="24"/>
          <w:szCs w:val="24"/>
          <w:color w:val="auto"/>
        </w:rPr>
      </w:pPr>
    </w:p>
    <w:p>
      <w:pPr>
        <w:ind w:left="64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3" w:lineRule="exact"/>
        <w:rPr>
          <w:sz w:val="24"/>
          <w:szCs w:val="24"/>
          <w:color w:val="auto"/>
        </w:rPr>
      </w:pPr>
    </w:p>
    <w:p>
      <w:pPr>
        <w:ind w:left="640"/>
        <w:spacing w:after="0"/>
        <w:rPr>
          <w:sz w:val="20"/>
          <w:szCs w:val="20"/>
          <w:color w:val="auto"/>
        </w:rPr>
      </w:pPr>
      <w:r>
        <w:rPr>
          <w:rFonts w:ascii="Arial" w:cs="Arial" w:eastAsia="Arial" w:hAnsi="Arial"/>
          <w:sz w:val="16"/>
          <w:szCs w:val="16"/>
          <w:color w:val="auto"/>
        </w:rPr>
        <w:t>As of August 5, 2020, the registrant had 27,552,751 shares of common stock, par value $0.001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789305</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78105</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8420" w:type="dxa"/>
            <w:vAlign w:val="bottom"/>
            <w:gridSpan w:val="6"/>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420" w:type="dxa"/>
            <w:vAlign w:val="bottom"/>
            <w:gridSpan w:val="6"/>
            <w:vMerge w:val="continue"/>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68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68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 as of June 30, 2020 (unaudited) and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7680" w:type="dxa"/>
            <w:vAlign w:val="bottom"/>
            <w:gridSpan w:val="5"/>
          </w:tcPr>
          <w:p>
            <w:pPr>
              <w:spacing w:after="0" w:line="190"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Condensed Statements of Operations and Comprehensive Loss for the Three and Six Months</w:t>
              </w:r>
            </w:hyperlink>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Ended June 30, 2020 and 2019</w:t>
              </w:r>
            </w:hyperlink>
          </w:p>
        </w:tc>
        <w:tc>
          <w:tcPr>
            <w:tcW w:w="5260" w:type="dxa"/>
            <w:vAlign w:val="bottom"/>
            <w:tcBorders>
              <w:top w:val="single" w:sz="8" w:color="0000EE"/>
            </w:tcBorders>
            <w:gridSpan w:val="3"/>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71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Statements of Preferred Stock and Stockholders’ Equity (Deficit) for the Six</w:t>
              </w:r>
            </w:hyperlink>
          </w:p>
        </w:tc>
        <w:tc>
          <w:tcPr>
            <w:tcW w:w="5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Months Ended June 30, 2020 and 2019</w:t>
              </w:r>
            </w:hyperlink>
          </w:p>
        </w:tc>
        <w:tc>
          <w:tcPr>
            <w:tcW w:w="486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7680" w:type="dxa"/>
            <w:vAlign w:val="bottom"/>
            <w:gridSpan w:val="5"/>
          </w:tcPr>
          <w:p>
            <w:pPr>
              <w:spacing w:after="0"/>
              <w:rPr>
                <w:rFonts w:ascii="Arial" w:cs="Arial" w:eastAsia="Arial" w:hAnsi="Arial"/>
                <w:sz w:val="18"/>
                <w:szCs w:val="18"/>
                <w:u w:val="single" w:color="auto"/>
                <w:color w:val="0000EE"/>
                <w:w w:val="95"/>
              </w:rPr>
            </w:pPr>
            <w:hyperlink w:anchor="page6">
              <w:r>
                <w:rPr>
                  <w:rFonts w:ascii="Arial" w:cs="Arial" w:eastAsia="Arial" w:hAnsi="Arial"/>
                  <w:sz w:val="18"/>
                  <w:szCs w:val="18"/>
                  <w:u w:val="single" w:color="auto"/>
                  <w:color w:val="0000EE"/>
                  <w:w w:val="95"/>
                </w:rPr>
                <w:t>Unaudited Condensed Statements of Cash Flows for the Six Months Ended June 30,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68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2.</w:t>
              </w:r>
            </w:hyperlink>
          </w:p>
        </w:tc>
        <w:tc>
          <w:tcPr>
            <w:tcW w:w="7680" w:type="dxa"/>
            <w:vAlign w:val="bottom"/>
            <w:gridSpan w:val="5"/>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3.</w:t>
              </w:r>
            </w:hyperlink>
          </w:p>
        </w:tc>
        <w:tc>
          <w:tcPr>
            <w:tcW w:w="7680" w:type="dxa"/>
            <w:vAlign w:val="bottom"/>
            <w:gridSpan w:val="5"/>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2"/>
        </w:trPr>
        <w:tc>
          <w:tcPr>
            <w:tcW w:w="74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4.</w:t>
              </w:r>
            </w:hyperlink>
          </w:p>
        </w:tc>
        <w:tc>
          <w:tcPr>
            <w:tcW w:w="7680" w:type="dxa"/>
            <w:vAlign w:val="bottom"/>
            <w:gridSpan w:val="5"/>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0"/>
        </w:trPr>
        <w:tc>
          <w:tcPr>
            <w:tcW w:w="8420" w:type="dxa"/>
            <w:vAlign w:val="bottom"/>
            <w:gridSpan w:val="6"/>
          </w:tcPr>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Part II. 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1.</w:t>
              </w:r>
            </w:hyperlink>
          </w:p>
        </w:tc>
        <w:tc>
          <w:tcPr>
            <w:tcW w:w="7680" w:type="dxa"/>
            <w:vAlign w:val="bottom"/>
            <w:gridSpan w:val="5"/>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1A.</w:t>
              </w:r>
            </w:hyperlink>
          </w:p>
        </w:tc>
        <w:tc>
          <w:tcPr>
            <w:tcW w:w="7680" w:type="dxa"/>
            <w:vAlign w:val="bottom"/>
            <w:gridSpan w:val="5"/>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w:t>
              </w:r>
            </w:hyperlink>
          </w:p>
        </w:tc>
        <w:tc>
          <w:tcPr>
            <w:tcW w:w="768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3.</w:t>
              </w:r>
            </w:hyperlink>
          </w:p>
        </w:tc>
        <w:tc>
          <w:tcPr>
            <w:tcW w:w="768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Defaults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4.</w:t>
              </w:r>
            </w:hyperlink>
          </w:p>
        </w:tc>
        <w:tc>
          <w:tcPr>
            <w:tcW w:w="768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5.</w:t>
              </w:r>
            </w:hyperlink>
          </w:p>
        </w:tc>
        <w:tc>
          <w:tcPr>
            <w:tcW w:w="768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6.</w:t>
              </w:r>
            </w:hyperlink>
          </w:p>
        </w:tc>
        <w:tc>
          <w:tcPr>
            <w:tcW w:w="7680" w:type="dxa"/>
            <w:vAlign w:val="bottom"/>
            <w:gridSpan w:val="5"/>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420" w:type="dxa"/>
            <w:vAlign w:val="bottom"/>
            <w:gridSpan w:val="6"/>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SIGNATURES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68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25,050</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34,091</w:t>
            </w:r>
          </w:p>
        </w:tc>
      </w:tr>
      <w:tr>
        <w:trPr>
          <w:trHeight w:val="203"/>
        </w:trPr>
        <w:tc>
          <w:tcPr>
            <w:tcW w:w="6680" w:type="dxa"/>
            <w:vAlign w:val="bottom"/>
          </w:tcPr>
          <w:p>
            <w:pPr>
              <w:ind w:left="100"/>
              <w:spacing w:after="0"/>
              <w:rPr>
                <w:sz w:val="20"/>
                <w:szCs w:val="20"/>
                <w:color w:val="auto"/>
              </w:rPr>
            </w:pPr>
            <w:r>
              <w:rPr>
                <w:rFonts w:ascii="Arial" w:cs="Arial" w:eastAsia="Arial" w:hAnsi="Arial"/>
                <w:sz w:val="16"/>
                <w:szCs w:val="16"/>
                <w:color w:val="auto"/>
              </w:rPr>
              <w:t>Marketable securities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284,285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300,514</w:t>
            </w:r>
          </w:p>
        </w:tc>
      </w:tr>
      <w:tr>
        <w:trPr>
          <w:trHeight w:val="203"/>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r>
      <w:tr>
        <w:trPr>
          <w:trHeight w:val="203"/>
        </w:trPr>
        <w:tc>
          <w:tcPr>
            <w:tcW w:w="66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3,684</w:t>
            </w: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315,070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339,995</w:t>
            </w:r>
          </w:p>
        </w:tc>
      </w:tr>
      <w:tr>
        <w:trPr>
          <w:trHeight w:val="203"/>
        </w:trPr>
        <w:tc>
          <w:tcPr>
            <w:tcW w:w="6680" w:type="dxa"/>
            <w:vAlign w:val="bottom"/>
          </w:tcPr>
          <w:p>
            <w:pPr>
              <w:ind w:left="100"/>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14,831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12,090</w:t>
            </w:r>
          </w:p>
        </w:tc>
      </w:tr>
      <w:tr>
        <w:trPr>
          <w:trHeight w:val="203"/>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w:t>
            </w:r>
          </w:p>
        </w:tc>
      </w:tr>
      <w:tr>
        <w:trPr>
          <w:trHeight w:val="236"/>
        </w:trPr>
        <w:tc>
          <w:tcPr>
            <w:tcW w:w="6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333,489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356,168</w:t>
            </w:r>
          </w:p>
        </w:tc>
      </w:tr>
      <w:tr>
        <w:trPr>
          <w:trHeight w:val="183"/>
        </w:trPr>
        <w:tc>
          <w:tcPr>
            <w:tcW w:w="668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Preferred Stock and Stockholders’ Equity</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3"/>
        </w:trPr>
        <w:tc>
          <w:tcPr>
            <w:tcW w:w="668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r>
      <w:tr>
        <w:trPr>
          <w:trHeight w:val="203"/>
        </w:trPr>
        <w:tc>
          <w:tcPr>
            <w:tcW w:w="668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4,871</w:t>
            </w:r>
          </w:p>
        </w:tc>
      </w:tr>
      <w:tr>
        <w:trPr>
          <w:trHeight w:val="203"/>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rent, current portion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03"/>
        </w:trPr>
        <w:tc>
          <w:tcPr>
            <w:tcW w:w="6680" w:type="dxa"/>
            <w:vAlign w:val="bottom"/>
          </w:tcPr>
          <w:p>
            <w:pPr>
              <w:ind w:left="100"/>
              <w:spacing w:after="0"/>
              <w:rPr>
                <w:sz w:val="20"/>
                <w:szCs w:val="20"/>
                <w:color w:val="auto"/>
              </w:rPr>
            </w:pPr>
            <w:r>
              <w:rPr>
                <w:rFonts w:ascii="Arial" w:cs="Arial" w:eastAsia="Arial" w:hAnsi="Arial"/>
                <w:sz w:val="16"/>
                <w:szCs w:val="16"/>
                <w:color w:val="auto"/>
              </w:rPr>
              <w:t>Term loan, current portion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1,667</w:t>
            </w:r>
          </w:p>
        </w:tc>
      </w:tr>
      <w:tr>
        <w:trPr>
          <w:trHeight w:val="203"/>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revenue, current portion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6,428</w:t>
            </w:r>
          </w:p>
        </w:tc>
      </w:tr>
      <w:tr>
        <w:trPr>
          <w:trHeight w:val="196"/>
        </w:trPr>
        <w:tc>
          <w:tcPr>
            <w:tcW w:w="668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8,362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15,042</w:t>
            </w:r>
          </w:p>
        </w:tc>
      </w:tr>
      <w:tr>
        <w:trPr>
          <w:trHeight w:val="203"/>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rent, net of current portion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03"/>
        </w:trPr>
        <w:tc>
          <w:tcPr>
            <w:tcW w:w="6680" w:type="dxa"/>
            <w:vAlign w:val="bottom"/>
          </w:tcPr>
          <w:p>
            <w:pPr>
              <w:ind w:left="100"/>
              <w:spacing w:after="0"/>
              <w:rPr>
                <w:sz w:val="20"/>
                <w:szCs w:val="20"/>
                <w:color w:val="auto"/>
              </w:rPr>
            </w:pPr>
            <w:r>
              <w:rPr>
                <w:rFonts w:ascii="Arial" w:cs="Arial" w:eastAsia="Arial" w:hAnsi="Arial"/>
                <w:sz w:val="16"/>
                <w:szCs w:val="16"/>
                <w:color w:val="auto"/>
              </w:rPr>
              <w:t>Term loan, net of current portion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2,639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3,333</w:t>
            </w:r>
          </w:p>
        </w:tc>
      </w:tr>
      <w:tr>
        <w:trPr>
          <w:trHeight w:val="203"/>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revenue, net of current portion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15,950</w:t>
            </w:r>
          </w:p>
        </w:tc>
      </w:tr>
      <w:tr>
        <w:trPr>
          <w:trHeight w:val="196"/>
        </w:trPr>
        <w:tc>
          <w:tcPr>
            <w:tcW w:w="6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11,572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34,684</w:t>
            </w: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3"/>
        </w:trPr>
        <w:tc>
          <w:tcPr>
            <w:tcW w:w="6680" w:type="dxa"/>
            <w:vAlign w:val="bottom"/>
          </w:tcPr>
          <w:p>
            <w:pPr>
              <w:ind w:left="100"/>
              <w:spacing w:after="0"/>
              <w:rPr>
                <w:sz w:val="20"/>
                <w:szCs w:val="20"/>
                <w:color w:val="auto"/>
              </w:rPr>
            </w:pPr>
            <w:r>
              <w:rPr>
                <w:rFonts w:ascii="Arial" w:cs="Arial" w:eastAsia="Arial" w:hAnsi="Arial"/>
                <w:sz w:val="16"/>
                <w:szCs w:val="16"/>
                <w:color w:val="auto"/>
                <w:w w:val="93"/>
              </w:rPr>
              <w:t>Preferred stock, par value of $0.001 per share; 10,000,000 shares authorized at June 30, 2020 and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9"/>
        </w:trPr>
        <w:tc>
          <w:tcPr>
            <w:tcW w:w="6680" w:type="dxa"/>
            <w:vAlign w:val="bottom"/>
          </w:tcPr>
          <w:p>
            <w:pPr>
              <w:ind w:left="100"/>
              <w:spacing w:after="0"/>
              <w:rPr>
                <w:sz w:val="20"/>
                <w:szCs w:val="20"/>
                <w:color w:val="auto"/>
              </w:rPr>
            </w:pPr>
            <w:r>
              <w:rPr>
                <w:rFonts w:ascii="Arial" w:cs="Arial" w:eastAsia="Arial" w:hAnsi="Arial"/>
                <w:sz w:val="16"/>
                <w:szCs w:val="16"/>
                <w:color w:val="auto"/>
                <w:w w:val="94"/>
              </w:rPr>
              <w:t>December 31, 2019. No shares issued and outstanding at June 30, 2020 and December 31, 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2"/>
              </w:rPr>
              <w:t>Common stock, par value of $0.001 per share; 100,000,000 shares authorized at June 30, 2020 and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0"/>
              </w:rPr>
              <w:t>December 31, 2019, 27,520,650 and 27,499,260 shares issued and outstanding at June 30, 2020 and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2"/>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December 31, 2019, respectively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3"/>
        </w:trPr>
        <w:tc>
          <w:tcPr>
            <w:tcW w:w="668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405,763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402,529</w:t>
            </w:r>
          </w:p>
        </w:tc>
      </w:tr>
      <w:tr>
        <w:trPr>
          <w:trHeight w:val="203"/>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 (loss)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3"/>
        </w:trPr>
        <w:tc>
          <w:tcPr>
            <w:tcW w:w="66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(85,809)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(81,034)</w:t>
            </w: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321,917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321,484</w:t>
            </w:r>
          </w:p>
        </w:tc>
      </w:tr>
      <w:tr>
        <w:trPr>
          <w:trHeight w:val="196"/>
        </w:trPr>
        <w:tc>
          <w:tcPr>
            <w:tcW w:w="6680" w:type="dxa"/>
            <w:vAlign w:val="bottom"/>
          </w:tcPr>
          <w:p>
            <w:pPr>
              <w:spacing w:after="0"/>
              <w:rPr>
                <w:sz w:val="20"/>
                <w:szCs w:val="20"/>
                <w:color w:val="auto"/>
              </w:rPr>
            </w:pPr>
            <w:r>
              <w:rPr>
                <w:rFonts w:ascii="Arial" w:cs="Arial" w:eastAsia="Arial" w:hAnsi="Arial"/>
                <w:sz w:val="16"/>
                <w:szCs w:val="16"/>
                <w:color w:val="auto"/>
              </w:rPr>
              <w:t>Total liabilities, preferred stock and stockholders’ equity</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333,489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356,168</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w w:val="98"/>
              </w:rPr>
              <w:t>Revenue from research and development arrangement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22,378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(14,508)</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(14,376)</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per share:</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loss per common share—basic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ind w:left="100"/>
              <w:spacing w:after="0" w:line="155" w:lineRule="exact"/>
              <w:rPr>
                <w:sz w:val="20"/>
                <w:szCs w:val="20"/>
                <w:color w:val="auto"/>
              </w:rPr>
            </w:pPr>
            <w:r>
              <w:rPr>
                <w:rFonts w:ascii="Arial" w:cs="Arial" w:eastAsia="Arial" w:hAnsi="Arial"/>
                <w:sz w:val="17"/>
                <w:szCs w:val="17"/>
                <w:color w:val="auto"/>
                <w:w w:val="98"/>
              </w:rPr>
              <w:t>Weighted average number of common shares —basic and</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27,518,129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13,498,393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27,512,528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7,472,298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30"/>
        </w:trPr>
        <w:tc>
          <w:tcPr>
            <w:tcW w:w="4440" w:type="dxa"/>
            <w:vAlign w:val="bottom"/>
          </w:tcPr>
          <w:p>
            <w:pPr>
              <w:ind w:left="100"/>
              <w:spacing w:after="0"/>
              <w:rPr>
                <w:sz w:val="20"/>
                <w:szCs w:val="20"/>
                <w:color w:val="auto"/>
              </w:rPr>
            </w:pPr>
            <w:r>
              <w:rPr>
                <w:rFonts w:ascii="Arial" w:cs="Arial" w:eastAsia="Arial" w:hAnsi="Arial"/>
                <w:sz w:val="18"/>
                <w:szCs w:val="18"/>
                <w:color w:val="auto"/>
              </w:rPr>
              <w:t>Unrealized gain on marketable securities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PREFERRED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11"/>
          </w:tcPr>
          <w:p>
            <w:pPr>
              <w:ind w:left="400"/>
              <w:spacing w:after="0"/>
              <w:rPr>
                <w:sz w:val="20"/>
                <w:szCs w:val="20"/>
                <w:color w:val="auto"/>
              </w:rPr>
            </w:pPr>
            <w:r>
              <w:rPr>
                <w:rFonts w:ascii="Arial" w:cs="Arial" w:eastAsia="Arial" w:hAnsi="Arial"/>
                <w:sz w:val="13"/>
                <w:szCs w:val="13"/>
                <w:b w:val="1"/>
                <w:bCs w:val="1"/>
                <w:color w:val="auto"/>
              </w:rPr>
              <w:t>Six Months Ended June 30, 2020</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Preferred Stock</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Stockholders’ Equity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5"/>
              </w:rPr>
              <w:t>Additional</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w w:val="88"/>
              </w:rPr>
              <w:t>Series A</w:t>
            </w: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rPr>
              <w:t>Series B</w:t>
            </w:r>
          </w:p>
        </w:tc>
        <w:tc>
          <w:tcPr>
            <w:tcW w:w="400" w:type="dxa"/>
            <w:vAlign w:val="bottom"/>
            <w:tcBorders>
              <w:bottom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w w:val="85"/>
              </w:rPr>
              <w:t>Common Stock</w:t>
            </w:r>
          </w:p>
        </w:tc>
        <w:tc>
          <w:tcPr>
            <w:tcW w:w="1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Paid-in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ind w:left="200"/>
              <w:spacing w:after="0"/>
              <w:rPr>
                <w:sz w:val="20"/>
                <w:szCs w:val="20"/>
                <w:color w:val="auto"/>
              </w:rPr>
            </w:pPr>
            <w:r>
              <w:rPr>
                <w:rFonts w:ascii="Arial" w:cs="Arial" w:eastAsia="Arial" w:hAnsi="Arial"/>
                <w:sz w:val="13"/>
                <w:szCs w:val="13"/>
                <w:b w:val="1"/>
                <w:bCs w:val="1"/>
                <w:color w:val="auto"/>
              </w:rPr>
              <w:t>Accumulated Other</w:t>
            </w:r>
          </w:p>
        </w:tc>
        <w:tc>
          <w:tcPr>
            <w:tcW w:w="840" w:type="dxa"/>
            <w:vAlign w:val="bottom"/>
            <w:gridSpan w:val="4"/>
          </w:tcPr>
          <w:p>
            <w:pPr>
              <w:ind w:left="60"/>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ind w:left="160"/>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50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580" w:type="dxa"/>
            <w:vAlign w:val="bottom"/>
            <w:tcBorders>
              <w:right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rPr>
              <w:t>Shares</w:t>
            </w:r>
          </w:p>
        </w:tc>
        <w:tc>
          <w:tcPr>
            <w:tcW w:w="60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92"/>
              </w:rPr>
              <w:t>Capital</w:t>
            </w:r>
          </w:p>
        </w:tc>
        <w:tc>
          <w:tcPr>
            <w:tcW w:w="1740" w:type="dxa"/>
            <w:vAlign w:val="bottom"/>
            <w:gridSpan w:val="4"/>
          </w:tcPr>
          <w:p>
            <w:pPr>
              <w:ind w:left="60"/>
              <w:spacing w:after="0" w:line="129" w:lineRule="exact"/>
              <w:rPr>
                <w:sz w:val="20"/>
                <w:szCs w:val="20"/>
                <w:color w:val="auto"/>
              </w:rPr>
            </w:pPr>
            <w:r>
              <w:rPr>
                <w:rFonts w:ascii="Arial" w:cs="Arial" w:eastAsia="Arial" w:hAnsi="Arial"/>
                <w:sz w:val="13"/>
                <w:szCs w:val="13"/>
                <w:b w:val="1"/>
                <w:bCs w:val="1"/>
                <w:color w:val="auto"/>
                <w:w w:val="87"/>
              </w:rPr>
              <w:t>Comprehensive Income (Loss)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2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Balance as of</w:t>
            </w: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w w:val="96"/>
              </w:rPr>
              <w:t>December 31, 2019</w:t>
            </w:r>
          </w:p>
        </w:tc>
        <w:tc>
          <w:tcPr>
            <w:tcW w:w="6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27,499,260</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$ 402,529</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(81,034)</w:t>
            </w: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321,484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ind w:left="100"/>
              <w:spacing w:after="0" w:line="121" w:lineRule="exact"/>
              <w:rPr>
                <w:sz w:val="20"/>
                <w:szCs w:val="20"/>
                <w:color w:val="auto"/>
              </w:rPr>
            </w:pPr>
            <w:r>
              <w:rPr>
                <w:rFonts w:ascii="Arial" w:cs="Arial" w:eastAsia="Arial" w:hAnsi="Arial"/>
                <w:sz w:val="13"/>
                <w:szCs w:val="13"/>
                <w:color w:val="auto"/>
              </w:rPr>
              <w:t>Stock-based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100"/>
              <w:spacing w:after="0"/>
              <w:rPr>
                <w:sz w:val="20"/>
                <w:szCs w:val="20"/>
                <w:color w:val="auto"/>
              </w:rPr>
            </w:pPr>
            <w:r>
              <w:rPr>
                <w:rFonts w:ascii="Arial" w:cs="Arial" w:eastAsia="Arial" w:hAnsi="Arial"/>
                <w:sz w:val="13"/>
                <w:szCs w:val="13"/>
                <w:color w:val="auto"/>
              </w:rPr>
              <w:t>compensation</w:t>
            </w:r>
          </w:p>
        </w:tc>
        <w:tc>
          <w:tcPr>
            <w:tcW w:w="660" w:type="dxa"/>
            <w:vAlign w:val="bottom"/>
          </w:tcPr>
          <w:p>
            <w:pPr>
              <w:ind w:left="5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660" w:type="dxa"/>
            <w:vAlign w:val="bottom"/>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Issuance of</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w:t>
            </w:r>
          </w:p>
        </w:tc>
        <w:tc>
          <w:tcPr>
            <w:tcW w:w="6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17,142</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ind w:left="100"/>
              <w:spacing w:after="0" w:line="121" w:lineRule="exact"/>
              <w:rPr>
                <w:sz w:val="20"/>
                <w:szCs w:val="20"/>
                <w:color w:val="auto"/>
              </w:rPr>
            </w:pPr>
            <w:r>
              <w:rPr>
                <w:rFonts w:ascii="Arial" w:cs="Arial" w:eastAsia="Arial" w:hAnsi="Arial"/>
                <w:sz w:val="13"/>
                <w:szCs w:val="13"/>
                <w:color w:val="auto"/>
              </w:rPr>
              <w:t>Unrealized loss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Arial" w:cs="Arial" w:eastAsia="Arial" w:hAnsi="Arial"/>
                <w:sz w:val="13"/>
                <w:szCs w:val="13"/>
                <w:color w:val="auto"/>
              </w:rPr>
              <w:t>on marketable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Arial" w:cs="Arial" w:eastAsia="Arial" w:hAnsi="Arial"/>
                <w:sz w:val="13"/>
                <w:szCs w:val="13"/>
                <w:color w:val="auto"/>
              </w:rPr>
              <w:t>securities, net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100"/>
              <w:spacing w:after="0"/>
              <w:rPr>
                <w:sz w:val="20"/>
                <w:szCs w:val="20"/>
                <w:color w:val="auto"/>
              </w:rPr>
            </w:pPr>
            <w:r>
              <w:rPr>
                <w:rFonts w:ascii="Arial" w:cs="Arial" w:eastAsia="Arial" w:hAnsi="Arial"/>
                <w:sz w:val="13"/>
                <w:szCs w:val="13"/>
                <w:color w:val="auto"/>
              </w:rPr>
              <w:t>tax $0</w:t>
            </w:r>
          </w:p>
        </w:tc>
        <w:tc>
          <w:tcPr>
            <w:tcW w:w="660" w:type="dxa"/>
            <w:vAlign w:val="bottom"/>
          </w:tcPr>
          <w:p>
            <w:pPr>
              <w:ind w:left="5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660" w:type="dxa"/>
            <w:vAlign w:val="bottom"/>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income</w:t>
            </w:r>
          </w:p>
        </w:tc>
        <w:tc>
          <w:tcPr>
            <w:tcW w:w="660" w:type="dxa"/>
            <w:vAlign w:val="bottom"/>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9,733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20" w:type="dxa"/>
            <w:vAlign w:val="bottom"/>
          </w:tcPr>
          <w:p>
            <w:pPr>
              <w:spacing w:after="0" w:line="101" w:lineRule="exact"/>
              <w:rPr>
                <w:sz w:val="20"/>
                <w:szCs w:val="20"/>
                <w:color w:val="auto"/>
              </w:rPr>
            </w:pPr>
            <w:r>
              <w:rPr>
                <w:rFonts w:ascii="Arial" w:cs="Arial" w:eastAsia="Arial" w:hAnsi="Arial"/>
                <w:sz w:val="10"/>
                <w:szCs w:val="10"/>
                <w:color w:val="auto"/>
              </w:rPr>
              <w:t>Balance as of</w:t>
            </w: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0" w:type="dxa"/>
            <w:vAlign w:val="bottom"/>
            <w:tcBorders>
              <w:top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140" w:type="dxa"/>
            <w:vAlign w:val="bottom"/>
            <w:gridSpan w:val="2"/>
          </w:tcPr>
          <w:p>
            <w:pPr>
              <w:spacing w:after="0"/>
              <w:rPr>
                <w:sz w:val="20"/>
                <w:szCs w:val="20"/>
                <w:color w:val="auto"/>
              </w:rPr>
            </w:pPr>
            <w:r>
              <w:rPr>
                <w:rFonts w:ascii="Arial" w:cs="Arial" w:eastAsia="Arial" w:hAnsi="Arial"/>
                <w:sz w:val="13"/>
                <w:szCs w:val="13"/>
                <w:color w:val="auto"/>
              </w:rPr>
              <w:t>March 31, 2020</w:t>
            </w:r>
          </w:p>
        </w:tc>
        <w:tc>
          <w:tcPr>
            <w:tcW w:w="660" w:type="dxa"/>
            <w:vAlign w:val="bottom"/>
          </w:tcPr>
          <w:p>
            <w:pPr>
              <w:ind w:left="5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660" w:type="dxa"/>
            <w:vAlign w:val="bottom"/>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w w:val="92"/>
              </w:rPr>
              <w:t>27,516,402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2"/>
              </w:rPr>
              <w:t>28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403,573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(543)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(71,301)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331,757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20" w:type="dxa"/>
            <w:vAlign w:val="bottom"/>
            <w:tcBorders>
              <w:top w:val="single" w:sz="8" w:color="CCEEFF"/>
            </w:tcBorders>
            <w:shd w:val="clear" w:color="auto" w:fill="CCEEFF"/>
          </w:tcPr>
          <w:p>
            <w:pPr>
              <w:ind w:left="100"/>
              <w:spacing w:after="0" w:line="101" w:lineRule="exact"/>
              <w:rPr>
                <w:sz w:val="20"/>
                <w:szCs w:val="20"/>
                <w:color w:val="auto"/>
              </w:rPr>
            </w:pPr>
            <w:r>
              <w:rPr>
                <w:rFonts w:ascii="Arial" w:cs="Arial" w:eastAsia="Arial" w:hAnsi="Arial"/>
                <w:sz w:val="10"/>
                <w:szCs w:val="10"/>
                <w:color w:val="auto"/>
              </w:rPr>
              <w:t>Stock-based</w:t>
            </w: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compensation</w:t>
            </w:r>
          </w:p>
        </w:tc>
        <w:tc>
          <w:tcPr>
            <w:tcW w:w="6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ind w:left="100"/>
              <w:spacing w:after="0" w:line="121" w:lineRule="exact"/>
              <w:rPr>
                <w:sz w:val="20"/>
                <w:szCs w:val="20"/>
                <w:color w:val="auto"/>
              </w:rPr>
            </w:pPr>
            <w:r>
              <w:rPr>
                <w:rFonts w:ascii="Arial" w:cs="Arial" w:eastAsia="Arial" w:hAnsi="Arial"/>
                <w:sz w:val="13"/>
                <w:szCs w:val="13"/>
                <w:color w:val="auto"/>
              </w:rPr>
              <w:t>Issuance of</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100"/>
              <w:spacing w:after="0"/>
              <w:rPr>
                <w:sz w:val="20"/>
                <w:szCs w:val="20"/>
                <w:color w:val="auto"/>
              </w:rPr>
            </w:pPr>
            <w:r>
              <w:rPr>
                <w:rFonts w:ascii="Arial" w:cs="Arial" w:eastAsia="Arial" w:hAnsi="Arial"/>
                <w:sz w:val="13"/>
                <w:szCs w:val="13"/>
                <w:color w:val="auto"/>
              </w:rPr>
              <w:t>common stock</w:t>
            </w:r>
          </w:p>
        </w:tc>
        <w:tc>
          <w:tcPr>
            <w:tcW w:w="660" w:type="dxa"/>
            <w:vAlign w:val="bottom"/>
          </w:tcPr>
          <w:p>
            <w:pPr>
              <w:ind w:left="5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660" w:type="dxa"/>
            <w:vAlign w:val="bottom"/>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4,248</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Unrealized gain</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on marketable</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securities, net of</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tax $0</w:t>
            </w:r>
          </w:p>
        </w:tc>
        <w:tc>
          <w:tcPr>
            <w:tcW w:w="6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ind w:left="5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ind w:left="4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right w:val="single" w:sz="8" w:color="auto"/>
            </w:tcBorders>
          </w:tcPr>
          <w:p>
            <w:pPr>
              <w:ind w:lef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(14,508)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(14,508)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2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Balance as of June</w:t>
            </w: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30, 2020</w:t>
            </w:r>
          </w:p>
        </w:tc>
        <w:tc>
          <w:tcPr>
            <w:tcW w:w="6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27,520,650</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$ 405,763</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1,935</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(85,809)</w:t>
            </w: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2540</wp:posOffset>
            </wp:positionV>
            <wp:extent cx="52889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88915" cy="8890"/>
                    </a:xfrm>
                    <a:prstGeom prst="rect">
                      <a:avLst/>
                    </a:prstGeom>
                    <a:noFill/>
                  </pic:spPr>
                </pic:pic>
              </a:graphicData>
            </a:graphic>
          </wp:anchor>
        </w:drawing>
      </w:r>
    </w:p>
    <w:p>
      <w:pPr>
        <w:sectPr>
          <w:pgSz w:w="11900" w:h="16838" w:orient="portrait"/>
          <w:cols w:equalWidth="0" w:num="1">
            <w:col w:w="9480"/>
          </w:cols>
          <w:pgMar w:left="1220" w:top="517" w:right="119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Preferred Stock</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1440" w:type="dxa"/>
            <w:vAlign w:val="bottom"/>
            <w:gridSpan w:val="5"/>
          </w:tcPr>
          <w:p>
            <w:pPr>
              <w:ind w:left="420"/>
              <w:spacing w:after="0"/>
              <w:rPr>
                <w:sz w:val="20"/>
                <w:szCs w:val="20"/>
                <w:color w:val="auto"/>
              </w:rPr>
            </w:pPr>
            <w:r>
              <w:rPr>
                <w:rFonts w:ascii="Arial" w:cs="Arial" w:eastAsia="Arial" w:hAnsi="Arial"/>
                <w:sz w:val="13"/>
                <w:szCs w:val="13"/>
                <w:b w:val="1"/>
                <w:bCs w:val="1"/>
                <w:color w:val="auto"/>
              </w:rPr>
              <w:t>Series A</w:t>
            </w:r>
          </w:p>
        </w:tc>
        <w:tc>
          <w:tcPr>
            <w:tcW w:w="860" w:type="dxa"/>
            <w:vAlign w:val="bottom"/>
            <w:gridSpan w:val="4"/>
          </w:tcPr>
          <w:p>
            <w:pPr>
              <w:jc w:val="right"/>
              <w:spacing w:after="0"/>
              <w:rPr>
                <w:sz w:val="20"/>
                <w:szCs w:val="20"/>
                <w:color w:val="auto"/>
              </w:rPr>
            </w:pPr>
            <w:r>
              <w:rPr>
                <w:rFonts w:ascii="Arial" w:cs="Arial" w:eastAsia="Arial" w:hAnsi="Arial"/>
                <w:sz w:val="13"/>
                <w:szCs w:val="13"/>
                <w:b w:val="1"/>
                <w:bCs w:val="1"/>
                <w:color w:val="auto"/>
              </w:rPr>
              <w:t>Series B</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140" w:type="dxa"/>
            <w:vAlign w:val="bottom"/>
            <w:vMerge w:val="restart"/>
          </w:tcPr>
          <w:p>
            <w:pPr>
              <w:spacing w:after="0"/>
              <w:rPr>
                <w:sz w:val="20"/>
                <w:szCs w:val="20"/>
                <w:color w:val="auto"/>
              </w:rPr>
            </w:pPr>
            <w:r>
              <w:rPr>
                <w:rFonts w:ascii="Arial" w:cs="Arial" w:eastAsia="Arial" w:hAnsi="Arial"/>
                <w:sz w:val="13"/>
                <w:szCs w:val="13"/>
                <w:color w:val="auto"/>
              </w:rPr>
              <w:t>Balance as of</w:t>
            </w:r>
          </w:p>
        </w:tc>
        <w:tc>
          <w:tcPr>
            <w:tcW w:w="6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01"/>
        </w:trPr>
        <w:tc>
          <w:tcPr>
            <w:tcW w:w="1140" w:type="dxa"/>
            <w:vAlign w:val="bottom"/>
            <w:vMerge w:val="continue"/>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line="135" w:lineRule="exact"/>
              <w:rPr>
                <w:sz w:val="20"/>
                <w:szCs w:val="20"/>
                <w:color w:val="auto"/>
              </w:rPr>
            </w:pPr>
            <w:r>
              <w:rPr>
                <w:rFonts w:ascii="Arial" w:cs="Arial" w:eastAsia="Arial" w:hAnsi="Arial"/>
                <w:sz w:val="13"/>
                <w:szCs w:val="13"/>
                <w:color w:val="auto"/>
                <w:w w:val="98"/>
              </w:rPr>
              <w:t>December 31, 2018</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2"/>
              </w:rPr>
              <w:t>68,181,819</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w w:val="95"/>
              </w:rPr>
              <w:t>71,000</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2"/>
              </w:rPr>
              <w:t>56,828,851</w:t>
            </w:r>
          </w:p>
        </w:tc>
        <w:tc>
          <w:tcPr>
            <w:tcW w:w="12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w w:val="90"/>
              </w:rPr>
              <w:t>91,223</w:t>
            </w: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Stock-based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compensation</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Issuance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common stock</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7"/>
        </w:trPr>
        <w:tc>
          <w:tcPr>
            <w:tcW w:w="1140" w:type="dxa"/>
            <w:vAlign w:val="bottom"/>
          </w:tcPr>
          <w:p>
            <w:pPr>
              <w:spacing w:after="0" w:line="107" w:lineRule="exact"/>
              <w:rPr>
                <w:sz w:val="20"/>
                <w:szCs w:val="20"/>
                <w:color w:val="auto"/>
              </w:rPr>
            </w:pPr>
            <w:r>
              <w:rPr>
                <w:rFonts w:ascii="Arial" w:cs="Arial" w:eastAsia="Arial" w:hAnsi="Arial"/>
                <w:sz w:val="12"/>
                <w:szCs w:val="12"/>
                <w:color w:val="auto"/>
              </w:rPr>
              <w:t>Balance as of</w:t>
            </w: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140" w:type="dxa"/>
            <w:vAlign w:val="bottom"/>
          </w:tcPr>
          <w:p>
            <w:pPr>
              <w:spacing w:after="0" w:line="135" w:lineRule="exact"/>
              <w:rPr>
                <w:sz w:val="20"/>
                <w:szCs w:val="20"/>
                <w:color w:val="auto"/>
              </w:rPr>
            </w:pPr>
            <w:r>
              <w:rPr>
                <w:rFonts w:ascii="Arial" w:cs="Arial" w:eastAsia="Arial" w:hAnsi="Arial"/>
                <w:sz w:val="13"/>
                <w:szCs w:val="13"/>
                <w:color w:val="auto"/>
              </w:rPr>
              <w:t>March 31, 2019</w:t>
            </w: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2"/>
              </w:rPr>
              <w:t>68,181,819</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71,000</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2"/>
              </w:rPr>
              <w:t>56,828,851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0"/>
              </w:rPr>
              <w:t>91,223</w:t>
            </w:r>
          </w:p>
        </w:tc>
        <w:tc>
          <w:tcPr>
            <w:tcW w:w="0" w:type="dxa"/>
            <w:vAlign w:val="bottom"/>
          </w:tcPr>
          <w:p>
            <w:pPr>
              <w:spacing w:after="0"/>
              <w:rPr>
                <w:sz w:val="1"/>
                <w:szCs w:val="1"/>
                <w:color w:val="auto"/>
              </w:rPr>
            </w:pPr>
          </w:p>
        </w:tc>
      </w:tr>
      <w:tr>
        <w:trPr>
          <w:trHeight w:val="107"/>
        </w:trPr>
        <w:tc>
          <w:tcPr>
            <w:tcW w:w="1140" w:type="dxa"/>
            <w:vAlign w:val="bottom"/>
          </w:tcPr>
          <w:p>
            <w:pPr>
              <w:ind w:left="120"/>
              <w:spacing w:after="0" w:line="107" w:lineRule="exact"/>
              <w:rPr>
                <w:sz w:val="20"/>
                <w:szCs w:val="20"/>
                <w:color w:val="auto"/>
              </w:rPr>
            </w:pPr>
            <w:r>
              <w:rPr>
                <w:rFonts w:ascii="Arial" w:cs="Arial" w:eastAsia="Arial" w:hAnsi="Arial"/>
                <w:sz w:val="12"/>
                <w:szCs w:val="12"/>
                <w:color w:val="auto"/>
              </w:rPr>
              <w:t>Initial public</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offering, net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issuance costs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jc w:val="right"/>
              <w:ind w:right="638"/>
              <w:spacing w:after="0" w:line="135" w:lineRule="exact"/>
              <w:rPr>
                <w:sz w:val="20"/>
                <w:szCs w:val="20"/>
                <w:color w:val="auto"/>
              </w:rPr>
            </w:pPr>
            <w:r>
              <w:rPr>
                <w:rFonts w:ascii="Arial" w:cs="Arial" w:eastAsia="Arial" w:hAnsi="Arial"/>
                <w:sz w:val="13"/>
                <w:szCs w:val="13"/>
                <w:color w:val="auto"/>
              </w:rPr>
              <w:t>$9.4M</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Conversion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w w:val="98"/>
              </w:rPr>
              <w:t>preferred stock to</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common stock</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86"/>
              </w:rPr>
              <w:t>(68,181,819)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w w:val="86"/>
              </w:rPr>
              <w:t>(71,000)</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86"/>
              </w:rPr>
              <w:t>(56,828,851)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w w:val="82"/>
              </w:rPr>
              <w:t>(91,223)</w:t>
            </w: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Stock-based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compensation</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Issuance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common 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upon exercise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vested options,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$0.001 par value</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114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7"/>
        </w:trPr>
        <w:tc>
          <w:tcPr>
            <w:tcW w:w="1140" w:type="dxa"/>
            <w:vAlign w:val="bottom"/>
          </w:tcPr>
          <w:p>
            <w:pPr>
              <w:spacing w:after="0" w:line="107" w:lineRule="exact"/>
              <w:rPr>
                <w:sz w:val="20"/>
                <w:szCs w:val="20"/>
                <w:color w:val="auto"/>
              </w:rPr>
            </w:pPr>
            <w:r>
              <w:rPr>
                <w:rFonts w:ascii="Arial" w:cs="Arial" w:eastAsia="Arial" w:hAnsi="Arial"/>
                <w:sz w:val="12"/>
                <w:szCs w:val="12"/>
                <w:color w:val="auto"/>
              </w:rPr>
              <w:t>Balance as of June</w:t>
            </w: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140" w:type="dxa"/>
            <w:vAlign w:val="bottom"/>
          </w:tcPr>
          <w:p>
            <w:pPr>
              <w:jc w:val="right"/>
              <w:ind w:right="638"/>
              <w:spacing w:after="0"/>
              <w:rPr>
                <w:sz w:val="20"/>
                <w:szCs w:val="20"/>
                <w:color w:val="auto"/>
              </w:rPr>
            </w:pPr>
            <w:r>
              <w:rPr>
                <w:rFonts w:ascii="Arial" w:cs="Arial" w:eastAsia="Arial" w:hAnsi="Arial"/>
                <w:sz w:val="13"/>
                <w:szCs w:val="13"/>
                <w:color w:val="auto"/>
                <w:w w:val="82"/>
              </w:rPr>
              <w:t>30, 2019</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-82550</wp:posOffset>
            </wp:positionV>
            <wp:extent cx="6009005" cy="2606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9005" cy="26060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0"/>
        </w:trPr>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3"/>
          </w:tcPr>
          <w:p>
            <w:pPr>
              <w:ind w:left="140"/>
              <w:spacing w:after="0" w:line="110" w:lineRule="exact"/>
              <w:rPr>
                <w:sz w:val="20"/>
                <w:szCs w:val="20"/>
                <w:color w:val="auto"/>
              </w:rPr>
            </w:pPr>
            <w:r>
              <w:rPr>
                <w:rFonts w:ascii="Arial" w:cs="Arial" w:eastAsia="Arial" w:hAnsi="Arial"/>
                <w:sz w:val="12"/>
                <w:szCs w:val="12"/>
                <w:b w:val="1"/>
                <w:bCs w:val="1"/>
                <w:color w:val="auto"/>
              </w:rPr>
              <w:t>Additional</w:t>
            </w: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r>
      <w:tr>
        <w:trPr>
          <w:trHeight w:val="153"/>
        </w:trPr>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w w:val="85"/>
              </w:rPr>
              <w:t>Common Stock</w:t>
            </w:r>
          </w:p>
        </w:tc>
        <w:tc>
          <w:tcPr>
            <w:tcW w:w="1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3"/>
                <w:szCs w:val="13"/>
                <w:b w:val="1"/>
                <w:bCs w:val="1"/>
                <w:color w:val="auto"/>
              </w:rPr>
              <w:t>Accumulated Other</w:t>
            </w:r>
          </w:p>
        </w:tc>
        <w:tc>
          <w:tcPr>
            <w:tcW w:w="900" w:type="dxa"/>
            <w:vAlign w:val="bottom"/>
            <w:gridSpan w:val="4"/>
          </w:tcPr>
          <w:p>
            <w:pPr>
              <w:ind w:left="60"/>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60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1"/>
                <w:szCs w:val="11"/>
                <w:color w:val="auto"/>
              </w:rPr>
            </w:pPr>
          </w:p>
        </w:tc>
        <w:tc>
          <w:tcPr>
            <w:tcW w:w="1740" w:type="dxa"/>
            <w:vAlign w:val="bottom"/>
            <w:gridSpan w:val="4"/>
          </w:tcPr>
          <w:p>
            <w:pPr>
              <w:ind w:left="60"/>
              <w:spacing w:after="0" w:line="129" w:lineRule="exact"/>
              <w:rPr>
                <w:sz w:val="20"/>
                <w:szCs w:val="20"/>
                <w:color w:val="auto"/>
              </w:rPr>
            </w:pPr>
            <w:r>
              <w:rPr>
                <w:rFonts w:ascii="Arial" w:cs="Arial" w:eastAsia="Arial" w:hAnsi="Arial"/>
                <w:sz w:val="13"/>
                <w:szCs w:val="13"/>
                <w:b w:val="1"/>
                <w:bCs w:val="1"/>
                <w:color w:val="auto"/>
                <w:w w:val="87"/>
              </w:rPr>
              <w:t>Comprehensive Income (Loss)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Deficit</w:t>
            </w:r>
          </w:p>
        </w:tc>
        <w:tc>
          <w:tcPr>
            <w:tcW w:w="84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w w:val="89"/>
              </w:rPr>
              <w:t>Equity (Deficit)</w:t>
            </w:r>
          </w:p>
        </w:tc>
      </w:tr>
      <w:tr>
        <w:trPr>
          <w:trHeight w:val="20"/>
        </w:trPr>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61"/>
        </w:trPr>
        <w:tc>
          <w:tcPr>
            <w:tcW w:w="600" w:type="dxa"/>
            <w:vAlign w:val="bottom"/>
          </w:tcPr>
          <w:p>
            <w:pPr>
              <w:jc w:val="right"/>
              <w:spacing w:after="0"/>
              <w:rPr>
                <w:sz w:val="20"/>
                <w:szCs w:val="20"/>
                <w:color w:val="auto"/>
              </w:rPr>
            </w:pPr>
            <w:r>
              <w:rPr>
                <w:rFonts w:ascii="Arial" w:cs="Arial" w:eastAsia="Arial" w:hAnsi="Arial"/>
                <w:sz w:val="13"/>
                <w:szCs w:val="13"/>
                <w:color w:val="auto"/>
                <w:w w:val="93"/>
              </w:rPr>
              <w:t>1,374,812</w:t>
            </w:r>
          </w:p>
        </w:tc>
        <w:tc>
          <w:tcPr>
            <w:tcW w:w="4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352</w:t>
            </w:r>
          </w:p>
        </w:tc>
        <w:tc>
          <w:tcPr>
            <w:tcW w:w="8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520" w:type="dxa"/>
            <w:vAlign w:val="bottom"/>
            <w:gridSpan w:val="2"/>
          </w:tcPr>
          <w:p>
            <w:pPr>
              <w:ind w:left="1280"/>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(47,297)</w:t>
            </w:r>
          </w:p>
        </w:tc>
        <w:tc>
          <w:tcPr>
            <w:tcW w:w="12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(46,944)</w:t>
            </w:r>
          </w:p>
        </w:tc>
      </w:tr>
      <w:tr>
        <w:trPr>
          <w:trHeight w:val="270"/>
        </w:trPr>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383</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2"/>
          </w:tcPr>
          <w:p>
            <w:pPr>
              <w:ind w:left="1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383</w:t>
            </w:r>
          </w:p>
        </w:tc>
      </w:tr>
      <w:tr>
        <w:trPr>
          <w:trHeight w:val="245"/>
        </w:trPr>
        <w:tc>
          <w:tcPr>
            <w:tcW w:w="600" w:type="dxa"/>
            <w:vAlign w:val="bottom"/>
          </w:tcPr>
          <w:p>
            <w:pPr>
              <w:jc w:val="right"/>
              <w:spacing w:after="0"/>
              <w:rPr>
                <w:sz w:val="20"/>
                <w:szCs w:val="20"/>
                <w:color w:val="auto"/>
              </w:rPr>
            </w:pPr>
            <w:r>
              <w:rPr>
                <w:rFonts w:ascii="Arial" w:cs="Arial" w:eastAsia="Arial" w:hAnsi="Arial"/>
                <w:sz w:val="13"/>
                <w:szCs w:val="13"/>
                <w:color w:val="auto"/>
              </w:rPr>
              <w:t>4,697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ind w:left="1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49"/>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(6,155)</w:t>
            </w:r>
          </w:p>
        </w:tc>
      </w:tr>
      <w:tr>
        <w:trPr>
          <w:trHeight w:val="250"/>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1,379,509</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(52,712)</w:t>
            </w:r>
          </w:p>
        </w:tc>
      </w:tr>
      <w:tr>
        <w:trPr>
          <w:trHeight w:val="531"/>
        </w:trPr>
        <w:tc>
          <w:tcPr>
            <w:tcW w:w="600" w:type="dxa"/>
            <w:vAlign w:val="bottom"/>
          </w:tcPr>
          <w:p>
            <w:pPr>
              <w:jc w:val="right"/>
              <w:spacing w:after="0"/>
              <w:rPr>
                <w:sz w:val="20"/>
                <w:szCs w:val="20"/>
                <w:color w:val="auto"/>
              </w:rPr>
            </w:pPr>
            <w:r>
              <w:rPr>
                <w:rFonts w:ascii="Arial" w:cs="Arial" w:eastAsia="Arial" w:hAnsi="Arial"/>
                <w:sz w:val="13"/>
                <w:szCs w:val="13"/>
                <w:color w:val="auto"/>
                <w:w w:val="93"/>
              </w:rPr>
              <w:t>5,750,000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76,844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1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76,850</w:t>
            </w:r>
          </w:p>
        </w:tc>
      </w:tr>
      <w:tr>
        <w:trPr>
          <w:trHeight w:val="405"/>
        </w:trPr>
        <w:tc>
          <w:tcPr>
            <w:tcW w:w="600" w:type="dxa"/>
            <w:vAlign w:val="bottom"/>
          </w:tcPr>
          <w:p>
            <w:pPr>
              <w:jc w:val="right"/>
              <w:spacing w:after="0"/>
              <w:rPr>
                <w:sz w:val="20"/>
                <w:szCs w:val="20"/>
                <w:color w:val="auto"/>
              </w:rPr>
            </w:pPr>
            <w:r>
              <w:rPr>
                <w:rFonts w:ascii="Arial" w:cs="Arial" w:eastAsia="Arial" w:hAnsi="Arial"/>
                <w:sz w:val="13"/>
                <w:szCs w:val="13"/>
                <w:color w:val="auto"/>
                <w:w w:val="82"/>
              </w:rPr>
              <w:t>15,560,569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2"/>
              </w:rPr>
              <w:t>15</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3"/>
              </w:rPr>
              <w:t>162,208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1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162,223</w:t>
            </w:r>
          </w:p>
        </w:tc>
      </w:tr>
      <w:tr>
        <w:trPr>
          <w:trHeight w:val="270"/>
        </w:trPr>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412</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2"/>
          </w:tcPr>
          <w:p>
            <w:pPr>
              <w:ind w:left="1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412</w:t>
            </w:r>
          </w:p>
        </w:tc>
      </w:tr>
      <w:tr>
        <w:trPr>
          <w:trHeight w:val="650"/>
        </w:trPr>
        <w:tc>
          <w:tcPr>
            <w:tcW w:w="600" w:type="dxa"/>
            <w:vAlign w:val="bottom"/>
          </w:tcPr>
          <w:p>
            <w:pPr>
              <w:jc w:val="right"/>
              <w:spacing w:after="0"/>
              <w:rPr>
                <w:sz w:val="20"/>
                <w:szCs w:val="20"/>
                <w:color w:val="auto"/>
              </w:rPr>
            </w:pPr>
            <w:r>
              <w:rPr>
                <w:rFonts w:ascii="Arial" w:cs="Arial" w:eastAsia="Arial" w:hAnsi="Arial"/>
                <w:sz w:val="13"/>
                <w:szCs w:val="13"/>
                <w:color w:val="auto"/>
              </w:rPr>
              <w:t>24,687</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1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49"/>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(8,221)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(8,221)</w:t>
            </w:r>
          </w:p>
        </w:tc>
      </w:tr>
      <w:tr>
        <w:trPr>
          <w:trHeight w:val="263"/>
        </w:trPr>
        <w:tc>
          <w:tcPr>
            <w:tcW w:w="600" w:type="dxa"/>
            <w:vAlign w:val="bottom"/>
          </w:tcPr>
          <w:p>
            <w:pPr>
              <w:jc w:val="right"/>
              <w:spacing w:after="0"/>
              <w:rPr>
                <w:sz w:val="20"/>
                <w:szCs w:val="20"/>
                <w:color w:val="auto"/>
              </w:rPr>
            </w:pPr>
            <w:r>
              <w:rPr>
                <w:rFonts w:ascii="Arial" w:cs="Arial" w:eastAsia="Arial" w:hAnsi="Arial"/>
                <w:sz w:val="13"/>
                <w:szCs w:val="13"/>
                <w:color w:val="auto"/>
                <w:w w:val="82"/>
              </w:rPr>
              <w:t>22,714,765</w:t>
            </w:r>
          </w:p>
        </w:tc>
        <w:tc>
          <w:tcPr>
            <w:tcW w:w="4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82"/>
              </w:rPr>
              <w:t>23</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3"/>
              </w:rPr>
              <w:t>240,245</w:t>
            </w:r>
          </w:p>
        </w:tc>
        <w:tc>
          <w:tcPr>
            <w:tcW w:w="80" w:type="dxa"/>
            <w:vAlign w:val="bottom"/>
          </w:tcPr>
          <w:p>
            <w:pPr>
              <w:spacing w:after="0"/>
              <w:rPr>
                <w:sz w:val="22"/>
                <w:szCs w:val="22"/>
                <w:color w:val="auto"/>
              </w:rPr>
            </w:pP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520" w:type="dxa"/>
            <w:vAlign w:val="bottom"/>
            <w:gridSpan w:val="2"/>
          </w:tcPr>
          <w:p>
            <w:pPr>
              <w:ind w:left="1280"/>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(61,673)</w:t>
            </w:r>
          </w:p>
        </w:tc>
        <w:tc>
          <w:tcPr>
            <w:tcW w:w="12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178,595</w:t>
            </w:r>
          </w:p>
        </w:tc>
      </w:tr>
      <w:tr>
        <w:trPr>
          <w:trHeight w:val="20"/>
        </w:trPr>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880" w:space="140"/>
            <w:col w:w="5460"/>
          </w:cols>
          <w:pgMar w:left="1220" w:top="517" w:right="1199" w:bottom="1440" w:gutter="0" w:footer="0" w:header="0"/>
          <w:type w:val="continuous"/>
        </w:sectPr>
      </w:pPr>
    </w:p>
    <w:p>
      <w:pPr>
        <w:spacing w:after="0" w:line="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80"/>
          </w:cols>
          <w:pgMar w:left="1220" w:top="517" w:right="1199"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Six Months Ended</w:t>
      </w:r>
    </w:p>
    <w:p>
      <w:pPr>
        <w:ind w:left="76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(4,775)</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rPr>
              <w:t>Deferred rent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Arial" w:cs="Arial" w:eastAsia="Arial" w:hAnsi="Arial"/>
                <w:sz w:val="18"/>
                <w:szCs w:val="18"/>
                <w:color w:val="auto"/>
              </w:rPr>
              <w:t>Maturities of marketable securities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marketable securities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Purchase of property and equipment</w:t>
            </w: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(used in) investing activities</w:t>
            </w:r>
          </w:p>
        </w:tc>
        <w:tc>
          <w:tcPr>
            <w:tcW w:w="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initial public offerings, net of issuance costs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Arial" w:cs="Arial" w:eastAsia="Arial" w:hAnsi="Arial"/>
                <w:sz w:val="18"/>
                <w:szCs w:val="18"/>
                <w:color w:val="auto"/>
              </w:rPr>
              <w:t>Proceeds from issuances of common stock</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the term loan</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Payments of the term loan</w:t>
            </w: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provided by financing activities</w:t>
            </w:r>
          </w:p>
        </w:tc>
        <w:tc>
          <w:tcPr>
            <w:tcW w:w="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7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29,395</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197,728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9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Cash paid for income taxes</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 of property and equipment included in accrued liabilities</w:t>
            </w:r>
          </w:p>
        </w:tc>
        <w:tc>
          <w:tcPr>
            <w:tcW w:w="9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Deferred financing costs included in accrued liabilities</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shd w:val="clear" w:color="auto" w:fill="CCEEFF"/>
          </w:tcPr>
          <w:p>
            <w:pPr>
              <w:ind w:left="80"/>
              <w:spacing w:after="0" w:line="190" w:lineRule="exact"/>
              <w:rPr>
                <w:sz w:val="20"/>
                <w:szCs w:val="20"/>
                <w:color w:val="auto"/>
              </w:rPr>
            </w:pPr>
            <w:r>
              <w:rPr>
                <w:rFonts w:ascii="Arial" w:cs="Arial" w:eastAsia="Arial" w:hAnsi="Arial"/>
                <w:sz w:val="18"/>
                <w:szCs w:val="18"/>
                <w:color w:val="auto"/>
              </w:rPr>
              <w:t>Conversion of convertible preferred stock into common stock</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NextCure, Inc. (“NextCure” or the “Company”) was incorporated in Delaware in September 2015 and is headquartered in Beltsville, Maryland. The Company is a clinical-stage biopharmaceutical company committed to discovering and developing novel, first-in-class immunomedicines to treat cancer and other immune-related diseases by restoring normal immune function. Through its proprietary Functional, Integrated, NextCure Discovery in Immuno-Oncology (“FIND-IO”) platform, the Company studies various immune cells in order to discover and understand targets and structural components of immune cells and their functional impact in order to develop immunomedicines. Since inception, the Company has devoted substantially all of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FIND-IO platform.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May 13, 2019, the Company closed its initial public offering (“IPO”), in which the Company issued and sold 5,750,000 shares of common stock at a public offering price of $15.00 per share, for net proceeds to the Company of approximately $77.0 million after deducting underwriting discounts and commissions of $6.0 million and offering expenses of approximately $3.4 million.</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preparation for the IPO, on May 3, 2019, the Company effected a one-for-8.0338 reverse stock split of its issued and outstanding common stock. The par value and authorized shares of common stock were not adjusted as a result of the reverse stock split. All share and per share information presented in the accompanying financial statements has been adjusted to reflect the reverse common stock split on a retroactive basis for all applicable periods and as of all applicable dates presented.</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Upon the closing of the IPO, on May 13, 2019, all outstanding shares of the Company’s convertible preferred stock automatically converted into 15,560,569 shares of common stock at the applicable conversion ratio then in effect. Subsequent to the closing of the IPO, there were no shares of preferred stock outstanding.</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Upon the closing of the IPO, on May 13, 2019, the Company’s certificate of incorporation was amended and restated to provide for 100,000,000 authorized shares of common stock with a par value of $0.001 per share and 10,000,000 authorized shares of preferred stock with a par value of $0.001 per share.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has not generated any revenue to date from product sales and does not expect to generate any revenues from product sales in the foreseeable future. Through June 30, 2020, the Company has funded its operations primarily with proceeds from public offerings of its common stock, private placements of its preferred stock and upfront fees received under the Company’s former agreement with Eli Lilly and Company (Note 6). The Company expects to incur additional operating losses and negative operating cash flows for the foreseeable future.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COVID-19</w:t>
      </w:r>
    </w:p>
    <w:p>
      <w:pPr>
        <w:spacing w:after="0" w:line="27" w:lineRule="exact"/>
        <w:rPr>
          <w:sz w:val="20"/>
          <w:szCs w:val="20"/>
          <w:color w:val="auto"/>
        </w:rPr>
      </w:pPr>
    </w:p>
    <w:p>
      <w:pPr>
        <w:ind w:left="60" w:right="459" w:firstLine="486"/>
        <w:spacing w:after="0" w:line="323" w:lineRule="auto"/>
        <w:rPr>
          <w:sz w:val="20"/>
          <w:szCs w:val="20"/>
          <w:color w:val="auto"/>
        </w:rPr>
      </w:pPr>
      <w:r>
        <w:rPr>
          <w:rFonts w:ascii="Arial" w:cs="Arial" w:eastAsia="Arial" w:hAnsi="Arial"/>
          <w:sz w:val="16"/>
          <w:szCs w:val="16"/>
          <w:color w:val="212529"/>
        </w:rPr>
        <w:t>In March 2020, the World Health Organization declared the novel coronavirus disease 2019, or (“COVID-19”), outbreak a pandemic. In order to mitigate the spread of COVID-19, governments have imposed unprecedented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0" w:right="579"/>
        <w:spacing w:after="0" w:line="263" w:lineRule="auto"/>
        <w:rPr>
          <w:sz w:val="20"/>
          <w:szCs w:val="20"/>
          <w:color w:val="auto"/>
        </w:rPr>
      </w:pPr>
      <w:r>
        <w:rPr>
          <w:rFonts w:ascii="Arial" w:cs="Arial" w:eastAsia="Arial" w:hAnsi="Arial"/>
          <w:sz w:val="18"/>
          <w:szCs w:val="18"/>
          <w:color w:val="212529"/>
        </w:rPr>
        <w:t>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w:t>
      </w:r>
    </w:p>
    <w:p>
      <w:pPr>
        <w:spacing w:after="0" w:line="184" w:lineRule="exact"/>
        <w:rPr>
          <w:sz w:val="20"/>
          <w:szCs w:val="20"/>
          <w:color w:val="auto"/>
        </w:rPr>
      </w:pPr>
    </w:p>
    <w:p>
      <w:pPr>
        <w:ind w:left="60" w:right="99" w:firstLine="441"/>
        <w:spacing w:after="0" w:line="286" w:lineRule="auto"/>
        <w:rPr>
          <w:sz w:val="20"/>
          <w:szCs w:val="20"/>
          <w:color w:val="auto"/>
        </w:rPr>
      </w:pPr>
      <w:r>
        <w:rPr>
          <w:rFonts w:ascii="Arial" w:cs="Arial" w:eastAsia="Arial" w:hAnsi="Arial"/>
          <w:sz w:val="16"/>
          <w:szCs w:val="16"/>
          <w:color w:val="212529"/>
        </w:rPr>
        <w:t xml:space="preserve">The impact of the COVID-19 pandemic on the Company’s business and financial performance is uncertain and depends on various factors, including the scope and duration of the pandemic, government restrictions and other actions, including relief measures, implemented to address the impact of the pandemic, and resulting impacts on the financial markets and overall economy. The imposition of “lockdown,” “social distancing” and “shelter in place” directives restrictions on business operations, travel and gatherings by state and federal governments in the United States as well as governments in other regions of the world in response to the COVID-19 pandemic </w:t>
      </w:r>
      <w:r>
        <w:rPr>
          <w:rFonts w:ascii="Arial" w:cs="Arial" w:eastAsia="Arial" w:hAnsi="Arial"/>
          <w:sz w:val="16"/>
          <w:szCs w:val="16"/>
          <w:color w:val="000000"/>
        </w:rPr>
        <w:t>have placed significant strain on the</w:t>
      </w:r>
      <w:r>
        <w:rPr>
          <w:rFonts w:ascii="Arial" w:cs="Arial" w:eastAsia="Arial" w:hAnsi="Arial"/>
          <w:sz w:val="16"/>
          <w:szCs w:val="16"/>
          <w:color w:val="212529"/>
        </w:rPr>
        <w:t xml:space="preserve"> </w:t>
      </w:r>
      <w:r>
        <w:rPr>
          <w:rFonts w:ascii="Arial" w:cs="Arial" w:eastAsia="Arial" w:hAnsi="Arial"/>
          <w:sz w:val="16"/>
          <w:szCs w:val="16"/>
          <w:color w:val="000000"/>
        </w:rPr>
        <w:t xml:space="preserve">Company’s clinical trial sites, raised concerns around monitoring patient safety, and caused enrollment to slow in the Phase 2 portion of the ongoing Phase 1/2 monotherapy clinical trial of the Company’s lead product candidate, NC318. </w:t>
      </w:r>
      <w:r>
        <w:rPr>
          <w:rFonts w:ascii="Arial" w:cs="Arial" w:eastAsia="Arial" w:hAnsi="Arial"/>
          <w:sz w:val="16"/>
          <w:szCs w:val="16"/>
          <w:color w:val="212529"/>
        </w:rPr>
        <w:t>However,</w:t>
      </w:r>
      <w:r>
        <w:rPr>
          <w:rFonts w:ascii="Arial" w:cs="Arial" w:eastAsia="Arial" w:hAnsi="Arial"/>
          <w:sz w:val="16"/>
          <w:szCs w:val="16"/>
          <w:color w:val="000000"/>
        </w:rPr>
        <w:t xml:space="preserve"> </w:t>
      </w:r>
      <w:r>
        <w:rPr>
          <w:rFonts w:ascii="Arial" w:cs="Arial" w:eastAsia="Arial" w:hAnsi="Arial"/>
          <w:sz w:val="16"/>
          <w:szCs w:val="16"/>
          <w:color w:val="212529"/>
        </w:rPr>
        <w:t>the COVID-19 infection rates continue to rise, especially in the United States, which could continue to negatively affect enrollment going forward. The Company is unable to determine the extent of the impact of the pandemic on its operations and financial condition going forward. These developments are highly uncertain and unpredictable, and may materially adversely affect the Company’s financial position and results of operations. The Company continues to closely monitor the COVID-19 situation and any potential impact to our planned activities.</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There have been no material changes to the significant accounting policies previously disclosed in the Company’s Annual Report on Form 10-K for the year ended December 31, 2019.</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unaudited condensed financial statements include the accounts of NextCure, Inc.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the Company’s Annual Report on Form 10-K for the fiscal year ended December 31, 2019 (the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Financial Information</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the opinion of management, the information furnished reflects certain adjustments, all of which are of a normal and recurring nature and are necessary for a fair presentation of the Company’s financial position as of the reported balance sheet date and of the Company’s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assets and liabilities as of the date of the condensed financial statements, and the reported amounts of revenues and expenses during the reporting periods. Although actual results could differ from those estimates, management does not believe that such differences would be material.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February 2016, the Financial Accounting Standards Board (the “FASB”) issued Accounting Standards Update No. 2016-02, Leases (“ASU 2016-02”). The new guidance will require lessees to record most leases on their balance sheets and recognize the related expenses on their income statements in a manner similar to current practice. ASU 2016-02 states that a lessee would recognize a lease liability for the obligation to make lease payments and a right-to-use asset for the right to use the underlying asset for the lease term. The standard is effective for the Company for fiscal years beginning after December 15, 2020 and interim periods within fiscal years beginning after December 15, 2021, assuming the Company remains an EGC. The Company continues to determine if it will elect to use the practical expedients permitted by the guidance and continues to gather data required to comply with the guidance. Based on the work completed to date, the Company is considering the implications of adopting the new standard, including the discount rate to be used in valuing new and existing leases and all applicable financial statement disclosures required by the new guidance. The Company is continuing to evaluate the effect of adoption and anticipates that it will result in the recognition of additional assets and corresponding liabilities related to the existing leases on its balance sheet. The Company is assessing potential impacts on its internal controls, business processes, and accounting policies related to both the implementation of, and ongoing compliance with, the new guidance.</w:t>
      </w:r>
    </w:p>
    <w:p>
      <w:pPr>
        <w:spacing w:after="0" w:line="17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ASU 2016-13 will require credit losses to be reported using an expected losses model rather than the incurred losses model that is currently used and will require additional disclosures related to credit risks. For available-for-sale debt securities with unrealized losses, this standard will require allowances to be recorded instead of reducing the amortized cost of the investment. ASU 2016-13 will be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Early adoption is permitted. The Company is currently evaluating the effects the adoption of ASU 2016-13 may have on its financial statements.</w:t>
      </w:r>
    </w:p>
    <w:p>
      <w:pPr>
        <w:spacing w:after="0" w:line="18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considers the applicability and impact of all ASUs issued by the FASB. All other ASUs issued subsequent to the filing of the Company’s Annual Report were assessed and determined to be either inapplicable or not expected to have a material impact on the Company’s financial position or results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Restricted Cash</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is required, as a condition of its $5.0 million term loan (the “Term Loan”), to maintain cash collateral on deposit in a segregated money market bank account equal to the principal portion of the Term Loan, as determined on a quarterly basis. The bank may restrict withdrawals or transfers by or on behalf of the Company that would violate this requirement. The required Term Loan reserve totaled $4.3 million as of June 30, 2020. This amount is presented in part as restricted cash and in part as other assets on the accompanying balance sheet.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per the balance sheet to the statement of cash flows: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June 30,</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42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34,091</w:t>
            </w:r>
          </w:p>
        </w:tc>
        <w:tc>
          <w:tcPr>
            <w:tcW w:w="0" w:type="dxa"/>
            <w:vAlign w:val="bottom"/>
          </w:tcPr>
          <w:p>
            <w:pPr>
              <w:spacing w:after="0"/>
              <w:rPr>
                <w:sz w:val="1"/>
                <w:szCs w:val="1"/>
                <w:color w:val="auto"/>
              </w:rPr>
            </w:pP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93"/>
              </w:rPr>
              <w:t>Restricted cash (including $2,639 and $3,333 in other assets as of June 30, 2020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December 31, 2019, respectively)</w:t>
            </w: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Marketable securities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120"/>
              <w:spacing w:after="0" w:line="201" w:lineRule="exact"/>
              <w:rPr>
                <w:sz w:val="20"/>
                <w:szCs w:val="20"/>
                <w:color w:val="auto"/>
              </w:rPr>
            </w:pPr>
            <w:r>
              <w:rPr>
                <w:rFonts w:ascii="Arial" w:cs="Arial" w:eastAsia="Arial" w:hAnsi="Arial"/>
                <w:sz w:val="18"/>
                <w:szCs w:val="18"/>
                <w:color w:val="auto"/>
              </w:rPr>
              <w:t>Agency bonds (government sponsored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20"/>
              <w:spacing w:after="0"/>
              <w:rPr>
                <w:sz w:val="20"/>
                <w:szCs w:val="20"/>
                <w:color w:val="auto"/>
              </w:rPr>
            </w:pPr>
            <w:r>
              <w:rPr>
                <w:rFonts w:ascii="Arial" w:cs="Arial" w:eastAsia="Arial" w:hAnsi="Arial"/>
                <w:sz w:val="18"/>
                <w:szCs w:val="18"/>
                <w:color w:val="auto"/>
              </w:rPr>
              <w:t>enterprises)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24,366</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24,449</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252,874</w:t>
            </w:r>
          </w:p>
        </w:tc>
        <w:tc>
          <w:tcPr>
            <w:tcW w:w="0" w:type="dxa"/>
            <w:vAlign w:val="bottom"/>
          </w:tcPr>
          <w:p>
            <w:pPr>
              <w:spacing w:after="0"/>
              <w:rPr>
                <w:sz w:val="1"/>
                <w:szCs w:val="1"/>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284,285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4,991</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Agency bonds (government sponsored</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enterprises)</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24,437</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0" w:type="dxa"/>
            <w:vAlign w:val="bottom"/>
          </w:tcPr>
          <w:p>
            <w:pPr>
              <w:spacing w:after="0"/>
              <w:rPr>
                <w:sz w:val="1"/>
                <w:szCs w:val="1"/>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271,124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271,072</w:t>
            </w: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300,514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As of June 30, 2020, no marketable securities are considered to be other-than-temporarily impaired. The Company uses the specific identification method when calculating realized gains and losses. For the three and six months ended June 30, 2020, respectively, the Company recorded approximately $4,000 and $68,000 in realized gains on available-for-sale securities, which is included in other income, net on the condensed statement of operations.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by level within the fair value hierarchy as of June 30, 2020 and December 31, 2019:</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538"/>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Quoted Prices in</w:t>
            </w:r>
          </w:p>
        </w:tc>
        <w:tc>
          <w:tcPr>
            <w:tcW w:w="14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280" w:type="dxa"/>
            <w:vAlign w:val="bottom"/>
            <w:tcBorders>
              <w:bottom w:val="single" w:sz="8" w:color="CCEEFF"/>
            </w:tcBorders>
            <w:vMerge w:val="continue"/>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9,956</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Agency bonds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bonds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252,874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252,874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Commercial paper</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294,241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9,956</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$ 284,285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378"/>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Quoted Prices in</w:t>
            </w:r>
          </w:p>
        </w:tc>
        <w:tc>
          <w:tcPr>
            <w:tcW w:w="14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280" w:type="dxa"/>
            <w:vAlign w:val="bottom"/>
            <w:tcBorders>
              <w:bottom w:val="single" w:sz="8" w:color="CCEEFF"/>
            </w:tcBorders>
            <w:vMerge w:val="continue"/>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19,341</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U.S. treasury securities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Agency bonds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bonds</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271,072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271,072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319,855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$ 300,514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did not transfer any assets measured at fair value on a recurring basis between levels during the three and six months ended June 30, 2020 and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Agreement with Eli Lilly and Company</w:t>
      </w:r>
    </w:p>
    <w:p>
      <w:pPr>
        <w:spacing w:after="0" w:line="229"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On November 2, 2018, the Company entered into a multi-year research and development collaboration agreement (the “Lilly Agreement”) with Eli Lilly and Company (“Lilly”), pursuant to which the Company agreed to use its proprietary FIND-IO platform to identify novel oncology targets for additional collaborative research and drug discovery by the Company and Lilly. Effective March 3, 2020, Lilly, terminated the Lilly Agreement without cause.</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recognized revenue under the Lilly Agreement of $ 0 million and $22.4 million for the three and six months ended June 30, 2020, respectively, and $1.4 million and $2.8 million for the three and six months ended June 30, 2019, respectively. Effective with the termination of the agreement, no further quarterly research and development support payments are payable to the Company.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Equity Plans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NextCure, Inc. 2019 Omnibus Incentive Plan (the “2019 Plan”) became effective on May 8, 2019, the date on which the Company’s Registration Statement on Form S-1 filed in connection with the IPO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w:t>
      </w:r>
    </w:p>
    <w:p>
      <w:pPr>
        <w:spacing w:after="0" w:line="17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automatically increase each January 1st during the term of the 2019 Plan by 4% of the number of shares of the Company’s common stock outstanding on December 31st of the preceding calendar year or such lesser number of shares determined by the Board.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June 30, 2020, 2,748,100 shares were reserved for future grant under the 2019 Plan.</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 options granted under the 2015 Plan and 2019 Plan (together, the “Plans”) to employees generally vest over four years and expire after ten years.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stock option activity for awards under the Plans is presented below:</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520" w:type="dxa"/>
            <w:vAlign w:val="bottom"/>
            <w:tcBorders>
              <w:bottom w:val="single" w:sz="8" w:color="auto"/>
            </w:tcBorders>
            <w:gridSpan w:val="9"/>
          </w:tcPr>
          <w:p>
            <w:pPr>
              <w:jc w:val="right"/>
              <w:ind w:right="535"/>
              <w:spacing w:after="0"/>
              <w:rPr>
                <w:sz w:val="20"/>
                <w:szCs w:val="20"/>
                <w:color w:val="auto"/>
              </w:rPr>
            </w:pPr>
            <w:r>
              <w:rPr>
                <w:rFonts w:ascii="Arial" w:cs="Arial" w:eastAsia="Arial" w:hAnsi="Arial"/>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8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jc w:val="center"/>
              <w:ind w:left="53"/>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0"/>
                <w:szCs w:val="10"/>
                <w:b w:val="1"/>
                <w:bCs w:val="1"/>
                <w:color w:val="auto"/>
                <w:w w:val="92"/>
              </w:rPr>
              <w:t>(1)</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840" w:type="dxa"/>
            <w:vAlign w:val="bottom"/>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2,170,212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113,295</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1,041,358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39.07</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Cancelled</w:t>
            </w: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19.89</w:t>
            </w: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June 30, 2020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3,162,258</w:t>
            </w:r>
          </w:p>
        </w:tc>
        <w:tc>
          <w:tcPr>
            <w:tcW w:w="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17.14</w:t>
            </w:r>
          </w:p>
        </w:tc>
        <w:tc>
          <w:tcPr>
            <w:tcW w:w="9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32,315</w:t>
            </w: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Vested and expected to vest as of June 30, 2020</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3,162,258</w:t>
            </w:r>
          </w:p>
        </w:tc>
        <w:tc>
          <w:tcPr>
            <w:tcW w:w="24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17.14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32,315</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Exercisable as of June 30, 2020</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1,008,066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wp:posOffset>
            </wp:positionV>
            <wp:extent cx="1414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40" w:lineRule="exact"/>
        <w:rPr>
          <w:sz w:val="20"/>
          <w:szCs w:val="20"/>
          <w:color w:val="auto"/>
        </w:rPr>
      </w:pPr>
    </w:p>
    <w:p>
      <w:pPr>
        <w:jc w:val="both"/>
        <w:ind w:left="380" w:right="79" w:hanging="330"/>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estimated fair value of the common stock for the options that were in the money at June 30, 2020 and December 31, 2019.</w:t>
      </w:r>
    </w:p>
    <w:p>
      <w:pPr>
        <w:spacing w:after="0" w:line="184"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The weighted average grant date fair value of stock options granted to employees for the six months ended June 30, 2020 was $24.46. The aggregate intrinsic value of stock options exercised during the six months ended June 30, 2020</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was $0.4 million. As of June 30, 2020, there was $28.8 million of total unrecognized compensation expense related to unvested options under the Plans that will be recognized over a weighted-average period of approximately three years.</w:t>
      </w:r>
    </w:p>
    <w:p>
      <w:pPr>
        <w:spacing w:after="0" w:line="83"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aggregate grant date fair value of stock options and restricted stock vested during the six months ended June 30, 2020 and December 31, 2019 was approximately $31.6 million and $7.6 million, respectively.</w:t>
      </w:r>
    </w:p>
    <w:p>
      <w:pPr>
        <w:spacing w:after="0" w:line="13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Stock-based compensation expense was classified on the statements of operations as follows for the three and six months ended June 30, 2020 and 2019:</w:t>
      </w:r>
    </w:p>
    <w:p>
      <w:pPr>
        <w:spacing w:after="0" w:line="13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400" w:type="dxa"/>
            <w:vAlign w:val="bottom"/>
            <w:gridSpan w:val="5"/>
          </w:tcPr>
          <w:p>
            <w:pPr>
              <w:ind w:left="300"/>
              <w:spacing w:after="0"/>
              <w:rPr>
                <w:sz w:val="20"/>
                <w:szCs w:val="20"/>
                <w:color w:val="auto"/>
              </w:rPr>
            </w:pPr>
            <w:r>
              <w:rPr>
                <w:rFonts w:ascii="Arial" w:cs="Arial" w:eastAsia="Arial" w:hAnsi="Arial"/>
                <w:sz w:val="14"/>
                <w:szCs w:val="14"/>
                <w:b w:val="1"/>
                <w:bCs w:val="1"/>
                <w:color w:val="auto"/>
              </w:rPr>
              <w:t>June 30,</w:t>
            </w:r>
          </w:p>
        </w:tc>
        <w:tc>
          <w:tcPr>
            <w:tcW w:w="13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1,291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2,187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$ 3,195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right"/>
              <w:ind w:right="43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gridSpan w:val="2"/>
          </w:tcPr>
          <w:p>
            <w:pPr>
              <w:jc w:val="right"/>
              <w:ind w:right="697"/>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0"/>
              </w:rPr>
              <w:t>- 6.08 years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6.08 years</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Expected volatility</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69.7</w:t>
            </w:r>
          </w:p>
        </w:tc>
        <w:tc>
          <w:tcPr>
            <w:tcW w:w="1000" w:type="dxa"/>
            <w:vAlign w:val="bottom"/>
          </w:tcPr>
          <w:p>
            <w:pPr>
              <w:jc w:val="right"/>
              <w:ind w:right="277"/>
              <w:spacing w:after="0"/>
              <w:rPr>
                <w:sz w:val="20"/>
                <w:szCs w:val="20"/>
                <w:color w:val="auto"/>
              </w:rPr>
            </w:pPr>
            <w:r>
              <w:rPr>
                <w:rFonts w:ascii="Arial" w:cs="Arial" w:eastAsia="Arial" w:hAnsi="Arial"/>
                <w:sz w:val="18"/>
                <w:szCs w:val="18"/>
                <w:color w:val="auto"/>
                <w:w w:val="92"/>
              </w:rPr>
              <w:t>- 81.1 %</w:t>
            </w:r>
          </w:p>
        </w:tc>
        <w:tc>
          <w:tcPr>
            <w:tcW w:w="840" w:type="dxa"/>
            <w:vAlign w:val="bottom"/>
          </w:tcPr>
          <w:p>
            <w:pPr>
              <w:jc w:val="right"/>
              <w:ind w:right="214"/>
              <w:spacing w:after="0"/>
              <w:rPr>
                <w:sz w:val="20"/>
                <w:szCs w:val="20"/>
                <w:color w:val="auto"/>
              </w:rPr>
            </w:pPr>
            <w:r>
              <w:rPr>
                <w:rFonts w:ascii="Arial" w:cs="Arial" w:eastAsia="Arial" w:hAnsi="Arial"/>
                <w:sz w:val="18"/>
                <w:szCs w:val="18"/>
                <w:color w:val="auto"/>
                <w:w w:val="92"/>
              </w:rPr>
              <w:t>69.7 %</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940" w:type="dxa"/>
            <w:vAlign w:val="bottom"/>
            <w:gridSpan w:val="3"/>
            <w:shd w:val="clear" w:color="auto" w:fill="CCEEFF"/>
          </w:tcPr>
          <w:p>
            <w:pPr>
              <w:jc w:val="right"/>
              <w:ind w:right="277"/>
              <w:spacing w:after="0"/>
              <w:rPr>
                <w:sz w:val="20"/>
                <w:szCs w:val="20"/>
                <w:color w:val="auto"/>
              </w:rPr>
            </w:pPr>
            <w:r>
              <w:rPr>
                <w:rFonts w:ascii="Arial" w:cs="Arial" w:eastAsia="Arial" w:hAnsi="Arial"/>
                <w:sz w:val="18"/>
                <w:szCs w:val="18"/>
                <w:color w:val="auto"/>
              </w:rPr>
              <w:t>0.3 - 1.0 %</w:t>
            </w:r>
          </w:p>
        </w:tc>
        <w:tc>
          <w:tcPr>
            <w:tcW w:w="8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2"/>
              </w:rPr>
              <w:t>1.96 %</w:t>
            </w: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277"/>
              <w:spacing w:after="0"/>
              <w:rPr>
                <w:sz w:val="20"/>
                <w:szCs w:val="20"/>
                <w:color w:val="auto"/>
              </w:rPr>
            </w:pPr>
            <w:r>
              <w:rPr>
                <w:rFonts w:ascii="Arial" w:cs="Arial" w:eastAsia="Arial" w:hAnsi="Arial"/>
                <w:sz w:val="18"/>
                <w:szCs w:val="18"/>
                <w:color w:val="auto"/>
              </w:rPr>
              <w:t>— %</w:t>
            </w:r>
          </w:p>
        </w:tc>
        <w:tc>
          <w:tcPr>
            <w:tcW w:w="840" w:type="dxa"/>
            <w:vAlign w:val="bottom"/>
          </w:tcPr>
          <w:p>
            <w:pPr>
              <w:jc w:val="right"/>
              <w:ind w:right="214"/>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Company did not record a provision or benefit for income taxes during the three and six months ended June 30, 2020 and 2019. The Company continues to maintain a full valuation allowance against its deferred tax assets.</w:t>
      </w:r>
    </w:p>
    <w:p>
      <w:pPr>
        <w:spacing w:after="0" w:line="12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has evaluated the positive and negative evidence involving its ability to realize its deferred tax assets. Management has considered the Company’s history of cumulative net losses incurred since inception and its lack of any commercially ready products. It has concluded that it is more likely than not that the Company will not realize the benefits of the deferred tax assets. Management reevaluates the positive and negative evidence at each reporting period.</w:t>
      </w:r>
    </w:p>
    <w:p>
      <w:pPr>
        <w:spacing w:after="0" w:line="15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Under the provisions of Sections 382 and 383 of the IRC, certain substantial changes in the Company’s ownership may have limited, or may limit in the future, the amount of net operating loss and research and development credit carryforwards that can be used to reduce future income taxes.</w:t>
      </w:r>
    </w:p>
    <w:p>
      <w:pPr>
        <w:spacing w:after="0" w:line="184"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On March 27, 2020, the Coronavirus Aid, Relief and Economic Security Act ("CARES Act") was signed into law. The CARES Act includes various income and payroll tax provisions. The Company has analyzed the tax provisions of the CARES Act and determined they have no significant financial impact to our condensed financial statements.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Subsequent Events</w:t>
      </w:r>
    </w:p>
    <w:p>
      <w:pPr>
        <w:spacing w:after="0" w:line="229"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Company has evaluated subsequent events through the issuance date of these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condensed financial statements and the notes thereto included in this Quarterly Report and the audited financial information and related notes, as well as Management’s Discussion and Analysis of Financial Condition and Results of Operations and other disclosures, included in our Annual Report on Form 10-K for the fiscal year ended December 31, 2019, or our Annual Report. Some of the statements contained in this discussion and analysis or set forth elsewhere in this Quarterly Report are forward-looking statements within the meaning of the Private Securities Litigation Reform Act of 1995, including with respect to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“intend,” “may,” “objective,” “plan,” “predict,” “potential,” “positioned,” “seek,” “should,” “target,” “will,” “would” and other similar expressions that are predictions of or indicate future events and future trends, or the negative of these terms or similar language. Forward-looking statements include, but are not limited to, statements about:</w:t>
      </w:r>
    </w:p>
    <w:p>
      <w:pPr>
        <w:spacing w:after="0" w:line="174" w:lineRule="exact"/>
        <w:rPr>
          <w:sz w:val="20"/>
          <w:szCs w:val="20"/>
          <w:color w:val="auto"/>
        </w:rPr>
      </w:pPr>
    </w:p>
    <w:p>
      <w:pPr>
        <w:jc w:val="both"/>
        <w:ind w:left="700" w:right="79" w:hanging="326"/>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timing, progress and results of preclinical studies and clinical trials for NC318, NC410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86" w:lineRule="exact"/>
        <w:rPr>
          <w:rFonts w:ascii="Arial" w:cs="Arial" w:eastAsia="Arial" w:hAnsi="Arial"/>
          <w:sz w:val="18"/>
          <w:szCs w:val="18"/>
          <w:color w:val="auto"/>
        </w:rPr>
      </w:pPr>
    </w:p>
    <w:p>
      <w:pPr>
        <w:jc w:val="both"/>
        <w:ind w:left="700" w:right="79" w:hanging="326"/>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COVID-19 pandemic on the initiation, progress or expected timing of our clinical trials and the timing of related data, our efforts to adjust trial-related activities to address the impact of the COVID-19 pandemic, and other future impacts of the COVID-19 pandemic on the economy, our industry and our financial condition and results of operations;</w:t>
      </w:r>
    </w:p>
    <w:p>
      <w:pPr>
        <w:spacing w:after="0" w:line="186" w:lineRule="exact"/>
        <w:rPr>
          <w:rFonts w:ascii="Arial" w:cs="Arial" w:eastAsia="Arial" w:hAnsi="Arial"/>
          <w:sz w:val="18"/>
          <w:szCs w:val="18"/>
          <w:color w:val="auto"/>
        </w:rPr>
      </w:pPr>
    </w:p>
    <w:p>
      <w:pPr>
        <w:ind w:left="700" w:right="79" w:hanging="326"/>
        <w:spacing w:after="0" w:line="308"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timing or likelihood of regulatory filings for NC318, NC410 and any other product candidates we develop and our ability to obtain and maintain regulatory approvals for such product candidates for any indication;</w:t>
      </w:r>
    </w:p>
    <w:p>
      <w:pPr>
        <w:spacing w:after="0" w:line="146" w:lineRule="exact"/>
        <w:rPr>
          <w:rFonts w:ascii="Arial" w:cs="Arial" w:eastAsia="Arial" w:hAnsi="Arial"/>
          <w:sz w:val="17"/>
          <w:szCs w:val="17"/>
          <w:color w:val="auto"/>
        </w:rPr>
      </w:pPr>
    </w:p>
    <w:p>
      <w:pPr>
        <w:ind w:left="700" w:hanging="326"/>
        <w:spacing w:after="0"/>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identification of biomarkers and the development of patient selection assays;</w:t>
      </w:r>
    </w:p>
    <w:p>
      <w:pPr>
        <w:spacing w:after="0" w:line="225"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 of companion or complementary diagnostic for NC318, NC410 or any other product candidates we develop;</w:t>
      </w:r>
    </w:p>
    <w:p>
      <w:pPr>
        <w:spacing w:after="0" w:line="170"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manufacturing capabilities and strategy, including the scalability of our manufacturing methods and processes;</w:t>
      </w:r>
    </w:p>
    <w:p>
      <w:pPr>
        <w:spacing w:after="0" w:line="170"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potential benefits, activity, effectiveness and safety of NC318, NC410 and any other product candidates we develop;</w:t>
      </w:r>
    </w:p>
    <w:p>
      <w:pPr>
        <w:spacing w:after="0" w:line="170" w:lineRule="exact"/>
        <w:rPr>
          <w:rFonts w:ascii="Arial" w:cs="Arial" w:eastAsia="Arial" w:hAnsi="Arial"/>
          <w:sz w:val="18"/>
          <w:szCs w:val="18"/>
          <w:i w:val="1"/>
          <w:iCs w:val="1"/>
          <w:color w:val="auto"/>
        </w:rPr>
      </w:pPr>
    </w:p>
    <w:p>
      <w:pPr>
        <w:ind w:left="700" w:hanging="326"/>
        <w:spacing w:after="0"/>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intentions and ability to successfully commercialize our product candidates;</w:t>
      </w:r>
    </w:p>
    <w:p>
      <w:pPr>
        <w:spacing w:after="0" w:line="225" w:lineRule="exact"/>
        <w:rPr>
          <w:rFonts w:ascii="Arial" w:cs="Arial" w:eastAsia="Arial" w:hAnsi="Arial"/>
          <w:sz w:val="18"/>
          <w:szCs w:val="18"/>
          <w:i w:val="1"/>
          <w:iCs w:val="1"/>
          <w:color w:val="auto"/>
        </w:rPr>
      </w:pPr>
    </w:p>
    <w:p>
      <w:pPr>
        <w:ind w:left="700" w:hanging="326"/>
        <w:spacing w:after="0"/>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nature of the biological pathways we are targeting;</w:t>
      </w:r>
    </w:p>
    <w:p>
      <w:pPr>
        <w:spacing w:after="0" w:line="225"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for our FIND-IO platform, including our ability to discover and advance product candidates using our FIND-IO platform;</w:t>
      </w:r>
    </w:p>
    <w:p>
      <w:pPr>
        <w:spacing w:after="0" w:line="170"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potential benefits of and our ability to maintain our relationships and collaborations with Yale University and Dr. Lieping Chen;</w:t>
      </w:r>
    </w:p>
    <w:p>
      <w:pPr>
        <w:spacing w:after="0" w:line="170" w:lineRule="exact"/>
        <w:rPr>
          <w:rFonts w:ascii="Arial" w:cs="Arial" w:eastAsia="Arial" w:hAnsi="Arial"/>
          <w:sz w:val="18"/>
          <w:szCs w:val="18"/>
          <w:i w:val="1"/>
          <w:iCs w:val="1"/>
          <w:color w:val="auto"/>
        </w:rPr>
      </w:pPr>
    </w:p>
    <w:p>
      <w:pPr>
        <w:jc w:val="both"/>
        <w:ind w:left="700" w:right="79" w:hanging="326"/>
        <w:spacing w:after="0" w:line="263" w:lineRule="auto"/>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right="79" w:hanging="326"/>
        <w:spacing w:after="0" w:line="277" w:lineRule="auto"/>
        <w:tabs>
          <w:tab w:leader="none" w:pos="7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intended reliance on and the performance of third parties, including collaborators, contract research organizations and third-party manufacturers;</w:t>
      </w:r>
    </w:p>
    <w:p>
      <w:pPr>
        <w:spacing w:after="0" w:line="170"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protect and enforce our intellectual property protection and the scope and duration of such protection;</w:t>
      </w:r>
    </w:p>
    <w:p>
      <w:pPr>
        <w:spacing w:after="0" w:line="170" w:lineRule="exact"/>
        <w:rPr>
          <w:rFonts w:ascii="Arial" w:cs="Arial" w:eastAsia="Arial" w:hAnsi="Arial"/>
          <w:sz w:val="18"/>
          <w:szCs w:val="18"/>
          <w:i w:val="1"/>
          <w:iCs w:val="1"/>
          <w:color w:val="auto"/>
        </w:rPr>
      </w:pPr>
    </w:p>
    <w:p>
      <w:pPr>
        <w:ind w:left="700" w:hanging="326"/>
        <w:spacing w:after="0"/>
        <w:tabs>
          <w:tab w:leader="none" w:pos="7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developments and projections relating to our competitors and our industry, including competing therapies; and</w:t>
      </w:r>
    </w:p>
    <w:p>
      <w:pPr>
        <w:spacing w:after="0" w:line="236" w:lineRule="exact"/>
        <w:rPr>
          <w:rFonts w:ascii="Arial" w:cs="Arial" w:eastAsia="Arial" w:hAnsi="Arial"/>
          <w:sz w:val="17"/>
          <w:szCs w:val="17"/>
          <w:i w:val="1"/>
          <w:iCs w:val="1"/>
          <w:color w:val="auto"/>
        </w:rPr>
      </w:pPr>
    </w:p>
    <w:p>
      <w:pPr>
        <w:ind w:left="700" w:hanging="326"/>
        <w:spacing w:after="0"/>
        <w:tabs>
          <w:tab w:leader="none" w:pos="7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current and future laws and regulations.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i w:val="1"/>
          <w:iCs w:val="1"/>
          <w:color w:val="auto"/>
        </w:rPr>
        <w:t>These statements are based on management’s current expectations, estimates, forecasts and projections about our business and industry, are not guarantees of future performance and involve known and unknown risks, uncertainties and other factors that are in some cases beyond our control, such as the impacts of the COVID-19 pandemic, and that may cause our or our industry’s actual results, levels of activity, performance or achievements to be materially different from those anticipated by the forward-looking statements. We discuss many of these risks elsewhere in this report, including in the section entitled “Risk Factors” included in Part II, Item 1A, in the “Risk Factors” section of our Annual Report, and in our various filings with the Securities and Exchange Commission, or the SEC. You should read these factors and the other cautionary statements made in this Quarterly Report as being applicable to all related forward-looking statements wherever they appear in this Quarterly Report. If one or more of these factors materialize, or if any underlying assumptions prove incorrect, our actual results, levels of activity, performance, or achievements may vary materially from any future results, activity, performance, or achievements expressed or implied by these forward-looking statements. We caution readers not to place undue reliance on any forward-looking statements made by us, which speak only as of the date they were made. We undertake no obligation to publicly update any forward-looking statements after the date of this Quarterly Report, whether as a result of new information, future events or otherwise, except as required by law. We qualify all our forward-looking statements by the foregoing cautionary statements.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8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March 2020, the World Health Organization declared the novel coronavirus disease 2019, or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While we are considered an essential business under applicable regulations and continue to operate, the impacts of COVID-19 have placed significant strain on our clinical trial sites, raised concerns around monitoring patient safety, and caused enrollment to slow in the Phase 2 portion of the ongoing Phase 1/2 monotherapy clinical trial of our lead product candidate, NC318. We are continuing to work closely with our clinical partners and take steps to adjust our protocols and timelines due to the impact of the COVID-19 pandemic, as discussed below. We cannot predict the scope and severity of any further disruptions as a result of COVID-19 or their impacts on us, but if we or any of the third parties with whom we engage, including the collaborators, contract organizations, third-party manufacturers, suppliers, clinical trial sites, regulators and other third parties with whom we conduct business were to experience related business disruptions, our ability to conduct our business in the manner and on the timelines presently planned could be materially and negatively impacted. The impact of the COVID-19 pandemic on our business and financial performance is uncertain and depends on various factors, including the scope and duration of the pandemic, government restrictions and other</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actions, including relief measures, implemented to address the impact of the pandemic, and resulting impacts on the financial markets and overall economy. We are unable to determine the extent of the impact of the pandemic on our operations and financial condition going forward. These developments are highly uncertain and unpredictable, and may materially adversely affect our financial position and results of operations.</w:t>
      </w:r>
    </w:p>
    <w:p>
      <w:pPr>
        <w:spacing w:after="0" w:line="18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lead product candidate NC318 is a first-in-class immunomedicine against a novel immunomodulatory receptor called Siglec-15, or S15. In October 2018, we initiated a Phase 1/2 clinical trial of NC318 in patients with advanced or metastatic solid tumors. We completed enrollment of the Phase 1 portion of this trial in August 2019 and preliminary data from the Phase 1 portion were presented at the Society for Immunotherapy of Cancer annual meeting in November 2019. We reported initial biomarker data from the Phase 1 portion of this trial, which we believe suggest collectively the potential of NC318 to block S15-mediated immune suppression, in May 2020 at the 2020 Virtual American Society of Clinical Oncology annual meeting, or the ASCO Meeting.</w:t>
      </w:r>
    </w:p>
    <w:p>
      <w:pPr>
        <w:spacing w:after="0" w:line="17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began enrolling patients in the Phase 2 portion of the Phase 1/2 clinical trial of NC318 trial in October 2019. In this portion, we planned to enroll up to 100 patients with tumor types that have been shown to have elevated S15 expression, including non-small cell lung cancer, or NSCLC, ovarian cancer, head and neck squamous cell carcinoma, or HNSCC, and triple-negative breast cancer, or TNBC. As we announced in April 2020, initial data from the Phase 2 portion of the Phase 1/2 monotherapy trial has been temporarily delayed given enrollment slowdown due to the COVID-19 pandemic. In April 2020, we announced that given enrollment slowdown due to the COVID-19 pandemic, we expected initial data from the Phase 2 portion of the Phase 1/2 monotherapy trial to be temporarily delayed. However, we will continue to support ongoing activities for patients enrolled in the trial and to work with our clinical sites to enroll new patients as appropriate. In July 2020, we announced that based on the current enrollment criteria and clinical response data, at this time we do not plan to advance the NSCLC and ovarian cancer cohorts into the stage 2 portion of the Simon 2-stage monotherapy trial. We have not established the reason for the absence of responses in these cohorts, including whether it may relate to patient selection criteria, such as whether the patients in these cohorts have tumors that express high levels of S15, or whether NC318 is not active in these tumor types. We will evaluate whether to pursue continued study of NC318 as a monotherapy in NSCLC and ovarian cancer after an analysis of biomarker data from the ongoing trial, the review of which has been delayed from our initial expectations and is not yet complete. We continue to enroll new patients in the HNSCC and TNBC cohorts of the monotherapy trial. One confirmed partial response has been observed in HNSCC, and this indication has been advanced to the stage 2 portion of the Simon 2-stage trial. We expect to announce additional clinical data and biomarker data from this trial in the fourth quarter of 2020, which may inform our decisions with respect to patient selection criteria and which tumor types warrant continued study. The patient selection criteria for the NC318 trial is based on tumors with low PD-L1 expression levels, which based on pre-clinical data was expected to result in a patient population that included patients with tumors that had high levels of S15 expression. The data reported at the ASCO Meeting indicate that PD-L1 status and S15 status can change over time. As we evaluate additional biomarker data, we may conclude that it is appropriate to refine the patient selection criteria to expressly include markers for S15 expression. We continue to work with collaborators to identify a reliable biomarker for S15 expression that can be readily used for a patient selection assay.</w:t>
      </w:r>
    </w:p>
    <w:p>
      <w:pPr>
        <w:spacing w:after="0" w:line="391"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intend to initiate an additional Phase 2 clinical trial to evaluate NC318 in combination with standard of care chemotherapies in patients with advanced or metastatic solid tumors. We expect to continue to evaluate patient selection for this trial based on ongoing biomarker work. Due to the COVID-19 pandemic, we have temporarily delayed initiating this combination trial.</w:t>
      </w:r>
    </w:p>
    <w:p>
      <w:pPr>
        <w:spacing w:after="0" w:line="18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second product candidate, NC410, is a novel immunomedicine designed to block immune suppression mediated by an immune modulator called Leukocyte-Associated Immunoglobulin-like Receptor 1. The U.S. Food and Drug Administration, or the FDA, accepted our investigational new drug application, or IND, for NC410 in the first quarter of 2020. In June 2020, we initiated a Phase 1/2 clinical trial of NC410 in patients with advanced or metastatic solid tumors after a temporary delay due to the COVID-19 pandemic. The Phase 1 dose-escalation portion of this open-label trial is designed to evaluate the safety and tolerability of NC410 in patients with advanced or metastatic solid tumors and determine its pharmacologically active and/or maximum tolerated dose. After a recommended dose for the Phase 2 portion of the trial is determined, the efficacy of NC410 will be evaluated in select tumor types. We expect to announce data from the Phase 1 portion of this trial in the second half of 2021.</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Since commencing operations in 2015, we have devoted substantially all of our efforts and financial resources to research and development activities for our product candidates, discovery programs and FIND-IO platform, organizing and staffing our company, identifying business development opportunities, raising capital, securing intellectual property rights related to our product candidates, building and optimizing our manufacturing capabilities and conducting discovery.</w:t>
      </w:r>
    </w:p>
    <w:p>
      <w:pPr>
        <w:spacing w:after="0" w:line="15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have not generated any revenue from product sales and only limited revenue from other sources. As a result, with the exception of the three months ended March 31, 2020, for which we reported a profit due to recognition of deferred revenue in connection with the termination of our former research and development collaboration agreement with Eli Lilly and Company, or Lilly, we have never been profitable and have incurred net losses since the commencement of our operations. Our net loss for the three months ended June 30, 2020 and 2019 was $14.5 million and $8.2 million, respectively, and our net loss for the six months ended June 30, 2020 and 2019 was $4.8 million and $14.4 million, respectively. As of June 30, 2020, we had an accumulated deficit of $85.8 million, primarily as a result of research and development and general and administrative expenses. We do not expect to generate product revenue unless and until we obtain marketing approval for and commercialize a product candidate, and we cannot assure you that we will ever generate significant revenue or profits.</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funded our operations to date primarily with proceeds from public offerings of our common stock, private placements our preferred stock and upfront fees received under our former research and development collaboration agreement with Lilly, or the Lilly Agreement. From our inception through June 30, 2020, we received gross proceeds of $164.4 million through private placements of preferred stock.</w:t>
      </w:r>
    </w:p>
    <w:p>
      <w:pPr>
        <w:spacing w:after="0" w:line="18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November 2018, we entered into the Lilly Agreement to use our FIND-IO platform to identify novel oncology targets for additional collaborative research and drug discovery by us and Lilly. We received an upfront payment of $25.0 million in cash and an equity investment of $15.0 million from Lilly upon entering into the Lilly Agreement, and we were eligible for quarterly research and development support payments during a portion of the term of the Lilly Agreement. Effective March 3, 2020, Lilly terminated the Lilly Agreement without cause.</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May 13, 2019, we closed our initial public offering, or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w:t>
      </w:r>
    </w:p>
    <w:p>
      <w:pPr>
        <w:spacing w:after="0" w:line="18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November 19, 2019, we completed an underwritten public offering, in which we issued and sold 4,077,192 shares of common stock at a public offering price of $36.75 per share. On December 2, 2019, the underwriters exercised in full their option to purchase an additional 611,578 shares of common stock at the public offering price of $36.75, for total net proceeds to us of approximately $160.9 million after deducting underwriting discounts and commissions of approximately $10.3 million and offering expenses of approximately $1.0 million.</w:t>
      </w:r>
    </w:p>
    <w:p>
      <w:pPr>
        <w:spacing w:after="0" w:line="176"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As of June 30, 2020, we had cash, cash equivalents and marketable securities, excluding restricted cash, of $309.3 million. We believe that our existing cash, cash equivalents and marketable securities will be sufficient to fund our planned operations for at least the next 12 months. We have based this estimate on assumptions that may prove to be incorrect, and we could use our available capital resources sooner than we currently expect.</w:t>
      </w:r>
    </w:p>
    <w:p>
      <w:pPr>
        <w:spacing w:after="0" w:line="17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ongoing Phase 1/2 clinical trial and planned Phase 2 clinical trial of NC318, our ongoing Phase 1/2 clinical trial of NC410 and other research and development activities. We expect to continue to incur significantly increased costs as a result of operating as a public company, including significant legal, accounting, investor relations and other expenses that we did not incur as a private company.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For the three and six months ended June 30, 2020, we recognized $0 million and $22.4 million, respectively, in revenue under the Lilly Agreement. For the three and six months ended June 30, 2019, we recognized $1.4 million and $2.8 million, respectively, in revenue under the Lilly Agreement. Lilly terminated the Lilly Agreement effective March 3, 2020, or the Lilly Termination Date, and the Company recognized all of the deferred revenue as of the Lilly Termination Date in the condensed statement of operations. Through June 30, 2020, we have not generated any revenue from product sales.</w:t>
      </w:r>
    </w:p>
    <w:p>
      <w:pPr>
        <w:spacing w:after="0" w:line="19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For additional information about our revenue recognition policy, see Note 2 to our unaudited condensed financial statements included elsewhere in this Quarterly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70" w:lineRule="exact"/>
        <w:rPr>
          <w:sz w:val="20"/>
          <w:szCs w:val="20"/>
          <w:color w:val="auto"/>
        </w:rPr>
      </w:pPr>
    </w:p>
    <w:p>
      <w:pPr>
        <w:ind w:left="1020" w:right="7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for personnel engaged in research and development functions;</w:t>
      </w:r>
    </w:p>
    <w:p>
      <w:pPr>
        <w:spacing w:after="0" w:line="170" w:lineRule="exact"/>
        <w:rPr>
          <w:rFonts w:ascii="Arial" w:cs="Arial" w:eastAsia="Arial" w:hAnsi="Arial"/>
          <w:sz w:val="18"/>
          <w:szCs w:val="18"/>
          <w:color w:val="auto"/>
        </w:rPr>
      </w:pPr>
    </w:p>
    <w:p>
      <w:pPr>
        <w:jc w:val="both"/>
        <w:ind w:left="1020" w:right="79" w:hanging="322"/>
        <w:spacing w:after="0" w:line="28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including agreements with third parties that conduct research, preclinical activities or clinical trials on our behalf, such as our corporate sponsored research agreement, or the SRA, and our license agreement with Yale University, or Yale;</w:t>
      </w:r>
    </w:p>
    <w:p>
      <w:pPr>
        <w:spacing w:after="0" w:line="165" w:lineRule="exact"/>
        <w:rPr>
          <w:rFonts w:ascii="Arial" w:cs="Arial" w:eastAsia="Arial" w:hAnsi="Arial"/>
          <w:sz w:val="17"/>
          <w:szCs w:val="17"/>
          <w:color w:val="auto"/>
        </w:rPr>
      </w:pPr>
    </w:p>
    <w:p>
      <w:pPr>
        <w:ind w:left="1020" w:hanging="322"/>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stock-based compensation and related travel expenses;</w:t>
      </w:r>
    </w:p>
    <w:p>
      <w:pPr>
        <w:spacing w:after="0" w:line="236" w:lineRule="exact"/>
        <w:rPr>
          <w:rFonts w:ascii="Arial" w:cs="Arial" w:eastAsia="Arial" w:hAnsi="Arial"/>
          <w:sz w:val="17"/>
          <w:szCs w:val="17"/>
          <w:color w:val="auto"/>
        </w:rPr>
      </w:pPr>
    </w:p>
    <w:p>
      <w:pPr>
        <w:ind w:left="1020" w:right="7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 and</w:t>
      </w:r>
    </w:p>
    <w:p>
      <w:pPr>
        <w:spacing w:after="0" w:line="170"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Due to the early-stage nature of our programs and the discovery-related nature of our efforts, we do not track costs on a program-by-program basis. As our current and future product candidates proceed along a development path further in clinical trials, we intend to track the costs of each program.</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Research and development activities are central to our business model. We expect that our research and development expenses will continue to increase substantially for the foreseeable future as we advance our product candidates through development, including conducting our ongoing Phase 1/2 clinical trial of NC318, our planned Phase 2 clinical trial in combination with standard of care chemotherapies and preclinical studies and our ongoing Phase 1/2 clinical trial of NC410, as we develop a complementary diagnostic for NC318 if we determine it is advisable, as we expand our current good manufacturing practice, or cGMP, manufacturing capacity, including to provide drug supply of NC318 for future clinical trials, and as we expand our pipeline through research and development activities related to our FIND-IO platform and discovery programs.</w:t>
      </w:r>
    </w:p>
    <w:p>
      <w:pPr>
        <w:spacing w:after="0" w:line="19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cannot determine with certainty the duration and costs of future clinical trials of NC318, NC410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and any other product candidate we may develop will depend on a variety of factors, including:</w:t>
      </w:r>
    </w:p>
    <w:p>
      <w:pPr>
        <w:spacing w:after="0" w:line="161" w:lineRule="exact"/>
        <w:rPr>
          <w:sz w:val="20"/>
          <w:szCs w:val="20"/>
          <w:color w:val="auto"/>
        </w:rPr>
      </w:pPr>
    </w:p>
    <w:p>
      <w:pPr>
        <w:ind w:left="1020" w:right="79" w:hanging="322"/>
        <w:spacing w:after="0" w:line="342"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scope, progress, results and costs of clinical trials of NC318 and NC410, as well as of any future clinical trials of other product candidates and other research and development activities that we may conduct;</w:t>
      </w:r>
    </w:p>
    <w:p>
      <w:pPr>
        <w:spacing w:after="0" w:line="123" w:lineRule="exact"/>
        <w:rPr>
          <w:rFonts w:ascii="Arial" w:cs="Arial" w:eastAsia="Arial" w:hAnsi="Arial"/>
          <w:sz w:val="16"/>
          <w:szCs w:val="16"/>
          <w:color w:val="auto"/>
        </w:rPr>
      </w:pPr>
    </w:p>
    <w:p>
      <w:pPr>
        <w:ind w:left="1020" w:right="79" w:hanging="322"/>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including delays and slowdowns as a result of strain on our clinical trial sites and concerns about patient safety;</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in selection of indications, clinical trial design and patient enrollment rates;</w:t>
      </w:r>
    </w:p>
    <w:p>
      <w:pPr>
        <w:spacing w:after="0" w:line="22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probability of success for our product candidates, including safety and efficacy, early clinical data, competition, ease and ability of manufacturing and commercial viability;</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receipt of any development or marketing approvals; and</w:t>
      </w:r>
    </w:p>
    <w:p>
      <w:pPr>
        <w:spacing w:after="0" w:line="22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General and administrative expenses consist primarily of personnel-related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substantially during the next few years as a result of staff expansion and additional occupancy costs, as well as costs associated with being a public company, including higher legal and accounting fees, investor relations costs, higher insurance premiums and other compliance costs associated with being a public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Other income, net consists primarily of interest income earned on U.S. Treasury obligations and payment of interest on our term loan with a commercial bank, or the Term Loan.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2020 and 2019</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80"/>
              <w:spacing w:after="0" w:line="201" w:lineRule="exact"/>
              <w:rPr>
                <w:sz w:val="20"/>
                <w:szCs w:val="20"/>
                <w:color w:val="auto"/>
              </w:rPr>
            </w:pPr>
            <w:r>
              <w:rPr>
                <w:rFonts w:ascii="Arial" w:cs="Arial" w:eastAsia="Arial" w:hAnsi="Arial"/>
                <w:sz w:val="18"/>
                <w:szCs w:val="18"/>
                <w:color w:val="auto"/>
              </w:rPr>
              <w:t>Revenue from research and development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arrangement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(1,402)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22,378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19,619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21,708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(15,801)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(8,955)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(7,589)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(15,770)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(8,221)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(6,287)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from Research and Development Arrangement</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Revenue was $0 million and $1.4 million for the three months ended June 30, 2020 and 2019, respectively, and $22.4 and $2.8 million for the six months ended June 30, 2020 and 2019, respectively. The increase in revenue for the six months ended June 30, 2020 compared to the same period in 2019 is related to the recognition of all of the deferred revenue under the Lilly Agreement as of the Lilly Termination Date. Effective with the termination of the agreement, no further quarterly research and development support payments are payable to the Company.</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Research and development expenses for the three months ended June 30, 2020 increased by $3.5 million to $11.1 million compared to $7.6 million for the three months ended June 30, 2019. The increase was driven primarily by $2.3 million in personnel-related costs due to an increase in headcount. Other significant components of the increase in research and development expenses included $0.8 million in lab supplies and services for NC318, NC410, other early-stage programs and discovery activities. The majority of all research and development expenses incurred for the three and six month periods ended June 30, 2020 related to NC318.</w:t>
      </w:r>
    </w:p>
    <w:p>
      <w:pPr>
        <w:spacing w:after="0" w:line="17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Research and development expenses for the six months ended June 30, 2020 increased by $7.6 million to $21.7 million compared to $14.2 million for the six months ended June 30, 2019. The increase was driven primarily by $3.7 million in personnel-related costs due to an increase in headcount. Other significant components of the increase in research and development expenses included $3.6 million in lab supplies and services for NC318, NC410, other early-stage programs and discovery activities.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General and administrative expenses for the three months ended June 30, 2020 increased by $2.0 million to $4.7 million as compared to $2.7 million for the three months ended June 30, 2019. The increase was driven primarily by $1.0 million in personnel-related costs due to an increase in headcount. Other significant components of the increase in general and administrative expenses included $0.5 million for professional fees related to legal, finance and audit services, public relations, compensation and investor relations support, and $0.3 million in insurance expenses, primarily due to traditional costs of being a public company beginning in May of 2019.</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General and administrative expenses for the six months ended June 30, 2020 increased by $3.9 million to $8.3 million as compared to $4.4 million for the six months ended June 30, 2019. The increase was driven primarily by $1.5 million in personnel-related costs due to an increase in headcount. Other significant components of the increase in general and administrative expenses included $0.9 million for professional fees related to legal, finance and audit services, public relations, compensation and investor relations support, and $0.7 million in insurance expenses.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Other income, net for the three months ended June 30, 2020 increased by $0.6 million to $1.3 million from $0.7 million for the three months ended June 30, 2019. The increase was driven primarily by interest income earned on higher cash and marketable securities balances, partially offset by interest expense related to the Term Loan.</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Other income, net for the six months ended June 30, 2020 increased by $1.4 million to $2.8 million from $1.4 million for the six months ended June 30, 2019. The increase was driven primarily by interest income earned on higher cash and marketable securities balances, partially offset by interest expense related to the Term Loan.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financed our operations primarily with proceeds from public offerings of our common stock, private placements of our preferred stock and upfront fees received under the Lilly Agreement. On May 13, 2019, we closed our IPO, in which we sold 5,750,000 shares of common stock at a public offering price of $15.00 per share, for net offering proceeds to us of approximately $77.0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a public offering price of $36.75. Net offering proceeds to us were approximately $160.9 million after deducting underwriting discounts and commissions and offering expenses.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As of June 30, 2020, we had cash and cash equivalents and marketable securities, excluding restricted cash, of $25.1 million and marketable securities of $284.3 million. We believe that our existing cash, cash equivalents and marketable securities will be sufficient to fund our planned operations for at least the next 12 months.</w:t>
      </w:r>
    </w:p>
    <w:p>
      <w:pPr>
        <w:spacing w:after="0" w:line="16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April 2016, we entered into the Term Loan to finance laboratory equipment purchases. In January 2019, we amended the Term Loan to increase our borrowing capacity from $1.0 million to $5.0 million. As amended, the Term Loan matures in January 2023. Under the Term Loan, we will make interest-only payments through January 2020 and 36 equal monthly payments of principal plus accrued interest thereafter through January 2023. As of June 30, 2020, our outstanding borrowings under the Term Loan were $4.3 million.</w:t>
      </w:r>
    </w:p>
    <w:p>
      <w:pPr>
        <w:spacing w:after="0" w:line="18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including as a result of the impact of the COVID-19 pandemic. If we fail to raise capital or enter into such arrangements as and when needed,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may have to significantly delay, scale back or discontinue the development of our product candidates or delay our efforts to expand our pipeline of product candidates.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 (in thousands):</w:t>
      </w:r>
    </w:p>
    <w:p>
      <w:pPr>
        <w:spacing w:after="0" w:line="175"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Six Months Ended</w:t>
      </w:r>
    </w:p>
    <w:p>
      <w:pPr>
        <w:ind w:left="76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54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(23,003)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(17,685)</w:t>
            </w:r>
          </w:p>
        </w:tc>
        <w:tc>
          <w:tcPr>
            <w:tcW w:w="60" w:type="dxa"/>
            <w:vAlign w:val="bottom"/>
          </w:tcPr>
          <w:p>
            <w:pPr>
              <w:spacing w:after="0"/>
              <w:rPr>
                <w:sz w:val="18"/>
                <w:szCs w:val="18"/>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6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1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81,847</w:t>
            </w:r>
          </w:p>
        </w:tc>
        <w:tc>
          <w:tcPr>
            <w:tcW w:w="60" w:type="dxa"/>
            <w:vAlign w:val="bottom"/>
            <w:tcBorders>
              <w:bottom w:val="single" w:sz="8" w:color="CCEEFF"/>
            </w:tcBorders>
          </w:tcPr>
          <w:p>
            <w:pPr>
              <w:spacing w:after="0"/>
              <w:rPr>
                <w:sz w:val="18"/>
                <w:szCs w:val="18"/>
                <w:color w:val="auto"/>
              </w:rPr>
            </w:pPr>
          </w:p>
        </w:tc>
      </w:tr>
      <w:tr>
        <w:trPr>
          <w:trHeight w:val="209"/>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(decrease) increase in cash and cash equivalents</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62,095</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operating activities was $23.0 million for the six months ended June 30, 2020, which was primarily due to the recognition of deferred revenue related to the terminated Lilly Agreement of $22.4 million. Net cash used in operating activities was $17.7 million for the six months ended June 30, 2019, which was primarily due to our net loss of $14.4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Cash provided by investing activities for the six months ended June 30, 2020 was $13.9 million, which was primarily due to net proceeds from marketable securities of $18.2 million, partially offset by purchases of property and equipment of $4.3 million. Cash used in investing activities for the six months ended June 30, 2019 was $2.1 million, which consisted primarily of purchases of property and equipment.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Cash used in financing activities was $0.7 million for the six months ended June 30, 2020, which consisted primarily of payments related to the Term Loan. Cash provided by financing activities was $81.8 million for the six months ended June 30, 2019, which consisted primarily of net proceeds from our IPO.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There have been no material changes outside the ordinary course of business to our contractual obligations during the six month period ended June 30, 2020, as compared to those disclosed in our Annual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Our condensed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and valuing share-based compensation, including the fair value of our common stock in periods before our IPO.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During the six months ended June 30, 2020, there were no material changes to our critical accounting policies reported in our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Securities and Exchange Commission.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See Note 2 to our unaudited condensed financial statements included elsewhere in this Quarterly Report for a discussion of recent accounting pronouncements that may impact our financial position and results of operations.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an emerging growth company, or EGC, under the Jumpstart Our Business Startups Act of 2012, or the JOBS Act, we are eligible to take advantage of certain exemptions from various reporting requirements that are applicable to other public companies that are not EGCs. We have elected to take advantage of the extended transition period for adopting new or revised accounting standards that have different effective dates for public and private companies until such time as those standards apply to private companies.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smaller reporting company, we are not required to provide the information requested by this Item.</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June 30, 2020.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 ended June 30,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as part of our ordinary course of business. We are not currently a party to any litigation or legal proceedings that, in the opinion of our management, are likely to have a material adverse effect on our business.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and in the “Risk Factors” section of our Annual Report together with all of the other information in this Quarterly Report, including our financial statements and the related notes and the information described in the section entitled “Management’s Discussion and Analysis of Financial Condition and Results of Operations,” before deciding whether to invest in our common stock. If any of the events described below actually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impacts of the COVID-19 pandemic could continue to adversely affect our business.</w:t>
      </w:r>
    </w:p>
    <w:p>
      <w:pPr>
        <w:spacing w:after="0" w:line="225"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March 2020, the World Health Organization declared the novel coronavirus disease 2019, or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While we are considered an essential business under applicable regulations and continue to operate, the impacts of COVID-19 have placed significant strain on our clinical trial sites, raised concerns around monitoring patient safety, and caused enrollment to slow in the Phase 2 portion of the ongoing Phase 1/2 monotherapy clinical trial of our lead product candidate, NC318. We are continuing to work closely with our clinical partners and take steps to adjust our protocols and timelines due to the impact of the COVID-19 pandemic. Specifically, initial data from the Phase 2 portion of our ongoing Phase 1/2 clinical trial of NC318 was temporarily delayed, and we have temporarily delayed the initiation of our Phase 2 clinical trial to evaluate NC318 in combination with standard of care chemotherapies. In addition, we delayed until July 2020 initiation of the Phase 1 portion of our Phase 1/2 clinical trial of NC410 despite being prepared to begin the trial in March 2020. The impacts of the COVID-19 pandemic could adversely affect our clinical trials and operations in other ways as well. For example, challenges may arise as a result of patients, members of the clinical team, or our employees becoming infected with COVID-19 or otherwise unable or unwilling to participate in trials or come to work, as applicable, as a result of COVID-19, interruptions to the supply chain or manufacturing, site closures, or difficulties in meeting protocol-specified procedures, including difficulties adhering to protocol-mandated visits and testing. The COVID-19 pandemic may also increase the likelihood and severity of other risks discussed in the “Risk Factors” section of our Annual Report and this Quarterly Report, including but not limited to risks related to the conduct, progress and outcomes of clinical trials, risks related to reliance on third parties, risks related to our operations and dependence on key personnel, and risks related to our need to obtain additional capital.</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COVID-19 pandemic and its impacts continue to evolve. We cannot predict the scope and severity of disruptions resulting from COVID-19 or their impacts on us, but business disruptions for us or the third parties with whom we engage, including the collaborators, contract organizations, third-party manufacturers, suppliers, clinical trial sites, regulators and other third parties with whom we conduct business could materially and negatively impact our ability to conduct our business in the manner and on the timelines presently planned. The extent to which the COVID-19 pandemic may impact our business and financial performance will depend on future developments, which are highly uncertain and cannot be predicted with confidence, including the scope and duration of the pandemic and the extent and effectiveness of government restrictions, relief measures and other actions implemented to address the impact of the pandemic, and resulting economic impacts.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or our collaborators encounter difficulties enrolling patients in our clinical trials, as we have in the Phase 2 portion of our ongoing Phase 1/2 clinical trial, our clinical development activities could be delayed or otherwise be adversely affected.</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For example, we have experienced a slowdown of enrollment in the Phase 2 portion of our ongoing Phase 1/2 clinical trial of NC318 as a result of the COVID-19 pandemic. Delays from difficulties in patient enrollment in a clinical trial may result in increased costs or affect the timing, outcome or completion of the trial, which could delay or prevent our receipt of regulatory approval the applicable product candidate or to abandon the trial altogether.</w:t>
      </w:r>
    </w:p>
    <w:p>
      <w:pPr>
        <w:spacing w:after="0" w:line="177" w:lineRule="exact"/>
        <w:rPr>
          <w:sz w:val="20"/>
          <w:szCs w:val="20"/>
          <w:color w:val="auto"/>
        </w:rPr>
      </w:pPr>
    </w:p>
    <w:p>
      <w:pPr>
        <w:ind w:left="60" w:right="239"/>
        <w:spacing w:after="0" w:line="308" w:lineRule="auto"/>
        <w:rPr>
          <w:sz w:val="20"/>
          <w:szCs w:val="20"/>
          <w:color w:val="auto"/>
        </w:rPr>
      </w:pPr>
      <w:r>
        <w:rPr>
          <w:rFonts w:ascii="Arial" w:cs="Arial" w:eastAsia="Arial" w:hAnsi="Arial"/>
          <w:sz w:val="17"/>
          <w:szCs w:val="17"/>
          <w:b w:val="1"/>
          <w:bCs w:val="1"/>
          <w:i w:val="1"/>
          <w:iCs w:val="1"/>
          <w:color w:val="auto"/>
        </w:rPr>
        <w:t>We depend on third-party suppliers for key materials used in our manufacturing processes, and the loss of these third-party suppliers or their inability to supply us with adequate materials could harm our business.</w:t>
      </w:r>
    </w:p>
    <w:p>
      <w:pPr>
        <w:spacing w:after="0" w:line="14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In addition, COVID-19 has disrupted global supply chains, including pharmaceutical and medical supply chains. We cannot be certain that our suppliers will continue to provide us with the quantities of the raw materials that we require or satisfy our anticipated specifications and quality requirements whether due to our size, COVID-19, or otherwise.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00" w:lineRule="exact"/>
        <w:rPr>
          <w:sz w:val="20"/>
          <w:szCs w:val="20"/>
          <w:color w:val="auto"/>
        </w:rPr>
      </w:pPr>
    </w:p>
    <w:p>
      <w:pPr>
        <w:spacing w:after="0" w:line="20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Recently announced interim results regarding our NC318 monotherapy Phase 1/2 clinical trial may adversely impact our product development efforts.</w:t>
      </w:r>
    </w:p>
    <w:p>
      <w:pPr>
        <w:spacing w:after="0" w:line="170"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In July 2020, we announced that based on the current enrollment criteria and clinical response data, at this time we do not currently plan to advance the NSCLC and ovarian cancer cohorts of our NC318 Phase 1/2 monotherapy clinical trial into the stage 2 portion of the Simon 2-stage trial. At this time, we have not established the reason for the absence of responses in these cohorts, including whether it may relate to patient selection criteria, such as whether the patients in these cohorts have tumors that express high levels of S15, or whether NC318 is not active in these tumor types. We have announced that we expect to evaluate whether to pursue continued study of NC318 as a monotherapy in NSCLC and ovarian cancer after an analysis of biomarker data from the ongoing trial, the review of which has been delayed and is not yet complete. There is no assurance as to when or whether biomarker data will become available, and continued delays could impact our development efforts. As we evaluate additional biomarker data, we may also determine that it is appropriate to refine the patient selection criteria to expressly include markers for S15 expression. While we continue to work with collaborators to identify a reliable biomarker for S15 expression that can be readily used for a patient selection assay, there is no assurance that we will be successful in doing so.</w:t>
      </w:r>
    </w:p>
    <w:p>
      <w:pPr>
        <w:spacing w:after="0" w:line="179"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developments in our monotherapy trial could adversely impact our ability to enroll patients, increase the costs and lengthen the timeline for this trial, and impair our ability to gain regulatory approval for and commercialize NC318. Furthermore, as a result of the delay in obtaining biomarker data, we may make decisions about pursuing particular tumor types based on incomplete facts, resulting in decisions to either pursue indications that we should not pursue, or to not pursue indications that we should pursue. In addition, our former chief medical officer resigned effective August 4, 2020, and the developments in our trial could adversely impact our search for a qualified successor; his departure could disrupt our development efforts for NC318 and our other product candidates. Any of these developments could also damage our reputation or investor confidence in our company, disrupt our broader research and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development, impact our ability to raise capital, or hinder our ability to execute our strategic plans, which could have a material adverse effect on our business, financial condition, operating results and prospects.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r>
        <w:rPr>
          <w:rFonts w:ascii="Arial" w:cs="Arial" w:eastAsia="Arial" w:hAnsi="Arial"/>
          <w:sz w:val="18"/>
          <w:szCs w:val="18"/>
          <w:color w:val="auto"/>
        </w:rPr>
        <w: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exhibits filed or furnished as part of this Quarterly Report are set forth on the Exhibit Index, below.</w:t>
      </w: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7520" w:type="dxa"/>
            <w:vAlign w:val="bottom"/>
            <w:gridSpan w:val="14"/>
          </w:tcPr>
          <w:p>
            <w:pPr>
              <w:spacing w:after="0"/>
              <w:rPr>
                <w:sz w:val="20"/>
                <w:szCs w:val="20"/>
                <w:color w:val="auto"/>
              </w:rPr>
            </w:pPr>
            <w:r>
              <w:rPr>
                <w:rFonts w:ascii="Arial" w:cs="Arial" w:eastAsia="Arial" w:hAnsi="Arial"/>
                <w:sz w:val="18"/>
                <w:szCs w:val="18"/>
                <w:color w:val="auto"/>
              </w:rPr>
              <w:t>Exhibit Description</w:t>
            </w:r>
          </w:p>
        </w:tc>
      </w:tr>
      <w:tr>
        <w:trPr>
          <w:trHeight w:val="385"/>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080" w:type="dxa"/>
            <w:vAlign w:val="bottom"/>
            <w:tcBorders>
              <w:top w:val="single" w:sz="8" w:color="auto"/>
              <w:bottom w:val="single" w:sz="8" w:color="0000EE"/>
            </w:tcBorders>
            <w:gridSpan w:val="7"/>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Employment Agreement, effective as of July 27, 2020, by and between the Company and Michael</w:t>
              </w:r>
            </w:hyperlink>
          </w:p>
        </w:tc>
        <w:tc>
          <w:tcPr>
            <w:tcW w:w="440" w:type="dxa"/>
            <w:vAlign w:val="bottom"/>
            <w:tcBorders>
              <w:top w:val="single" w:sz="8" w:color="auto"/>
            </w:tcBorders>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14"/>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Richman (incorporated by reference to Exhibit 10.1 filed with the Company’s Current Report on Form</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8-K filed with the Commission on July 31, 2020).</w:t>
              </w:r>
            </w:hyperlink>
          </w:p>
        </w:tc>
        <w:tc>
          <w:tcPr>
            <w:tcW w:w="3780" w:type="dxa"/>
            <w:vAlign w:val="bottom"/>
            <w:tcBorders>
              <w:top w:val="single" w:sz="8" w:color="0000EE"/>
            </w:tcBorders>
            <w:gridSpan w:val="9"/>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7520" w:type="dxa"/>
            <w:vAlign w:val="bottom"/>
            <w:gridSpan w:val="14"/>
          </w:tcPr>
          <w:p>
            <w:pPr>
              <w:spacing w:after="0"/>
              <w:rPr>
                <w:rFonts w:ascii="Arial" w:cs="Arial" w:eastAsia="Arial" w:hAnsi="Arial"/>
                <w:sz w:val="18"/>
                <w:szCs w:val="18"/>
                <w:color w:val="0000EE"/>
                <w:w w:val="94"/>
              </w:rPr>
            </w:pPr>
            <w:hyperlink r:id="rId48">
              <w:r>
                <w:rPr>
                  <w:rFonts w:ascii="Arial" w:cs="Arial" w:eastAsia="Arial" w:hAnsi="Arial"/>
                  <w:sz w:val="18"/>
                  <w:szCs w:val="18"/>
                  <w:color w:val="0000EE"/>
                  <w:w w:val="94"/>
                </w:rPr>
                <w:t>Employment Agreement, effective as of July 27, 2020, by and between the Company and Steven P.</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14"/>
          </w:tcPr>
          <w:p>
            <w:pPr>
              <w:spacing w:after="0" w:line="196" w:lineRule="exact"/>
              <w:rPr>
                <w:rFonts w:ascii="Arial" w:cs="Arial" w:eastAsia="Arial" w:hAnsi="Arial"/>
                <w:sz w:val="18"/>
                <w:szCs w:val="18"/>
                <w:color w:val="0000EE"/>
                <w:w w:val="93"/>
              </w:rPr>
            </w:pPr>
            <w:hyperlink r:id="rId48">
              <w:r>
                <w:rPr>
                  <w:rFonts w:ascii="Arial" w:cs="Arial" w:eastAsia="Arial" w:hAnsi="Arial"/>
                  <w:sz w:val="18"/>
                  <w:szCs w:val="18"/>
                  <w:color w:val="0000EE"/>
                  <w:w w:val="93"/>
                </w:rPr>
                <w:t>Cobourn (incorporated by reference to Exhibit 10.2 filed with the Company’s Current Report on Form</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8-K filed with the Commission on July 31, 2020).</w:t>
              </w:r>
            </w:hyperlink>
          </w:p>
        </w:tc>
        <w:tc>
          <w:tcPr>
            <w:tcW w:w="3760" w:type="dxa"/>
            <w:vAlign w:val="bottom"/>
            <w:tcBorders>
              <w:top w:val="single" w:sz="8" w:color="0000EE"/>
            </w:tcBorders>
            <w:gridSpan w:val="8"/>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7140" w:type="dxa"/>
            <w:vAlign w:val="bottom"/>
            <w:tcBorders>
              <w:bottom w:val="single" w:sz="8" w:color="0000EE"/>
            </w:tcBorders>
            <w:gridSpan w:val="8"/>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Employment Agreement, effective as of July 27, 2020, by and between the Company and Solomon</w:t>
              </w:r>
            </w:hyperlink>
          </w:p>
        </w:tc>
        <w:tc>
          <w:tcPr>
            <w:tcW w:w="380" w:type="dxa"/>
            <w:vAlign w:val="bottom"/>
            <w:gridSpan w:val="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14"/>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Langermann, Ph.D. (incorporated by reference to Exhibit 10.3 filed with the Company’s Current Report</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on Form 8-K filed with the Commission on July 31, 2020).</w:t>
              </w:r>
            </w:hyperlink>
          </w:p>
        </w:tc>
        <w:tc>
          <w:tcPr>
            <w:tcW w:w="3220" w:type="dxa"/>
            <w:vAlign w:val="bottom"/>
            <w:tcBorders>
              <w:top w:val="single" w:sz="8" w:color="0000EE"/>
            </w:tcBorders>
            <w:gridSpan w:val="10"/>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7520" w:type="dxa"/>
            <w:vAlign w:val="bottom"/>
            <w:gridSpan w:val="14"/>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Consulting Agreement, effective as of August 4, 2020, by and between the Company and Kevin Heller,</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M.D.</w:t>
              </w:r>
            </w:hyperlink>
          </w:p>
        </w:tc>
        <w:tc>
          <w:tcPr>
            <w:tcW w:w="80" w:type="dxa"/>
            <w:vAlign w:val="bottom"/>
            <w:gridSpan w:val="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520" w:type="dxa"/>
            <w:vAlign w:val="bottom"/>
            <w:gridSpan w:val="14"/>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Certification of Michael Richman pursuant to Rule 13a-14(a) under the Securities Exchange Act of</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1934 as adopted pursuant to Section 302 of the Sarbanes-Oxley Act of 2002.</w:t>
              </w:r>
            </w:hyperlink>
          </w:p>
        </w:tc>
        <w:tc>
          <w:tcPr>
            <w:tcW w:w="380" w:type="dxa"/>
            <w:vAlign w:val="bottom"/>
            <w:gridSpan w:val="6"/>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2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Certification of Steven P. Cobourn pursuant to Rule 13a-14(a) under the Securities Exchange Act of</w:t>
              </w:r>
            </w:hyperlink>
          </w:p>
        </w:tc>
        <w:tc>
          <w:tcPr>
            <w:tcW w:w="320" w:type="dxa"/>
            <w:vAlign w:val="bottom"/>
            <w:gridSpan w:val="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1934 as adopted pursuant to 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69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Certification of Michael Richman and Steven P. Cobourn pursuant to 18 U.S.C. Section 1350 as</w:t>
              </w:r>
            </w:hyperlink>
          </w:p>
        </w:tc>
        <w:tc>
          <w:tcPr>
            <w:tcW w:w="600" w:type="dxa"/>
            <w:vAlign w:val="bottom"/>
            <w:gridSpan w:val="8"/>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adopted pursuant to Section 906 of the Sarbanes-Oxley Act of 2002.</w:t>
              </w:r>
            </w:hyperlink>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EX-101.INS</w:t>
            </w:r>
          </w:p>
        </w:tc>
        <w:tc>
          <w:tcPr>
            <w:tcW w:w="49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2600" w:type="dxa"/>
            <w:vAlign w:val="bottom"/>
            <w:gridSpan w:val="10"/>
          </w:tcPr>
          <w:p>
            <w:pPr>
              <w:spacing w:after="0"/>
              <w:rPr>
                <w:sz w:val="24"/>
                <w:szCs w:val="24"/>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EX-101.SCH</w:t>
            </w:r>
          </w:p>
        </w:tc>
        <w:tc>
          <w:tcPr>
            <w:tcW w:w="752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EX-101.CAL</w:t>
            </w:r>
          </w:p>
        </w:tc>
        <w:tc>
          <w:tcPr>
            <w:tcW w:w="752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EX-101.DEF</w:t>
            </w:r>
          </w:p>
        </w:tc>
        <w:tc>
          <w:tcPr>
            <w:tcW w:w="752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EX-101.LAB</w:t>
            </w:r>
          </w:p>
        </w:tc>
        <w:tc>
          <w:tcPr>
            <w:tcW w:w="752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EX-101.PRE</w:t>
            </w:r>
          </w:p>
        </w:tc>
        <w:tc>
          <w:tcPr>
            <w:tcW w:w="752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960" w:type="dxa"/>
            <w:vAlign w:val="bottom"/>
            <w:gridSpan w:val="2"/>
          </w:tcPr>
          <w:p>
            <w:pPr>
              <w:ind w:left="1560"/>
              <w:spacing w:after="0"/>
              <w:rPr>
                <w:sz w:val="20"/>
                <w:szCs w:val="20"/>
                <w:color w:val="auto"/>
              </w:rPr>
            </w:pPr>
            <w:r>
              <w:rPr>
                <w:rFonts w:ascii="Arial" w:cs="Arial" w:eastAsia="Arial" w:hAnsi="Arial"/>
                <w:sz w:val="18"/>
                <w:szCs w:val="18"/>
                <w:b w:val="1"/>
                <w:bCs w:val="1"/>
                <w:color w:val="auto"/>
              </w:rPr>
              <w:t>NEXTCURE, INC.</w:t>
            </w:r>
          </w:p>
        </w:tc>
      </w:tr>
      <w:tr>
        <w:trPr>
          <w:trHeight w:val="432"/>
        </w:trPr>
        <w:tc>
          <w:tcPr>
            <w:tcW w:w="2960" w:type="dxa"/>
            <w:vAlign w:val="bottom"/>
          </w:tcPr>
          <w:p>
            <w:pPr>
              <w:ind w:left="20"/>
              <w:spacing w:after="0"/>
              <w:rPr>
                <w:sz w:val="20"/>
                <w:szCs w:val="20"/>
                <w:color w:val="auto"/>
              </w:rPr>
            </w:pPr>
            <w:r>
              <w:rPr>
                <w:rFonts w:ascii="Arial" w:cs="Arial" w:eastAsia="Arial" w:hAnsi="Arial"/>
                <w:sz w:val="18"/>
                <w:szCs w:val="18"/>
                <w:color w:val="auto"/>
              </w:rPr>
              <w:t>Date: August 6, 2020</w:t>
            </w:r>
          </w:p>
        </w:tc>
        <w:tc>
          <w:tcPr>
            <w:tcW w:w="2040" w:type="dxa"/>
            <w:vAlign w:val="bottom"/>
          </w:tcPr>
          <w:p>
            <w:pPr>
              <w:ind w:left="15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r>
      <w:tr>
        <w:trPr>
          <w:trHeight w:val="195"/>
        </w:trPr>
        <w:tc>
          <w:tcPr>
            <w:tcW w:w="2960" w:type="dxa"/>
            <w:vAlign w:val="bottom"/>
          </w:tcPr>
          <w:p>
            <w:pPr>
              <w:spacing w:after="0"/>
              <w:rPr>
                <w:sz w:val="16"/>
                <w:szCs w:val="16"/>
                <w:color w:val="auto"/>
              </w:rPr>
            </w:pPr>
          </w:p>
        </w:tc>
        <w:tc>
          <w:tcPr>
            <w:tcW w:w="5960" w:type="dxa"/>
            <w:vAlign w:val="bottom"/>
            <w:gridSpan w:val="2"/>
          </w:tcPr>
          <w:p>
            <w:pPr>
              <w:ind w:left="1560"/>
              <w:spacing w:after="0" w:line="195" w:lineRule="exact"/>
              <w:rPr>
                <w:sz w:val="20"/>
                <w:szCs w:val="20"/>
                <w:color w:val="auto"/>
              </w:rPr>
            </w:pPr>
            <w:r>
              <w:rPr>
                <w:rFonts w:ascii="Arial" w:cs="Arial" w:eastAsia="Arial" w:hAnsi="Arial"/>
                <w:sz w:val="18"/>
                <w:szCs w:val="18"/>
                <w:color w:val="auto"/>
              </w:rPr>
              <w:t>Name:Michael Richman</w:t>
            </w:r>
          </w:p>
        </w:tc>
      </w:tr>
      <w:tr>
        <w:trPr>
          <w:trHeight w:val="230"/>
        </w:trPr>
        <w:tc>
          <w:tcPr>
            <w:tcW w:w="2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2960" w:type="dxa"/>
            <w:vAlign w:val="bottom"/>
          </w:tcPr>
          <w:p>
            <w:pPr>
              <w:ind w:left="20"/>
              <w:spacing w:after="0"/>
              <w:rPr>
                <w:sz w:val="20"/>
                <w:szCs w:val="20"/>
                <w:color w:val="auto"/>
              </w:rPr>
            </w:pPr>
            <w:r>
              <w:rPr>
                <w:rFonts w:ascii="Arial" w:cs="Arial" w:eastAsia="Arial" w:hAnsi="Arial"/>
                <w:sz w:val="18"/>
                <w:szCs w:val="18"/>
                <w:color w:val="auto"/>
              </w:rPr>
              <w:t>Date: August 6, 2020</w:t>
            </w:r>
          </w:p>
        </w:tc>
        <w:tc>
          <w:tcPr>
            <w:tcW w:w="2040" w:type="dxa"/>
            <w:vAlign w:val="bottom"/>
          </w:tcPr>
          <w:p>
            <w:pPr>
              <w:ind w:left="15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 Cobourn</w:t>
            </w:r>
          </w:p>
        </w:tc>
      </w:tr>
      <w:tr>
        <w:trPr>
          <w:trHeight w:val="195"/>
        </w:trPr>
        <w:tc>
          <w:tcPr>
            <w:tcW w:w="2960" w:type="dxa"/>
            <w:vAlign w:val="bottom"/>
          </w:tcPr>
          <w:p>
            <w:pPr>
              <w:spacing w:after="0"/>
              <w:rPr>
                <w:sz w:val="16"/>
                <w:szCs w:val="16"/>
                <w:color w:val="auto"/>
              </w:rPr>
            </w:pPr>
          </w:p>
        </w:tc>
        <w:tc>
          <w:tcPr>
            <w:tcW w:w="5960" w:type="dxa"/>
            <w:vAlign w:val="bottom"/>
            <w:gridSpan w:val="2"/>
          </w:tcPr>
          <w:p>
            <w:pPr>
              <w:ind w:left="1560"/>
              <w:spacing w:after="0" w:line="195" w:lineRule="exact"/>
              <w:rPr>
                <w:sz w:val="20"/>
                <w:szCs w:val="20"/>
                <w:color w:val="auto"/>
              </w:rPr>
            </w:pPr>
            <w:r>
              <w:rPr>
                <w:rFonts w:ascii="Arial" w:cs="Arial" w:eastAsia="Arial" w:hAnsi="Arial"/>
                <w:sz w:val="18"/>
                <w:szCs w:val="18"/>
                <w:color w:val="auto"/>
              </w:rPr>
              <w:t>Name:Steven P. Cobourn</w:t>
            </w:r>
          </w:p>
        </w:tc>
      </w:tr>
      <w:tr>
        <w:trPr>
          <w:trHeight w:val="230"/>
        </w:trPr>
        <w:tc>
          <w:tcPr>
            <w:tcW w:w="2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2960" w:type="dxa"/>
            <w:vAlign w:val="bottom"/>
          </w:tcPr>
          <w:p>
            <w:pPr>
              <w:spacing w:after="0"/>
              <w:rPr>
                <w:sz w:val="24"/>
                <w:szCs w:val="24"/>
                <w:color w:val="auto"/>
              </w:rPr>
            </w:pPr>
          </w:p>
        </w:tc>
        <w:tc>
          <w:tcPr>
            <w:tcW w:w="2040" w:type="dxa"/>
            <w:vAlign w:val="bottom"/>
          </w:tcPr>
          <w:p>
            <w:pPr>
              <w:ind w:left="1420"/>
              <w:spacing w:after="0"/>
              <w:rPr>
                <w:sz w:val="20"/>
                <w:szCs w:val="20"/>
                <w:color w:val="auto"/>
              </w:rPr>
            </w:pPr>
            <w:r>
              <w:rPr>
                <w:rFonts w:ascii="Arial" w:cs="Arial" w:eastAsia="Arial" w:hAnsi="Arial"/>
                <w:sz w:val="18"/>
                <w:szCs w:val="18"/>
                <w:color w:val="auto"/>
              </w:rPr>
              <w:t>26</w:t>
            </w:r>
          </w:p>
        </w:tc>
        <w:tc>
          <w:tcPr>
            <w:tcW w:w="3920" w:type="dxa"/>
            <w:vAlign w:val="bottom"/>
          </w:tcPr>
          <w:p>
            <w:pPr>
              <w:spacing w:after="0"/>
              <w:rPr>
                <w:sz w:val="24"/>
                <w:szCs w:val="24"/>
                <w:color w:val="auto"/>
              </w:rPr>
            </w:pPr>
          </w:p>
        </w:tc>
      </w:tr>
      <w:tr>
        <w:trPr>
          <w:trHeight w:val="560"/>
        </w:trPr>
        <w:tc>
          <w:tcPr>
            <w:tcW w:w="2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21"/>
          <w:szCs w:val="21"/>
          <w:b w:val="1"/>
          <w:bCs w:val="1"/>
          <w:color w:val="auto"/>
        </w:rPr>
        <w:t>Exhibit 10.4</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CONSULTING AGREEMENT</w:t>
      </w:r>
    </w:p>
    <w:p>
      <w:pPr>
        <w:spacing w:after="0" w:line="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1"/>
          <w:szCs w:val="21"/>
          <w:color w:val="auto"/>
        </w:rPr>
        <w:t>This Consulting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effective as of August 4, 2020 (the “</w:t>
      </w:r>
      <w:r>
        <w:rPr>
          <w:rFonts w:ascii="Arial" w:cs="Arial" w:eastAsia="Arial" w:hAnsi="Arial"/>
          <w:sz w:val="21"/>
          <w:szCs w:val="21"/>
          <w:b w:val="1"/>
          <w:bCs w:val="1"/>
          <w:color w:val="auto"/>
        </w:rPr>
        <w:t>Effective Date</w:t>
      </w:r>
      <w:r>
        <w:rPr>
          <w:rFonts w:ascii="Arial" w:cs="Arial" w:eastAsia="Arial" w:hAnsi="Arial"/>
          <w:sz w:val="21"/>
          <w:szCs w:val="21"/>
          <w:color w:val="auto"/>
        </w:rPr>
        <w:t>”), by and between NextCure, Inc., a Delaware corporation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and Kevin Heller, M.D., a resident of the State of Maryland </w:t>
      </w:r>
      <w:r>
        <w:rPr>
          <w:rFonts w:ascii="Arial" w:cs="Arial" w:eastAsia="Arial" w:hAnsi="Arial"/>
          <w:sz w:val="21"/>
          <w:szCs w:val="21"/>
          <w:b w:val="1"/>
          <w:bCs w:val="1"/>
          <w:color w:val="auto"/>
        </w:rPr>
        <w:t>(</w:t>
      </w:r>
      <w:r>
        <w:rPr>
          <w:rFonts w:ascii="Arial" w:cs="Arial" w:eastAsia="Arial" w:hAnsi="Arial"/>
          <w:sz w:val="21"/>
          <w:szCs w:val="21"/>
          <w:color w:val="auto"/>
        </w:rPr>
        <w:t>“</w:t>
      </w:r>
      <w:r>
        <w:rPr>
          <w:rFonts w:ascii="Arial" w:cs="Arial" w:eastAsia="Arial" w:hAnsi="Arial"/>
          <w:sz w:val="21"/>
          <w:szCs w:val="21"/>
          <w:b w:val="1"/>
          <w:bCs w:val="1"/>
          <w:color w:val="auto"/>
        </w:rPr>
        <w:t>Consultant</w:t>
      </w:r>
      <w:r>
        <w:rPr>
          <w:rFonts w:ascii="Arial" w:cs="Arial" w:eastAsia="Arial" w:hAnsi="Arial"/>
          <w:sz w:val="21"/>
          <w:szCs w:val="21"/>
          <w:color w:val="auto"/>
        </w:rPr>
        <w:t>”).</w:t>
      </w:r>
    </w:p>
    <w:p>
      <w:pPr>
        <w:spacing w:after="0" w:line="10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1"/>
          <w:szCs w:val="21"/>
          <w:color w:val="auto"/>
        </w:rPr>
        <w:t xml:space="preserve">WHEREAS, Consultant is willing to provide to Company, on the terms and conditions hereof, the consulting services described in </w:t>
      </w:r>
      <w:r>
        <w:rPr>
          <w:rFonts w:ascii="Arial" w:cs="Arial" w:eastAsia="Arial" w:hAnsi="Arial"/>
          <w:sz w:val="21"/>
          <w:szCs w:val="21"/>
          <w:u w:val="single" w:color="auto"/>
          <w:color w:val="auto"/>
        </w:rPr>
        <w:t>Attachment A</w:t>
      </w:r>
      <w:r>
        <w:rPr>
          <w:rFonts w:ascii="Arial" w:cs="Arial" w:eastAsia="Arial" w:hAnsi="Arial"/>
          <w:sz w:val="21"/>
          <w:szCs w:val="21"/>
          <w:color w:val="auto"/>
        </w:rPr>
        <w:t xml:space="preserve"> (the “</w:t>
      </w:r>
      <w:r>
        <w:rPr>
          <w:rFonts w:ascii="Arial" w:cs="Arial" w:eastAsia="Arial" w:hAnsi="Arial"/>
          <w:sz w:val="21"/>
          <w:szCs w:val="21"/>
          <w:b w:val="1"/>
          <w:bCs w:val="1"/>
          <w:color w:val="auto"/>
        </w:rPr>
        <w:t>Services</w:t>
      </w:r>
      <w:r>
        <w:rPr>
          <w:rFonts w:ascii="Arial" w:cs="Arial" w:eastAsia="Arial" w:hAnsi="Arial"/>
          <w:sz w:val="21"/>
          <w:szCs w:val="21"/>
          <w:color w:val="auto"/>
        </w:rPr>
        <w:t>”).</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Company desires to have the Services provided by Consultant on the terms and conditions hereof.</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Therefore, the parties agree as follows:</w:t>
      </w:r>
    </w:p>
    <w:p>
      <w:pPr>
        <w:spacing w:after="0" w:line="69" w:lineRule="exact"/>
        <w:rPr>
          <w:sz w:val="20"/>
          <w:szCs w:val="20"/>
          <w:color w:val="auto"/>
        </w:rPr>
      </w:pPr>
    </w:p>
    <w:p>
      <w:pPr>
        <w:jc w:val="both"/>
        <w:ind w:firstLine="656"/>
        <w:spacing w:after="0" w:line="249" w:lineRule="auto"/>
        <w:tabs>
          <w:tab w:leader="none" w:pos="1375"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Description of Services</w:t>
      </w:r>
      <w:r>
        <w:rPr>
          <w:rFonts w:ascii="Arial" w:cs="Arial" w:eastAsia="Arial" w:hAnsi="Arial"/>
          <w:sz w:val="21"/>
          <w:szCs w:val="21"/>
          <w:color w:val="auto"/>
        </w:rPr>
        <w:t>. During the term of this Agreement, as defined in Section 2 below, Consultant shall (a) provide the Services at such locations and facilities as may be chosen by Consultant, (b) devote his reasonable best efforts to the performance of the Services, and (c) perform the Services in accordance with all applicable laws, rules and regulations of all relevant jurisdictions.</w:t>
      </w:r>
    </w:p>
    <w:p>
      <w:pPr>
        <w:spacing w:after="0" w:line="64" w:lineRule="exact"/>
        <w:rPr>
          <w:rFonts w:ascii="Arial" w:cs="Arial" w:eastAsia="Arial" w:hAnsi="Arial"/>
          <w:sz w:val="21"/>
          <w:szCs w:val="21"/>
          <w:color w:val="auto"/>
        </w:rPr>
      </w:pPr>
    </w:p>
    <w:p>
      <w:pPr>
        <w:jc w:val="both"/>
        <w:ind w:firstLine="656"/>
        <w:spacing w:after="0" w:line="246" w:lineRule="auto"/>
        <w:tabs>
          <w:tab w:leader="none" w:pos="1550"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shall commence on the Effective Date and terminate upon the earliest of (a) ninety (90) days’ prior written notice of termination from Company to Consultant (which may be given at any time and for any or no reason), as of the date set forth in such notice, (b) ninety (90) days’ prior written notice of termination from Consultant to Company (which may be given at any time and for any reason), as of the date set forth in such notice, and (c) July 30, 2021. Sections 4, 5, 6, 7, 10, 14, 15 and 16 of this Agreement shall survive the termination of this Agreement.</w:t>
      </w:r>
    </w:p>
    <w:p>
      <w:pPr>
        <w:spacing w:after="0" w:line="40" w:lineRule="exact"/>
        <w:rPr>
          <w:rFonts w:ascii="Arial" w:cs="Arial" w:eastAsia="Arial" w:hAnsi="Arial"/>
          <w:sz w:val="21"/>
          <w:szCs w:val="21"/>
          <w:color w:val="auto"/>
        </w:rPr>
      </w:pPr>
    </w:p>
    <w:p>
      <w:pPr>
        <w:jc w:val="both"/>
        <w:ind w:firstLine="656"/>
        <w:spacing w:after="0" w:line="260" w:lineRule="auto"/>
        <w:tabs>
          <w:tab w:leader="none" w:pos="1496"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 xml:space="preserve">. Company shall pay Consultant a consulting fee, and provide other consideration, in accordance with the terms specified in </w:t>
      </w:r>
      <w:r>
        <w:rPr>
          <w:rFonts w:ascii="Arial" w:cs="Arial" w:eastAsia="Arial" w:hAnsi="Arial"/>
          <w:sz w:val="20"/>
          <w:szCs w:val="20"/>
          <w:u w:val="single" w:color="auto"/>
          <w:color w:val="auto"/>
        </w:rPr>
        <w:t>Attachment B</w:t>
      </w:r>
      <w:r>
        <w:rPr>
          <w:rFonts w:ascii="Arial" w:cs="Arial" w:eastAsia="Arial" w:hAnsi="Arial"/>
          <w:sz w:val="20"/>
          <w:szCs w:val="20"/>
          <w:color w:val="auto"/>
        </w:rPr>
        <w:t xml:space="preserve"> for Services that have been performed in accordance with the terms of this Agreement. Any reasonable out-of-pocket costs or expenses of Consultant incurred in the performance of the Services shall be reimbursed by Company within 30 days of a request for reimbursement accompanied by appropriate supporting documentation, provided that any single expense in an amount exceeding $500 must be pre-approved in writing by Company.</w:t>
      </w:r>
    </w:p>
    <w:p>
      <w:pPr>
        <w:spacing w:after="0" w:line="57" w:lineRule="exact"/>
        <w:rPr>
          <w:rFonts w:ascii="Arial" w:cs="Arial" w:eastAsia="Arial" w:hAnsi="Arial"/>
          <w:sz w:val="20"/>
          <w:szCs w:val="20"/>
          <w:color w:val="auto"/>
        </w:rPr>
      </w:pPr>
    </w:p>
    <w:p>
      <w:pPr>
        <w:ind w:left="1320" w:hanging="664"/>
        <w:spacing w:after="0"/>
        <w:tabs>
          <w:tab w:leader="none" w:pos="1320"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Ownership of Ideas, Copyrights and Patents</w:t>
      </w:r>
      <w:r>
        <w:rPr>
          <w:rFonts w:ascii="Arial" w:cs="Arial" w:eastAsia="Arial" w:hAnsi="Arial"/>
          <w:sz w:val="21"/>
          <w:szCs w:val="21"/>
          <w:color w:val="auto"/>
        </w:rPr>
        <w:t>.</w:t>
      </w:r>
    </w:p>
    <w:p>
      <w:pPr>
        <w:spacing w:after="0" w:line="82" w:lineRule="exact"/>
        <w:rPr>
          <w:rFonts w:ascii="Arial" w:cs="Arial" w:eastAsia="Arial" w:hAnsi="Arial"/>
          <w:sz w:val="21"/>
          <w:szCs w:val="21"/>
          <w:color w:val="auto"/>
        </w:rPr>
      </w:pPr>
    </w:p>
    <w:p>
      <w:pPr>
        <w:jc w:val="both"/>
        <w:ind w:firstLine="1304"/>
        <w:spacing w:after="0" w:line="246" w:lineRule="auto"/>
        <w:tabs>
          <w:tab w:leader="none" w:pos="2144" w:val="left"/>
        </w:tabs>
        <w:numPr>
          <w:ilvl w:val="1"/>
          <w:numId w:val="8"/>
        </w:numPr>
        <w:rPr>
          <w:rFonts w:ascii="Arial" w:cs="Arial" w:eastAsia="Arial" w:hAnsi="Arial"/>
          <w:sz w:val="21"/>
          <w:szCs w:val="21"/>
          <w:color w:val="auto"/>
        </w:rPr>
      </w:pPr>
      <w:r>
        <w:rPr>
          <w:rFonts w:ascii="Arial" w:cs="Arial" w:eastAsia="Arial" w:hAnsi="Arial"/>
          <w:sz w:val="21"/>
          <w:szCs w:val="21"/>
          <w:color w:val="auto"/>
        </w:rPr>
        <w:t>Consultant agrees that all data, know-how, inventions, designs, developments, techniques, materials, software and laboratory notebooks, in each case developed or improved by Consultant, whether or not reduced to practice and whether patentable, copyrightable or not, whether at the request or upon the suggestion of Company, or otherwise, which Consultant conceives, reduces to practice, or develops, alone or with others, during performance of the Services (all of the foregoing being hereinafter referred to as the “</w:t>
      </w:r>
      <w:r>
        <w:rPr>
          <w:rFonts w:ascii="Arial" w:cs="Arial" w:eastAsia="Arial" w:hAnsi="Arial"/>
          <w:sz w:val="21"/>
          <w:szCs w:val="21"/>
          <w:b w:val="1"/>
          <w:bCs w:val="1"/>
          <w:color w:val="auto"/>
        </w:rPr>
        <w:t>Inventions</w:t>
      </w:r>
      <w:r>
        <w:rPr>
          <w:rFonts w:ascii="Arial" w:cs="Arial" w:eastAsia="Arial" w:hAnsi="Arial"/>
          <w:sz w:val="21"/>
          <w:szCs w:val="21"/>
          <w:color w:val="auto"/>
        </w:rPr>
        <w:t>”), shall be the sole and exclusive property of Company.</w:t>
      </w:r>
    </w:p>
    <w:p>
      <w:pPr>
        <w:spacing w:after="0" w:line="80" w:lineRule="exact"/>
        <w:rPr>
          <w:rFonts w:ascii="Arial" w:cs="Arial" w:eastAsia="Arial" w:hAnsi="Arial"/>
          <w:sz w:val="21"/>
          <w:szCs w:val="21"/>
          <w:color w:val="auto"/>
        </w:rPr>
      </w:pPr>
    </w:p>
    <w:p>
      <w:pPr>
        <w:ind w:firstLine="1304"/>
        <w:spacing w:after="0" w:line="264" w:lineRule="auto"/>
        <w:tabs>
          <w:tab w:leader="none" w:pos="1985" w:val="left"/>
        </w:tabs>
        <w:numPr>
          <w:ilvl w:val="1"/>
          <w:numId w:val="8"/>
        </w:numPr>
        <w:rPr>
          <w:rFonts w:ascii="Arial" w:cs="Arial" w:eastAsia="Arial" w:hAnsi="Arial"/>
          <w:sz w:val="21"/>
          <w:szCs w:val="21"/>
          <w:color w:val="auto"/>
        </w:rPr>
      </w:pPr>
      <w:r>
        <w:rPr>
          <w:rFonts w:ascii="Arial" w:cs="Arial" w:eastAsia="Arial" w:hAnsi="Arial"/>
          <w:sz w:val="21"/>
          <w:szCs w:val="21"/>
          <w:color w:val="auto"/>
        </w:rPr>
        <w:t>Consultant hereby assigns to Company all right, title and interest that Consultant may have in and to all of the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631190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29" w:name="page30"/>
    <w:bookmarkEnd w:id="29"/>
    <w:p>
      <w:pPr>
        <w:ind w:right="20" w:firstLine="1239"/>
        <w:spacing w:after="0" w:line="264" w:lineRule="auto"/>
        <w:tabs>
          <w:tab w:leader="none" w:pos="1954" w:val="left"/>
        </w:tabs>
        <w:numPr>
          <w:ilvl w:val="1"/>
          <w:numId w:val="9"/>
        </w:numPr>
        <w:rPr>
          <w:rFonts w:ascii="Arial" w:cs="Arial" w:eastAsia="Arial" w:hAnsi="Arial"/>
          <w:sz w:val="21"/>
          <w:szCs w:val="21"/>
          <w:color w:val="auto"/>
        </w:rPr>
      </w:pPr>
      <w:r>
        <w:rPr>
          <w:rFonts w:ascii="Arial" w:cs="Arial" w:eastAsia="Arial" w:hAnsi="Arial"/>
          <w:sz w:val="21"/>
          <w:szCs w:val="21"/>
          <w:color w:val="auto"/>
        </w:rPr>
        <w:t>Consultant represents that neither the Services nor any of the Inventions will violate or infringe upon any patent, copyright, or trademark or violate any other rights of any person or entity.</w:t>
      </w:r>
    </w:p>
    <w:p>
      <w:pPr>
        <w:spacing w:after="0" w:line="49" w:lineRule="exact"/>
        <w:rPr>
          <w:rFonts w:ascii="Arial" w:cs="Arial" w:eastAsia="Arial" w:hAnsi="Arial"/>
          <w:sz w:val="21"/>
          <w:szCs w:val="21"/>
          <w:color w:val="auto"/>
        </w:rPr>
      </w:pPr>
    </w:p>
    <w:p>
      <w:pPr>
        <w:jc w:val="both"/>
        <w:ind w:firstLine="1239"/>
        <w:spacing w:after="0" w:line="273" w:lineRule="auto"/>
        <w:tabs>
          <w:tab w:leader="none" w:pos="2356" w:val="left"/>
        </w:tabs>
        <w:numPr>
          <w:ilvl w:val="1"/>
          <w:numId w:val="9"/>
        </w:numPr>
        <w:rPr>
          <w:rFonts w:ascii="Arial" w:cs="Arial" w:eastAsia="Arial" w:hAnsi="Arial"/>
          <w:sz w:val="19"/>
          <w:szCs w:val="19"/>
          <w:color w:val="auto"/>
        </w:rPr>
      </w:pPr>
      <w:r>
        <w:rPr>
          <w:rFonts w:ascii="Arial" w:cs="Arial" w:eastAsia="Arial" w:hAnsi="Arial"/>
          <w:sz w:val="19"/>
          <w:szCs w:val="19"/>
          <w:color w:val="auto"/>
        </w:rPr>
        <w:t>Consultant hereby agrees to cooperate with Company, its attorneys and agents, in the preparation, execution and filing of all papers and other documents as may be requested or required by Company to evidence or perfect Company’s rights in and to any such Inventions, including, but not limited to, joining in any proceeding to obtain letters patents, copyrights, trademarks or other legal rights in the United States and in any and all other countries with regard to such Inventions. Company will bear the expense of such proceedings. Any patent or other legal right so issued to Consultant, personally, shall be assigned by Consultant to Company without charge by Consultant. Consultant hereby designates the Company as Consultant’s agent, and grants to Company a limited power of attorney with full power of substitution, which limited power of attorney shall be deemed coupled with an interest, for the sole purpose of effecting the foregoing assignments from Consultant to Company.</w:t>
      </w:r>
    </w:p>
    <w:p>
      <w:pPr>
        <w:spacing w:after="0" w:line="31" w:lineRule="exact"/>
        <w:rPr>
          <w:rFonts w:ascii="Arial" w:cs="Arial" w:eastAsia="Arial" w:hAnsi="Arial"/>
          <w:sz w:val="19"/>
          <w:szCs w:val="19"/>
          <w:color w:val="auto"/>
        </w:rPr>
      </w:pPr>
    </w:p>
    <w:p>
      <w:pPr>
        <w:jc w:val="both"/>
        <w:ind w:firstLine="656"/>
        <w:spacing w:after="0" w:line="271" w:lineRule="auto"/>
        <w:tabs>
          <w:tab w:leader="none" w:pos="1701"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Consultant acknowledges that Company possesses and will possess Confidential Information that is important to Company’s business, that unauthorized disclosure of Confidential Information will damage Company’s business, and that Company’s business is substantially dependent on the continuing secrecy of its Confidential Information. For purposes of this Agreement,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includes, but is not limited to, all information and data in whatever form disclosed (whether oral or in eye-readable or machine-readable format, and whether disclosed to Consultant directly, indirectly, intentionally or inadvertently by Company, any such other company, any agent, representative, or employee of any of the foregoing entities, or by any third party) concerning the business, financial condition, operations, assets, trade secrets, inventions, know-how, ideas, procedures, formulations, compounds, biologics, developmental or experimental work, clinical or other programs, and plans for research and development of Company. Confidential Information also includes any written work product or deliverables provided by Consultant to Company pursuant to this Agreement. Notwithstanding the foregoing, Confidential Information does not include information Consultant can demonstrate by competent evidence:</w:t>
      </w:r>
    </w:p>
    <w:p>
      <w:pPr>
        <w:spacing w:after="0" w:line="64" w:lineRule="exact"/>
        <w:rPr>
          <w:sz w:val="20"/>
          <w:szCs w:val="20"/>
          <w:color w:val="auto"/>
        </w:rPr>
      </w:pPr>
    </w:p>
    <w:p>
      <w:pPr>
        <w:ind w:left="1040" w:hanging="384"/>
        <w:spacing w:after="0" w:line="264" w:lineRule="auto"/>
        <w:tabs>
          <w:tab w:leader="none" w:pos="11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is in the public domain by use and/or publication at the time of his receipt from or on behalf of Company or thereafter enters into the public domain through no fault of Consultant;</w:t>
      </w:r>
    </w:p>
    <w:p>
      <w:pPr>
        <w:spacing w:after="0" w:line="49" w:lineRule="exact"/>
        <w:rPr>
          <w:rFonts w:ascii="Arial" w:cs="Arial" w:eastAsia="Arial" w:hAnsi="Arial"/>
          <w:sz w:val="21"/>
          <w:szCs w:val="21"/>
          <w:color w:val="auto"/>
        </w:rPr>
      </w:pPr>
    </w:p>
    <w:p>
      <w:pPr>
        <w:ind w:left="1080" w:hanging="424"/>
        <w:spacing w:after="0"/>
        <w:tabs>
          <w:tab w:leader="none" w:pos="10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was already in Consultant’s possession prior to receipt from or on behalf of Company; or</w:t>
      </w:r>
    </w:p>
    <w:p>
      <w:pPr>
        <w:spacing w:after="0" w:line="96" w:lineRule="exact"/>
        <w:rPr>
          <w:rFonts w:ascii="Arial" w:cs="Arial" w:eastAsia="Arial" w:hAnsi="Arial"/>
          <w:sz w:val="21"/>
          <w:szCs w:val="21"/>
          <w:color w:val="auto"/>
        </w:rPr>
      </w:pPr>
    </w:p>
    <w:p>
      <w:pPr>
        <w:ind w:left="1040" w:hanging="384"/>
        <w:spacing w:after="0" w:line="289" w:lineRule="auto"/>
        <w:tabs>
          <w:tab w:leader="none" w:pos="1199" w:val="left"/>
        </w:tabs>
        <w:numPr>
          <w:ilvl w:val="0"/>
          <w:numId w:val="11"/>
        </w:numPr>
        <w:rPr>
          <w:rFonts w:ascii="Arial" w:cs="Arial" w:eastAsia="Arial" w:hAnsi="Arial"/>
          <w:sz w:val="20"/>
          <w:szCs w:val="20"/>
          <w:color w:val="auto"/>
        </w:rPr>
      </w:pPr>
      <w:r>
        <w:rPr>
          <w:rFonts w:ascii="Arial" w:cs="Arial" w:eastAsia="Arial" w:hAnsi="Arial"/>
          <w:sz w:val="20"/>
          <w:szCs w:val="20"/>
          <w:color w:val="auto"/>
        </w:rPr>
        <w:t>is properly obtained by Consultant from a third party with a valid right to disclose such Confidential Information and such third party is not under a confidentiality obligation to Company.</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Consultant shall maintain in strict confidence and shall not, without the prior written consent of Company, (i) use, except in the course of performance of the Services for Company, disclose or give to others any Confidential Information, or (ii) make any copies of Confidential Information, except when appropriate for performance of the Services or the furtherance of the business of Company. Consultant shall, promptly upon request, whether during or after the term of this Agreement, return to Company any and all written, documentary, machine-readable or other elements or evidence of Confidential Information, and any copies of Confidential Information that may be in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83" w:right="999" w:bottom="1440" w:gutter="0" w:footer="0" w:header="0"/>
        </w:sectPr>
      </w:pPr>
    </w:p>
    <w:bookmarkStart w:id="30" w:name="page31"/>
    <w:bookmarkEnd w:id="30"/>
    <w:p>
      <w:pPr>
        <w:spacing w:after="0" w:line="264" w:lineRule="auto"/>
        <w:rPr>
          <w:sz w:val="20"/>
          <w:szCs w:val="20"/>
          <w:color w:val="auto"/>
        </w:rPr>
      </w:pPr>
      <w:r>
        <w:rPr>
          <w:rFonts w:ascii="Arial" w:cs="Arial" w:eastAsia="Arial" w:hAnsi="Arial"/>
          <w:sz w:val="21"/>
          <w:szCs w:val="21"/>
          <w:color w:val="auto"/>
        </w:rPr>
        <w:t>possession or under Consultant’s control, and upon request shall certify to Company the return of all such Confidential Information.</w:t>
      </w:r>
    </w:p>
    <w:p>
      <w:pPr>
        <w:spacing w:after="0" w:line="286" w:lineRule="exact"/>
        <w:rPr>
          <w:sz w:val="20"/>
          <w:szCs w:val="20"/>
          <w:color w:val="auto"/>
        </w:rPr>
      </w:pPr>
    </w:p>
    <w:p>
      <w:pPr>
        <w:jc w:val="both"/>
        <w:ind w:firstLine="656"/>
        <w:spacing w:after="0" w:line="273" w:lineRule="auto"/>
        <w:tabs>
          <w:tab w:leader="none" w:pos="1417"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Independent Contractor</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Consultant is an independent contractor and is not an agent or employee of Company. Consultant is not authorized to act on Company’s behalf, and shall not suggest or imply to any third party that Consultant has any authority to represent Company. Nothing contained in this Agreement shall be construed to imply a joint venture, partnership or employer/employee relationship between the parties. Company shall make no deductions from any payments due to Consultant for state or federal tax purposes, including social security, income tax withholding, disability and other payroll tax requirements. All such withholdings, taxes, liabilities and contributions shall be solely Consultant’s responsibility. If at any time during the term of this Agreement the Consultant deems there to be a potential conflict of interest in Consultant’s performance of the Services, Consultant will immediately notify the Company and defer continued performance of the Services unless both Consultant and Company agree that no conflict would ensue or agree in writing to waive such conflict.</w:t>
      </w:r>
    </w:p>
    <w:p>
      <w:pPr>
        <w:spacing w:after="0" w:line="45" w:lineRule="exact"/>
        <w:rPr>
          <w:rFonts w:ascii="Arial" w:cs="Arial" w:eastAsia="Arial" w:hAnsi="Arial"/>
          <w:sz w:val="19"/>
          <w:szCs w:val="19"/>
          <w:color w:val="auto"/>
        </w:rPr>
      </w:pPr>
    </w:p>
    <w:p>
      <w:pPr>
        <w:jc w:val="both"/>
        <w:ind w:firstLine="656"/>
        <w:spacing w:after="0" w:line="252" w:lineRule="auto"/>
        <w:tabs>
          <w:tab w:leader="none" w:pos="1296"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Conflicts</w:t>
      </w:r>
      <w:r>
        <w:rPr>
          <w:rFonts w:ascii="Arial" w:cs="Arial" w:eastAsia="Arial" w:hAnsi="Arial"/>
          <w:sz w:val="21"/>
          <w:szCs w:val="21"/>
          <w:color w:val="auto"/>
        </w:rPr>
        <w:t>. Consultant represents that his service as a consultant to Company and his performance of the Services and all of the terms of this Agreement do not and will not violate any other legal obligation or any agreement to which he is or shall become a party.</w:t>
      </w:r>
    </w:p>
    <w:p>
      <w:pPr>
        <w:spacing w:after="0" w:line="62" w:lineRule="exact"/>
        <w:rPr>
          <w:rFonts w:ascii="Arial" w:cs="Arial" w:eastAsia="Arial" w:hAnsi="Arial"/>
          <w:sz w:val="21"/>
          <w:szCs w:val="21"/>
          <w:color w:val="auto"/>
        </w:rPr>
      </w:pPr>
    </w:p>
    <w:p>
      <w:pPr>
        <w:jc w:val="both"/>
        <w:ind w:firstLine="656"/>
        <w:spacing w:after="0" w:line="252" w:lineRule="auto"/>
        <w:tabs>
          <w:tab w:leader="none" w:pos="1404"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including by electronic (PDF) transmission, each of which shall be deemed an original, but all of which together shall constitute one and the same instrument.</w:t>
      </w:r>
    </w:p>
    <w:p>
      <w:pPr>
        <w:spacing w:after="0" w:line="62" w:lineRule="exact"/>
        <w:rPr>
          <w:rFonts w:ascii="Arial" w:cs="Arial" w:eastAsia="Arial" w:hAnsi="Arial"/>
          <w:sz w:val="21"/>
          <w:szCs w:val="21"/>
          <w:color w:val="auto"/>
        </w:rPr>
      </w:pPr>
    </w:p>
    <w:p>
      <w:pPr>
        <w:jc w:val="both"/>
        <w:ind w:firstLine="656"/>
        <w:spacing w:after="0" w:line="249" w:lineRule="auto"/>
        <w:tabs>
          <w:tab w:leader="none" w:pos="1363"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contains the entire agreement of the parties and there are no other promises or conditions in any other agreement between the parties, whether oral or written, concerning the subject matter hereof. This Agreement supersedes any prior written or oral agreements between the parties concerning the subject matter hereof.</w:t>
      </w:r>
    </w:p>
    <w:p>
      <w:pPr>
        <w:spacing w:after="0" w:line="64" w:lineRule="exact"/>
        <w:rPr>
          <w:rFonts w:ascii="Arial" w:cs="Arial" w:eastAsia="Arial" w:hAnsi="Arial"/>
          <w:sz w:val="21"/>
          <w:szCs w:val="21"/>
          <w:color w:val="auto"/>
        </w:rPr>
      </w:pPr>
    </w:p>
    <w:p>
      <w:pPr>
        <w:jc w:val="both"/>
        <w:ind w:firstLine="656"/>
        <w:spacing w:after="0" w:line="258" w:lineRule="auto"/>
        <w:tabs>
          <w:tab w:leader="none" w:pos="1363"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the laws of the State of Maryland. Each party hereby consents to the jurisdiction and venue of the state and federal courts located in the State of Maryland, USA, in connection with the enforcement of this Agreement and each party’s rights hereunder. Consultant acknowledges that the injury that would be suffered by Company as a result of a breach of Sections 4 or 5 of this Agreement would be irreparable and that an award of monetary damages to Company for such a breach would be an inadequate remedy. Consequently, Company will have the right, in addition to any other rights it may have, to obtain injunctive relief to restrain any breach or threatened breach of such provisions, and Company will not be required to prove actual damages or to post any security in seeking such relief.</w:t>
      </w:r>
    </w:p>
    <w:p>
      <w:pPr>
        <w:spacing w:after="0" w:line="60" w:lineRule="exact"/>
        <w:rPr>
          <w:rFonts w:ascii="Arial" w:cs="Arial" w:eastAsia="Arial" w:hAnsi="Arial"/>
          <w:sz w:val="20"/>
          <w:szCs w:val="20"/>
          <w:color w:val="auto"/>
        </w:rPr>
      </w:pPr>
    </w:p>
    <w:p>
      <w:pPr>
        <w:jc w:val="both"/>
        <w:ind w:firstLine="656"/>
        <w:spacing w:after="0" w:line="252" w:lineRule="auto"/>
        <w:tabs>
          <w:tab w:leader="none" w:pos="1423"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Company may assign its rights and obligations hereunder; provided that the successor assumes this Agreement and all of Company’s obligations hereunder. Consultant may not assign any of his rights or obligations hereunder.</w:t>
      </w:r>
    </w:p>
    <w:p>
      <w:pPr>
        <w:spacing w:after="0" w:line="62" w:lineRule="exact"/>
        <w:rPr>
          <w:rFonts w:ascii="Arial" w:cs="Arial" w:eastAsia="Arial" w:hAnsi="Arial"/>
          <w:sz w:val="21"/>
          <w:szCs w:val="21"/>
          <w:color w:val="auto"/>
        </w:rPr>
      </w:pPr>
    </w:p>
    <w:p>
      <w:pPr>
        <w:jc w:val="both"/>
        <w:ind w:firstLine="656"/>
        <w:spacing w:after="0" w:line="279" w:lineRule="auto"/>
        <w:tabs>
          <w:tab w:leader="none" w:pos="1336"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or communications to be given under this Agreement shall be in writing and shall be deemed duly given if sent by prepaid registered or certified mail, return receipt requested, or by prepaid overnight courier service, to Company’s headquarters to the attention of the Company’s Chief Executive Officer (for Company), and to the personal residence of Consultant on file with the human resources department of Company (for Consultant). Regardless, either party may send notice by email address against confirmed receipt of such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950595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31" w:name="page32"/>
    <w:bookmarkEnd w:id="31"/>
    <w:p>
      <w:pPr>
        <w:jc w:val="both"/>
        <w:ind w:left="-460" w:firstLine="656"/>
        <w:spacing w:after="0" w:line="259" w:lineRule="auto"/>
        <w:tabs>
          <w:tab w:leader="none" w:pos="1065"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Amendment; Waiver</w:t>
      </w:r>
      <w:r>
        <w:rPr>
          <w:rFonts w:ascii="Arial" w:cs="Arial" w:eastAsia="Arial" w:hAnsi="Arial"/>
          <w:sz w:val="20"/>
          <w:szCs w:val="20"/>
          <w:color w:val="auto"/>
        </w:rPr>
        <w:t>. No amendment, alteration or modification of any of the provisions of this Agreement shall be valid or effective unless made in writing and signed by the duly authorized representatives of the parties hereto. No waiver of any provision of this Agreement shall be valid or effective unless made in writing and signed by a duly authorized representative of the party to be bound by such waiver. Failure of a party to exercise any right to enforce any provision, or to require strict performance by the other party of any provision, shall not release any party of its obligations under this Agreement and shall not operate as a waiver of any right to insist upon strict performance, or of any party’s rights or remedies under this Agreement or at law.</w:t>
      </w:r>
    </w:p>
    <w:p>
      <w:pPr>
        <w:spacing w:after="0" w:line="71" w:lineRule="exact"/>
        <w:rPr>
          <w:rFonts w:ascii="Arial" w:cs="Arial" w:eastAsia="Arial" w:hAnsi="Arial"/>
          <w:sz w:val="20"/>
          <w:szCs w:val="20"/>
          <w:color w:val="auto"/>
        </w:rPr>
      </w:pPr>
    </w:p>
    <w:p>
      <w:pPr>
        <w:jc w:val="both"/>
        <w:ind w:left="-460" w:firstLine="656"/>
        <w:spacing w:after="0" w:line="265" w:lineRule="auto"/>
        <w:tabs>
          <w:tab w:leader="none" w:pos="903"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Invalidity</w:t>
      </w:r>
      <w:r>
        <w:rPr>
          <w:rFonts w:ascii="Arial" w:cs="Arial" w:eastAsia="Arial" w:hAnsi="Arial"/>
          <w:sz w:val="20"/>
          <w:szCs w:val="20"/>
          <w:color w:val="auto"/>
        </w:rPr>
        <w:t>. If any provision of this Agreement is held invalid by any law, rule, order, or regulation of any government or by the final determination of any court of competent jurisdiction, such invalidity shall not affect the enforceability of any other provisions and such provisions shall be interpreted so as to best accomplish the objectives of such invalid provisions within the limits of applicable law or court decision.</w:t>
      </w:r>
    </w:p>
    <w:p>
      <w:pPr>
        <w:spacing w:after="0" w:line="50" w:lineRule="exact"/>
        <w:rPr>
          <w:rFonts w:ascii="Arial" w:cs="Arial" w:eastAsia="Arial" w:hAnsi="Arial"/>
          <w:sz w:val="20"/>
          <w:szCs w:val="20"/>
          <w:color w:val="auto"/>
        </w:rPr>
      </w:pPr>
    </w:p>
    <w:p>
      <w:pPr>
        <w:jc w:val="both"/>
        <w:ind w:left="-460" w:firstLine="656"/>
        <w:spacing w:after="0" w:line="275" w:lineRule="auto"/>
        <w:tabs>
          <w:tab w:leader="none" w:pos="971"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Limitation of Liability to Company</w:t>
      </w:r>
      <w:r>
        <w:rPr>
          <w:rFonts w:ascii="Arial" w:cs="Arial" w:eastAsia="Arial" w:hAnsi="Arial"/>
          <w:sz w:val="19"/>
          <w:szCs w:val="19"/>
          <w:color w:val="auto"/>
        </w:rPr>
        <w:t>. Notwithstanding any other provision of this Agreement, in no event shall Consultant be liable to Company for Company’s lost profits, or special, incidental, punitive or consequential damages (even if Consultant has been advised of the possibility of such damages). Furthermore, in no event shall Consultant’s liability to Company under any circumstances exceed the amount of compensation actually received by Consultant from Company under this Agreement as of a date certain. Further, Consultant will not be liable for delays or performance failures due to circumstances beyond Consultant’s control. The foregoing provisions of this Section 15 shall not apply, however, in the event of Consultant’s willful malfeasance or gross negligence.</w:t>
      </w:r>
    </w:p>
    <w:p>
      <w:pPr>
        <w:spacing w:after="0" w:line="43" w:lineRule="exact"/>
        <w:rPr>
          <w:rFonts w:ascii="Arial" w:cs="Arial" w:eastAsia="Arial" w:hAnsi="Arial"/>
          <w:sz w:val="19"/>
          <w:szCs w:val="19"/>
          <w:color w:val="auto"/>
        </w:rPr>
      </w:pPr>
    </w:p>
    <w:p>
      <w:pPr>
        <w:jc w:val="both"/>
        <w:ind w:left="-460" w:firstLine="656"/>
        <w:spacing w:after="0" w:line="275" w:lineRule="auto"/>
        <w:tabs>
          <w:tab w:leader="none" w:pos="917"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Indemnification of Consultant</w:t>
      </w:r>
      <w:r>
        <w:rPr>
          <w:rFonts w:ascii="Arial" w:cs="Arial" w:eastAsia="Arial" w:hAnsi="Arial"/>
          <w:sz w:val="19"/>
          <w:szCs w:val="19"/>
          <w:color w:val="auto"/>
        </w:rPr>
        <w:t>. Company shall indemnify, defend and hold Consultant harmless from and against any and all third party claims, liability, suits, losses, damages and judgments, joint or several, and shall pay all reasonable costs and expenses (including counsel’s fees and expenses) as they are incurred in connection with the investigation of, preparation for or defense of any pending or threatened claim or any action or proceeding arising therefrom, that Consultant incurs as a result of having performed services on behalf of Company; provided, however, that such indemnification and payment obligations shall not apply in the case of Consultant’s willful malfeasance, negligence or breach of any of the representations, warranties or obligations under this Agreement.</w:t>
      </w:r>
    </w:p>
    <w:p>
      <w:pPr>
        <w:spacing w:after="0" w:line="43" w:lineRule="exact"/>
        <w:rPr>
          <w:rFonts w:ascii="Arial" w:cs="Arial" w:eastAsia="Arial" w:hAnsi="Arial"/>
          <w:sz w:val="19"/>
          <w:szCs w:val="19"/>
          <w:color w:val="auto"/>
        </w:rPr>
      </w:pPr>
    </w:p>
    <w:p>
      <w:pPr>
        <w:jc w:val="both"/>
        <w:ind w:left="-460" w:firstLine="656"/>
        <w:spacing w:after="0" w:line="249" w:lineRule="auto"/>
        <w:tabs>
          <w:tab w:leader="none" w:pos="849"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Additional Covenant</w:t>
      </w:r>
      <w:r>
        <w:rPr>
          <w:rFonts w:ascii="Arial" w:cs="Arial" w:eastAsia="Arial" w:hAnsi="Arial"/>
          <w:sz w:val="21"/>
          <w:szCs w:val="21"/>
          <w:color w:val="auto"/>
        </w:rPr>
        <w:t xml:space="preserve">. The Parties covenant and agree that during the term of this Agreement, and for a one-year period following the termination of this Agreement, each shall refrain from making any defamatory, derogatory or other unfavorable statements regarding the other or, in the case of Consultant, Company’s business, officers, directors, employees and </w:t>
      </w:r>
      <w:r>
        <w:rPr>
          <w:rFonts w:ascii="Arial" w:cs="Arial" w:eastAsia="Arial" w:hAnsi="Arial"/>
          <w:sz w:val="19"/>
          <w:szCs w:val="19"/>
          <w:color w:val="auto"/>
        </w:rPr>
        <w:t>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623570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64" w:right="999" w:bottom="1440" w:gutter="0" w:footer="0" w:header="0"/>
        </w:sectPr>
      </w:pPr>
    </w:p>
    <w:bookmarkStart w:id="32" w:name="page33"/>
    <w:bookmarkEnd w:id="32"/>
    <w:p>
      <w:pPr>
        <w:ind w:firstLine="648"/>
        <w:spacing w:after="0" w:line="260" w:lineRule="auto"/>
        <w:rPr>
          <w:sz w:val="20"/>
          <w:szCs w:val="20"/>
          <w:color w:val="auto"/>
        </w:rPr>
      </w:pPr>
      <w:r>
        <w:rPr>
          <w:rFonts w:ascii="Arial" w:cs="Arial" w:eastAsia="Arial" w:hAnsi="Arial"/>
          <w:sz w:val="20"/>
          <w:szCs w:val="20"/>
          <w:color w:val="auto"/>
        </w:rPr>
        <w:t>IN WITNESS WHEREOF, the parties have duly executed this Consulting Agreement as of the day and year first set forth above.</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NEXTCURE, INC.</w:t>
            </w:r>
          </w:p>
        </w:tc>
        <w:tc>
          <w:tcPr>
            <w:tcW w:w="1980" w:type="dxa"/>
            <w:vAlign w:val="bottom"/>
          </w:tcPr>
          <w:p>
            <w:pPr>
              <w:spacing w:after="0"/>
              <w:rPr>
                <w:sz w:val="21"/>
                <w:szCs w:val="21"/>
                <w:color w:val="auto"/>
              </w:rPr>
            </w:pPr>
          </w:p>
        </w:tc>
      </w:tr>
      <w:tr>
        <w:trPr>
          <w:trHeight w:val="455"/>
        </w:trPr>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By: /s/ Michael Richman</w:t>
            </w:r>
          </w:p>
        </w:tc>
        <w:tc>
          <w:tcPr>
            <w:tcW w:w="1980" w:type="dxa"/>
            <w:vAlign w:val="bottom"/>
          </w:tcPr>
          <w:p>
            <w:pPr>
              <w:ind w:left="200"/>
              <w:spacing w:after="0"/>
              <w:rPr>
                <w:sz w:val="20"/>
                <w:szCs w:val="20"/>
                <w:color w:val="auto"/>
              </w:rPr>
            </w:pPr>
            <w:r>
              <w:rPr>
                <w:rFonts w:ascii="Arial" w:cs="Arial" w:eastAsia="Arial" w:hAnsi="Arial"/>
                <w:sz w:val="20"/>
                <w:szCs w:val="20"/>
                <w:color w:val="auto"/>
                <w:w w:val="93"/>
              </w:rPr>
              <w:t>/s/ Kevin Heller, M.D.</w:t>
            </w:r>
          </w:p>
        </w:tc>
      </w:tr>
      <w:tr>
        <w:trPr>
          <w:trHeight w:val="436"/>
        </w:trPr>
        <w:tc>
          <w:tcPr>
            <w:tcW w:w="4860" w:type="dxa"/>
            <w:vAlign w:val="bottom"/>
          </w:tcPr>
          <w:p>
            <w:pPr>
              <w:spacing w:after="0"/>
              <w:rPr>
                <w:sz w:val="20"/>
                <w:szCs w:val="20"/>
                <w:color w:val="auto"/>
              </w:rPr>
            </w:pPr>
            <w:r>
              <w:rPr>
                <w:rFonts w:ascii="Arial" w:cs="Arial" w:eastAsia="Arial" w:hAnsi="Arial"/>
                <w:sz w:val="20"/>
                <w:szCs w:val="20"/>
                <w:color w:val="auto"/>
              </w:rPr>
              <w:t>Michael Richman</w:t>
            </w:r>
          </w:p>
        </w:tc>
        <w:tc>
          <w:tcPr>
            <w:tcW w:w="1980" w:type="dxa"/>
            <w:vAlign w:val="bottom"/>
          </w:tcPr>
          <w:p>
            <w:pPr>
              <w:ind w:left="200"/>
              <w:spacing w:after="0"/>
              <w:rPr>
                <w:sz w:val="20"/>
                <w:szCs w:val="20"/>
                <w:color w:val="auto"/>
              </w:rPr>
            </w:pPr>
            <w:r>
              <w:rPr>
                <w:rFonts w:ascii="Arial" w:cs="Arial" w:eastAsia="Arial" w:hAnsi="Arial"/>
                <w:sz w:val="20"/>
                <w:szCs w:val="20"/>
                <w:color w:val="auto"/>
              </w:rPr>
              <w:t>Kevin Heller, M.D.</w:t>
            </w:r>
          </w:p>
        </w:tc>
      </w:t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Chief Executive Officer</w:t>
            </w:r>
          </w:p>
        </w:tc>
        <w:tc>
          <w:tcPr>
            <w:tcW w:w="19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5286375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474" w:right="1019" w:bottom="1440" w:gutter="0" w:footer="0" w:header="0"/>
        </w:sectPr>
      </w:pPr>
    </w:p>
    <w:bookmarkStart w:id="33" w:name="page34"/>
    <w:bookmarkEnd w:id="33"/>
    <w:p>
      <w:pPr>
        <w:ind w:left="4360"/>
        <w:spacing w:after="0"/>
        <w:rPr>
          <w:sz w:val="20"/>
          <w:szCs w:val="20"/>
          <w:color w:val="auto"/>
        </w:rPr>
      </w:pPr>
      <w:r>
        <w:rPr>
          <w:rFonts w:ascii="Arial" w:cs="Arial" w:eastAsia="Arial" w:hAnsi="Arial"/>
          <w:sz w:val="20"/>
          <w:szCs w:val="20"/>
          <w:b w:val="1"/>
          <w:bCs w:val="1"/>
          <w:u w:val="single" w:color="auto"/>
          <w:color w:val="auto"/>
        </w:rPr>
        <w:t>Attachment A</w:t>
      </w:r>
    </w:p>
    <w:p>
      <w:pPr>
        <w:spacing w:after="0" w:line="135" w:lineRule="exact"/>
        <w:rPr>
          <w:sz w:val="20"/>
          <w:szCs w:val="20"/>
          <w:color w:val="auto"/>
        </w:rPr>
      </w:pPr>
    </w:p>
    <w:p>
      <w:pPr>
        <w:ind w:left="4620"/>
        <w:spacing w:after="0"/>
        <w:rPr>
          <w:sz w:val="20"/>
          <w:szCs w:val="20"/>
          <w:color w:val="auto"/>
        </w:rPr>
      </w:pPr>
      <w:r>
        <w:rPr>
          <w:rFonts w:ascii="Arial" w:cs="Arial" w:eastAsia="Arial" w:hAnsi="Arial"/>
          <w:sz w:val="20"/>
          <w:szCs w:val="20"/>
          <w:b w:val="1"/>
          <w:bCs w:val="1"/>
          <w:u w:val="single" w:color="auto"/>
          <w:color w:val="auto"/>
        </w:rPr>
        <w:t>Services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Services to be provided by Consultant hereunder include the following:</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Strategic advice to the Company regarding the Company’s ongoing clinical trials for NC-318 and NC-410.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659130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346" w:right="1440" w:bottom="1440" w:gutter="0" w:footer="0" w:header="0"/>
        </w:sectPr>
      </w:pPr>
    </w:p>
    <w:bookmarkStart w:id="34" w:name="page35"/>
    <w:bookmarkEnd w:id="34"/>
    <w:p>
      <w:pPr>
        <w:ind w:left="4307"/>
        <w:spacing w:after="0"/>
        <w:rPr>
          <w:sz w:val="20"/>
          <w:szCs w:val="20"/>
          <w:color w:val="auto"/>
        </w:rPr>
      </w:pPr>
      <w:r>
        <w:rPr>
          <w:rFonts w:ascii="Arial" w:cs="Arial" w:eastAsia="Arial" w:hAnsi="Arial"/>
          <w:sz w:val="20"/>
          <w:szCs w:val="20"/>
          <w:b w:val="1"/>
          <w:bCs w:val="1"/>
          <w:u w:val="single" w:color="auto"/>
          <w:color w:val="auto"/>
        </w:rPr>
        <w:t>Attachment B</w:t>
      </w:r>
    </w:p>
    <w:p>
      <w:pPr>
        <w:spacing w:after="0" w:line="22" w:lineRule="exact"/>
        <w:rPr>
          <w:sz w:val="20"/>
          <w:szCs w:val="20"/>
          <w:color w:val="auto"/>
        </w:rPr>
      </w:pPr>
    </w:p>
    <w:p>
      <w:pPr>
        <w:ind w:left="4287"/>
        <w:spacing w:after="0"/>
        <w:rPr>
          <w:sz w:val="20"/>
          <w:szCs w:val="20"/>
          <w:color w:val="auto"/>
        </w:rPr>
      </w:pPr>
      <w:r>
        <w:rPr>
          <w:rFonts w:ascii="Arial" w:cs="Arial" w:eastAsia="Arial" w:hAnsi="Arial"/>
          <w:sz w:val="20"/>
          <w:szCs w:val="20"/>
          <w:b w:val="1"/>
          <w:bCs w:val="1"/>
          <w:u w:val="single" w:color="auto"/>
          <w:color w:val="auto"/>
        </w:rPr>
        <w:t>Consideration</w:t>
      </w:r>
    </w:p>
    <w:p>
      <w:pPr>
        <w:spacing w:after="0" w:line="348" w:lineRule="exact"/>
        <w:rPr>
          <w:sz w:val="20"/>
          <w:szCs w:val="20"/>
          <w:color w:val="auto"/>
        </w:rPr>
      </w:pPr>
    </w:p>
    <w:p>
      <w:pPr>
        <w:jc w:val="both"/>
        <w:ind w:left="7" w:hanging="7"/>
        <w:spacing w:after="0" w:line="260" w:lineRule="auto"/>
        <w:tabs>
          <w:tab w:leader="none" w:pos="622" w:val="left"/>
        </w:tabs>
        <w:numPr>
          <w:ilvl w:val="0"/>
          <w:numId w:val="14"/>
        </w:numPr>
        <w:rPr>
          <w:rFonts w:ascii="Arial" w:cs="Arial" w:eastAsia="Arial" w:hAnsi="Arial"/>
          <w:sz w:val="19"/>
          <w:szCs w:val="19"/>
          <w:color w:val="auto"/>
        </w:rPr>
      </w:pPr>
      <w:r>
        <w:rPr>
          <w:rFonts w:ascii="Arial" w:cs="Arial" w:eastAsia="Arial" w:hAnsi="Arial"/>
          <w:sz w:val="19"/>
          <w:szCs w:val="19"/>
          <w:color w:val="auto"/>
        </w:rPr>
        <w:t>Consultant shall retain possession of all outstanding stock options, whether vested or unvested, which he possesses on the last day of his employment with Company. All of Consultant’s unvested stock options shall continue to vest, pursuant to their original vesting terms, through the term of this Agreement, up through the termination of this Agreement. In addition, all of Consultant’s stock options which have vested as of the date of the termination of this Agreement will be exercisable until 90 days following the termination of this Agreement.</w:t>
      </w:r>
    </w:p>
    <w:p>
      <w:pPr>
        <w:spacing w:after="0" w:line="99" w:lineRule="exact"/>
        <w:rPr>
          <w:rFonts w:ascii="Arial" w:cs="Arial" w:eastAsia="Arial" w:hAnsi="Arial"/>
          <w:sz w:val="19"/>
          <w:szCs w:val="19"/>
          <w:color w:val="auto"/>
        </w:rPr>
      </w:pPr>
    </w:p>
    <w:p>
      <w:pPr>
        <w:ind w:left="547" w:hanging="547"/>
        <w:spacing w:after="0"/>
        <w:tabs>
          <w:tab w:leader="none" w:pos="547" w:val="left"/>
        </w:tabs>
        <w:numPr>
          <w:ilvl w:val="0"/>
          <w:numId w:val="14"/>
        </w:numPr>
        <w:rPr>
          <w:rFonts w:ascii="Arial" w:cs="Arial" w:eastAsia="Arial" w:hAnsi="Arial"/>
          <w:sz w:val="20"/>
          <w:szCs w:val="20"/>
          <w:color w:val="auto"/>
        </w:rPr>
      </w:pPr>
      <w:r>
        <w:rPr>
          <w:rFonts w:ascii="Arial" w:cs="Arial" w:eastAsia="Arial" w:hAnsi="Arial"/>
          <w:sz w:val="20"/>
          <w:szCs w:val="20"/>
          <w:color w:val="auto"/>
        </w:rPr>
        <w:t>Five thousand dollars ($5,000) per month for up to ten (10) hours of consulting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5085080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7"/>
          </w:cols>
          <w:pgMar w:left="1053" w:top="346"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Richman, certify that:</w:t>
      </w:r>
    </w:p>
    <w:p>
      <w:pPr>
        <w:spacing w:after="0" w:line="225"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40"/>
        <w:spacing w:after="0" w:line="311" w:lineRule="auto"/>
        <w:tabs>
          <w:tab w:leader="none" w:pos="1315"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80"/>
        <w:spacing w:after="0" w:line="263" w:lineRule="auto"/>
        <w:tabs>
          <w:tab w:leader="none" w:pos="13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spacing w:after="0" w:line="311" w:lineRule="auto"/>
        <w:tabs>
          <w:tab w:leader="none" w:pos="1315"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8"/>
        <w:spacing w:after="0" w:line="263"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 Cobourn, certify that:</w:t>
      </w:r>
    </w:p>
    <w:p>
      <w:pPr>
        <w:spacing w:after="0" w:line="225"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40"/>
        <w:spacing w:after="0" w:line="311" w:lineRule="auto"/>
        <w:tabs>
          <w:tab w:leader="none" w:pos="1315"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80"/>
        <w:spacing w:after="0" w:line="263" w:lineRule="auto"/>
        <w:tabs>
          <w:tab w:leader="none" w:pos="13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spacing w:after="0" w:line="311" w:lineRule="auto"/>
        <w:tabs>
          <w:tab w:leader="none" w:pos="1315"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8"/>
        <w:spacing w:after="0" w:line="263"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NextCure, Inc. (the “Company”) for the quarter ended June 30, 2020,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7" w:lineRule="exact"/>
        <w:rPr>
          <w:sz w:val="20"/>
          <w:szCs w:val="20"/>
          <w:color w:val="auto"/>
        </w:rPr>
      </w:pPr>
    </w:p>
    <w:p>
      <w:pPr>
        <w:ind w:left="1000" w:hanging="344"/>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60" w:hanging="324"/>
        <w:spacing w:after="0" w:line="277" w:lineRule="auto"/>
        <w:tabs>
          <w:tab w:leader="none" w:pos="10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1"/>
    </w:lvl>
    <w:lvl w:ilvl="1">
      <w:lvlJc w:val="left"/>
      <w:lvlText w:val="%2)"/>
      <w:numFmt w:val="lowerLetter"/>
      <w:start w:val="3"/>
    </w:lvl>
  </w:abstractNum>
  <w:abstractNum w:abstractNumId="9">
    <w:nsid w:val="109CF92E"/>
    <w:multiLevelType w:val="hybridMultilevel"/>
    <w:lvl w:ilvl="0">
      <w:lvlJc w:val="left"/>
      <w:lvlText w:val="%1."/>
      <w:numFmt w:val="decimal"/>
      <w:start w:val="5"/>
    </w:lvl>
    <w:lvl w:ilvl="1">
      <w:lvlJc w:val="left"/>
      <w:lvlText w:val="%2"/>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6"/>
    </w:lvl>
  </w:abstractNum>
  <w:abstractNum w:abstractNumId="12">
    <w:nsid w:val="1BEFD79F"/>
    <w:multiLevelType w:val="hybridMultilevel"/>
    <w:lvl w:ilvl="0">
      <w:lvlJc w:val="left"/>
      <w:lvlText w:val="%1."/>
      <w:numFmt w:val="decimal"/>
      <w:start w:val="13"/>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47" Type="http://schemas.openxmlformats.org/officeDocument/2006/relationships/hyperlink" Target="https://www.sec.gov/Archives/edgar/data/1661059/000110465920089093/tm2026202d1_ex10-1.htm" TargetMode="External"/><Relationship Id="rId48" Type="http://schemas.openxmlformats.org/officeDocument/2006/relationships/hyperlink" Target="https://www.sec.gov/Archives/edgar/data/1661059/000110465920089093/tm2026202d1_ex10-2.htm" TargetMode="External"/><Relationship Id="rId49" Type="http://schemas.openxmlformats.org/officeDocument/2006/relationships/hyperlink" Target="https://www.sec.gov/Archives/edgar/data/1661059/000110465920089093/tm2026202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2020-08-06T15:43:56Z</dcterms:created>
  <dcterms:modified xsi:type="dcterms:W3CDTF">2020-08-06T15:43:56Z</dcterms:modified>
</cp:coreProperties>
</file>