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125730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1" w:lineRule="exact"/>
        <w:rPr>
          <w:sz w:val="24"/>
          <w:szCs w:val="24"/>
          <w:color w:val="auto"/>
        </w:rPr>
      </w:pPr>
    </w:p>
    <w:p>
      <w:pPr>
        <w:ind w:left="640" w:hanging="403"/>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640" w:hanging="403"/>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5" w:right="839" w:bottom="1440" w:gutter="0" w:footer="0" w:header="0"/>
        </w:sectPr>
      </w:pPr>
    </w:p>
    <w:p>
      <w:pPr>
        <w:spacing w:after="0" w:line="235"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116840</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99060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79"/>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47-5231247</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tcPr>
          <w:p>
            <w:pPr>
              <w:spacing w:after="0"/>
              <w:rPr>
                <w:sz w:val="21"/>
                <w:szCs w:val="21"/>
                <w:color w:val="auto"/>
              </w:rPr>
            </w:pPr>
          </w:p>
        </w:tc>
      </w:tr>
      <w:tr>
        <w:trPr>
          <w:trHeight w:val="179"/>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20705</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71"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p>
      <w:pPr>
        <w:spacing w:after="0" w:line="108"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520" w:space="720"/>
            <w:col w:w="1980"/>
          </w:cols>
          <w:pgMar w:left="840" w:top="665" w:right="839" w:bottom="1440" w:gutter="0" w:footer="0" w:header="0"/>
          <w:type w:val="continuous"/>
        </w:sectPr>
      </w:pPr>
    </w:p>
    <w:p>
      <w:pPr>
        <w:ind w:right="20" w:firstLine="648"/>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August 3, 2022, the registrant had 27,748,844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918210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360" w:type="dxa"/>
            <w:vAlign w:val="bottom"/>
            <w:gridSpan w:val="9"/>
            <w:vMerge w:val="restart"/>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0000EE"/>
            </w:tcBorders>
            <w:gridSpan w:val="13"/>
            <w:vMerge w:val="continue"/>
          </w:tcPr>
          <w:p>
            <w:pPr>
              <w:spacing w:after="0"/>
              <w:rPr>
                <w:sz w:val="13"/>
                <w:szCs w:val="13"/>
                <w:color w:val="auto"/>
              </w:rPr>
            </w:pPr>
          </w:p>
        </w:tc>
        <w:tc>
          <w:tcPr>
            <w:tcW w:w="536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June 30, 2022 (unaudited) and December 31, 2021</w:t>
              </w:r>
            </w:hyperlink>
          </w:p>
        </w:tc>
        <w:tc>
          <w:tcPr>
            <w:tcW w:w="16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and Comprehensive Loss for the Three and Six Months</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June 30, 2022 and 2021</w:t>
              </w:r>
            </w:hyperlink>
          </w:p>
        </w:tc>
        <w:tc>
          <w:tcPr>
            <w:tcW w:w="5260" w:type="dxa"/>
            <w:vAlign w:val="bottom"/>
            <w:tcBorders>
              <w:top w:val="single" w:sz="8" w:color="0000EE"/>
            </w:tcBorders>
            <w:gridSpan w:val="9"/>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Statements of Stockholders’ Equity for the Six Months Ended June 30, 2022 and</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Cash Flows for the Six Months Ended June 30, 2022 and 2021</w:t>
              </w:r>
            </w:hyperlink>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Financial Statements</w:t>
              </w:r>
            </w:hyperlink>
          </w:p>
        </w:tc>
        <w:tc>
          <w:tcPr>
            <w:tcW w:w="38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7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3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SIGNATURES</w:t>
              </w:r>
            </w:hyperlink>
          </w:p>
        </w:tc>
        <w:tc>
          <w:tcPr>
            <w:tcW w:w="732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28,163</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157,329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207,254</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227,817</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13,992</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60" w:type="dxa"/>
            <w:vAlign w:val="bottom"/>
            <w:shd w:val="clear" w:color="auto" w:fill="CCEEFF"/>
          </w:tcPr>
          <w:p>
            <w:pPr>
              <w:spacing w:after="0"/>
              <w:rPr>
                <w:sz w:val="17"/>
                <w:szCs w:val="17"/>
                <w:color w:val="auto"/>
              </w:rPr>
            </w:pPr>
          </w:p>
        </w:tc>
      </w:tr>
      <w:tr>
        <w:trPr>
          <w:trHeight w:val="236"/>
        </w:trPr>
        <w:tc>
          <w:tcPr>
            <w:tcW w:w="6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206,370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Borders>
              <w:bottom w:val="single" w:sz="8" w:color="CCEEFF"/>
            </w:tcBorders>
          </w:tcPr>
          <w:p>
            <w:pPr>
              <w:spacing w:after="0"/>
              <w:rPr>
                <w:sz w:val="20"/>
                <w:szCs w:val="20"/>
                <w:color w:val="auto"/>
              </w:rPr>
            </w:pPr>
          </w:p>
        </w:tc>
      </w:tr>
      <w:tr>
        <w:trPr>
          <w:trHeight w:val="183"/>
        </w:trPr>
        <w:tc>
          <w:tcPr>
            <w:tcW w:w="660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4,449</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6,608</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net of current portion</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3"/>
        </w:trPr>
        <w:tc>
          <w:tcPr>
            <w:tcW w:w="6600" w:type="dxa"/>
            <w:vAlign w:val="bottom"/>
          </w:tcPr>
          <w:p>
            <w:pPr>
              <w:ind w:left="100"/>
              <w:spacing w:after="0"/>
              <w:rPr>
                <w:sz w:val="20"/>
                <w:szCs w:val="20"/>
                <w:color w:val="auto"/>
              </w:rPr>
            </w:pPr>
            <w:r>
              <w:rPr>
                <w:rFonts w:ascii="Arial" w:cs="Arial" w:eastAsia="Arial" w:hAnsi="Arial"/>
                <w:sz w:val="16"/>
                <w:szCs w:val="16"/>
                <w:color w:val="auto"/>
                <w:w w:val="92"/>
              </w:rPr>
              <w:t>Preferred stock, par value of $0.001 per share; 10,000,000 shares authorized at June 30, 2022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6600" w:type="dxa"/>
            <w:vAlign w:val="bottom"/>
          </w:tcPr>
          <w:p>
            <w:pPr>
              <w:ind w:left="100"/>
              <w:spacing w:after="0"/>
              <w:rPr>
                <w:sz w:val="20"/>
                <w:szCs w:val="20"/>
                <w:color w:val="auto"/>
              </w:rPr>
            </w:pPr>
            <w:r>
              <w:rPr>
                <w:rFonts w:ascii="Arial" w:cs="Arial" w:eastAsia="Arial" w:hAnsi="Arial"/>
                <w:sz w:val="16"/>
                <w:szCs w:val="16"/>
                <w:color w:val="auto"/>
                <w:w w:val="93"/>
              </w:rPr>
              <w:t>December 31, 2021; No shares issued and outstanding at June 30, 2022 and December 31, 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96"/>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par value of $0.001 per share; 100,000,000 shares authorized at June 30, 2022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December 31, 2021; 27,748,844 and 27,680,997 shares issued and outstanding at June 30, 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December 31, 2021,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426,056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421,047</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(225,548)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(187,026)</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233,386</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206,370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65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12,825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27,849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Weighted-average shares outstanding -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27,744,762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27,610,398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27,726,864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27,603,948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left="117"/>
              <w:spacing w:after="0"/>
              <w:rPr>
                <w:sz w:val="20"/>
                <w:szCs w:val="20"/>
                <w:color w:val="auto"/>
              </w:rPr>
            </w:pPr>
            <w:r>
              <w:rPr>
                <w:rFonts w:ascii="Arial" w:cs="Arial" w:eastAsia="Arial" w:hAnsi="Arial"/>
                <w:sz w:val="13"/>
                <w:szCs w:val="13"/>
                <w:b w:val="1"/>
                <w:bCs w:val="1"/>
                <w:color w:val="auto"/>
                <w:w w:val="86"/>
              </w:rPr>
              <w:t>Six Months Ended June 30, 2022</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left="117"/>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2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Accumulated Other</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306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86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2021</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27,680,997</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421,047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(187,026)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233,386</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2,628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2,628</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44,165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(1,536)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(1,536)</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(20,602)</w:t>
            </w:r>
          </w:p>
        </w:tc>
      </w:tr>
      <w:tr>
        <w:trPr>
          <w:trHeight w:val="16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2022</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27,725,162</w:t>
            </w:r>
          </w:p>
        </w:tc>
        <w:tc>
          <w:tcPr>
            <w:tcW w:w="10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423,735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(2,199)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(207,628)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213,936</w:t>
            </w:r>
          </w:p>
        </w:tc>
      </w:tr>
      <w:tr>
        <w:trPr>
          <w:trHeight w:val="116"/>
        </w:trPr>
        <w:tc>
          <w:tcPr>
            <w:tcW w:w="306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2,242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2,242</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6,255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shares under ESPP</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17,427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(17,920)</w:t>
            </w:r>
          </w:p>
        </w:tc>
      </w:tr>
      <w:tr>
        <w:trPr>
          <w:trHeight w:val="128"/>
        </w:trPr>
        <w:tc>
          <w:tcPr>
            <w:tcW w:w="3060" w:type="dxa"/>
            <w:vAlign w:val="bottom"/>
          </w:tcPr>
          <w:p>
            <w:pPr>
              <w:spacing w:after="0" w:line="129" w:lineRule="exact"/>
              <w:rPr>
                <w:sz w:val="20"/>
                <w:szCs w:val="20"/>
                <w:color w:val="auto"/>
              </w:rPr>
            </w:pPr>
            <w:r>
              <w:rPr>
                <w:rFonts w:ascii="Arial" w:cs="Arial" w:eastAsia="Arial" w:hAnsi="Arial"/>
                <w:sz w:val="13"/>
                <w:szCs w:val="13"/>
                <w:color w:val="auto"/>
              </w:rPr>
              <w:t>Balance as of June 30, 2022</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27,748,844</w:t>
            </w:r>
          </w:p>
        </w:tc>
        <w:tc>
          <w:tcPr>
            <w:tcW w:w="1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426,056</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(2,340)</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(225,548)</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198,196</w:t>
            </w: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5"/>
        </w:trPr>
        <w:tc>
          <w:tcPr>
            <w:tcW w:w="3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left="117"/>
              <w:spacing w:after="0"/>
              <w:rPr>
                <w:sz w:val="20"/>
                <w:szCs w:val="20"/>
                <w:color w:val="auto"/>
              </w:rPr>
            </w:pPr>
            <w:r>
              <w:rPr>
                <w:rFonts w:ascii="Arial" w:cs="Arial" w:eastAsia="Arial" w:hAnsi="Arial"/>
                <w:sz w:val="13"/>
                <w:szCs w:val="13"/>
                <w:b w:val="1"/>
                <w:bCs w:val="1"/>
                <w:color w:val="auto"/>
                <w:w w:val="86"/>
              </w:rPr>
              <w:t>Six Months Ended June 30, 2021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left="117"/>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2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Accumulated Other</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306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1"/>
                <w:szCs w:val="11"/>
                <w:color w:val="auto"/>
              </w:rPr>
            </w:pPr>
          </w:p>
        </w:tc>
        <w:tc>
          <w:tcPr>
            <w:tcW w:w="86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27,568,802</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r>
      <w:tr>
        <w:trPr>
          <w:trHeight w:val="16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27,604,417</w:t>
            </w:r>
          </w:p>
        </w:tc>
        <w:tc>
          <w:tcPr>
            <w:tcW w:w="10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413,122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(134,170)</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279,159</w:t>
            </w:r>
          </w:p>
        </w:tc>
      </w:tr>
      <w:tr>
        <w:trPr>
          <w:trHeight w:val="115"/>
        </w:trPr>
        <w:tc>
          <w:tcPr>
            <w:tcW w:w="306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2,787</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7,138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(17,987)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(17,987)</w:t>
            </w:r>
          </w:p>
        </w:tc>
      </w:tr>
      <w:tr>
        <w:trPr>
          <w:trHeight w:val="129"/>
        </w:trPr>
        <w:tc>
          <w:tcPr>
            <w:tcW w:w="30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27,611,555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415,922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(152,157)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263,598</w:t>
            </w: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w:t>
      </w:r>
    </w:p>
    <w:p>
      <w:pPr>
        <w:spacing w:after="0" w:line="21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Six Months Ended</w:t>
      </w:r>
    </w:p>
    <w:p>
      <w:pPr>
        <w:ind w:left="76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(38,522)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premiums and discounts on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606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136,425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(102,258)</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Proceeds from shares issued under ESPP</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of the term loan</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36,284</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has not generated any revenue to date from product sales and does not expect to generate any revenues from product sales in the foreseeable future. Through June 30, 2022, the Company has funded its operations primarily with proceeds from public offerings of its common stock, private placements of its preferred stock and upfront fees received under the Company’s former agreement with Eli Lilly and Company, which was terminated in March 2020. The Company expects to incur additional operating losses and negative operating cash flows for the foreseeable future.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disease 2019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the Company’s laboratories have continued operations throughout the pandemic mostly without interruption, there continues to be an impact on sites that conduct clinical trials, leading to longer clinical timelines.</w:t>
      </w:r>
    </w:p>
    <w:p>
      <w:pPr>
        <w:spacing w:after="0" w:line="19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initially placed significant strain on the Company’s clinical trial sites, raised concerns around monitoring patient safety, slowed patient enrollment and caused delays in the Company’s clinical trials and issuance of results. Any rise of COVID-19 infection rates, especially in the United States, could continue to negatively affect enrollment going forward. The Company continues to closely monitor the COVID-19 situation and any potential impact to the Company’s planned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2021 (the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19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All other ASUs issued subsequent to the filing of the Company’s Annual Report were assessed and determined to be either inapplicable or not expected to have a material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condensed statement of cash flows: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12,337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color w:val="auto"/>
                <w:w w:val="89"/>
              </w:rPr>
              <w:t>39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12,376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4. Marketable Securities</w:t>
            </w: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660"/>
              <w:spacing w:after="0"/>
              <w:rPr>
                <w:sz w:val="20"/>
                <w:szCs w:val="20"/>
                <w:color w:val="auto"/>
              </w:rPr>
            </w:pPr>
            <w:r>
              <w:rPr>
                <w:rFonts w:ascii="Arial" w:cs="Arial" w:eastAsia="Arial" w:hAnsi="Arial"/>
                <w:sz w:val="18"/>
                <w:szCs w:val="18"/>
                <w:color w:val="auto"/>
              </w:rPr>
              <w:t>Marketable securities consist of the following:</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669"/>
              <w:spacing w:after="0"/>
              <w:rPr>
                <w:sz w:val="20"/>
                <w:szCs w:val="20"/>
                <w:color w:val="auto"/>
              </w:rPr>
            </w:pPr>
            <w:r>
              <w:rPr>
                <w:rFonts w:ascii="Arial" w:cs="Arial" w:eastAsia="Arial" w:hAnsi="Arial"/>
                <w:sz w:val="14"/>
                <w:szCs w:val="14"/>
                <w:b w:val="1"/>
                <w:bCs w:val="1"/>
                <w:color w:val="auto"/>
                <w:w w:val="92"/>
              </w:rPr>
              <w:t>June 30, 2022</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tcPr>
          <w:p>
            <w:pPr>
              <w:jc w:val="center"/>
              <w:ind w:left="69"/>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left="8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92"/>
              </w:rPr>
              <w:t>157,329</w:t>
            </w:r>
          </w:p>
        </w:tc>
        <w:tc>
          <w:tcPr>
            <w:tcW w:w="0" w:type="dxa"/>
            <w:vAlign w:val="bottom"/>
          </w:tcPr>
          <w:p>
            <w:pPr>
              <w:spacing w:after="0"/>
              <w:rPr>
                <w:sz w:val="1"/>
                <w:szCs w:val="1"/>
                <w:color w:val="auto"/>
              </w:rPr>
            </w:pPr>
          </w:p>
        </w:tc>
      </w:tr>
      <w:tr>
        <w:trPr>
          <w:trHeight w:val="209"/>
        </w:trPr>
        <w:tc>
          <w:tcPr>
            <w:tcW w:w="4500" w:type="dxa"/>
            <w:vAlign w:val="bottom"/>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center"/>
              <w:ind w:right="1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8"/>
                <w:szCs w:val="18"/>
                <w:color w:val="auto"/>
                <w:w w:val="92"/>
              </w:rPr>
              <w:t>157,329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left="169"/>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tcPr>
          <w:p>
            <w:pPr>
              <w:jc w:val="center"/>
              <w:ind w:left="69"/>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left="8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92"/>
              </w:rPr>
              <w:t>207,254</w:t>
            </w:r>
          </w:p>
        </w:tc>
        <w:tc>
          <w:tcPr>
            <w:tcW w:w="0" w:type="dxa"/>
            <w:vAlign w:val="bottom"/>
          </w:tcPr>
          <w:p>
            <w:pPr>
              <w:spacing w:after="0"/>
              <w:rPr>
                <w:sz w:val="1"/>
                <w:szCs w:val="1"/>
                <w:color w:val="auto"/>
              </w:rPr>
            </w:pPr>
          </w:p>
        </w:tc>
      </w:tr>
      <w:tr>
        <w:trPr>
          <w:trHeight w:val="210"/>
        </w:trPr>
        <w:tc>
          <w:tcPr>
            <w:tcW w:w="4500" w:type="dxa"/>
            <w:vAlign w:val="bottom"/>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center"/>
              <w:ind w:right="1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8"/>
                <w:szCs w:val="18"/>
                <w:color w:val="auto"/>
                <w:w w:val="92"/>
              </w:rPr>
              <w:t>207,254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uses the specific identification method when calculating realized gains and losses. For the six months ended June 30, 2022 and 2021, respectively, the Company recorded $9 thousand and $56 thousand in realized gains on available-for-sale securities, which is included in other income, net on the condensed statements of operations.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reviewed all investments which were in a loss position at the respective balance sheet dates, as well as the remainder of the portfolio. As of June 30, 2022, the Company had investments with a total fair market value of $151.3 million in an unrealized loss position, of which $33.2 million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June 30, 2022:</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2022</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jc w:val="right"/>
              <w:ind w:right="45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4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Within 1 year</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136,495</w:t>
            </w:r>
          </w:p>
        </w:tc>
        <w:tc>
          <w:tcPr>
            <w:tcW w:w="200" w:type="dxa"/>
            <w:vAlign w:val="bottom"/>
          </w:tcPr>
          <w:p>
            <w:pPr>
              <w:spacing w:after="0"/>
              <w:rPr>
                <w:sz w:val="18"/>
                <w:szCs w:val="18"/>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134,648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Between 1 to 2 years</w:t>
            </w:r>
          </w:p>
        </w:tc>
        <w:tc>
          <w:tcPr>
            <w:tcW w:w="1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Total investments available-for-sale</w:t>
            </w:r>
          </w:p>
        </w:tc>
        <w:tc>
          <w:tcPr>
            <w:tcW w:w="14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 has classified all its investments available-for-sale, including those with maturities beyond one year, as current assets on the accompanying condensed balance sheets based on the highly liquid nature of these investment securities and because these investment securities are considered available for use in current operations.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June 30, 2022 and December 31,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19,016</w:t>
            </w:r>
          </w:p>
        </w:tc>
        <w:tc>
          <w:tcPr>
            <w:tcW w:w="40" w:type="dxa"/>
            <w:vAlign w:val="bottom"/>
          </w:tcPr>
          <w:p>
            <w:pPr>
              <w:spacing w:after="0"/>
              <w:rPr>
                <w:sz w:val="18"/>
                <w:szCs w:val="18"/>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19,016</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bonds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157,329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176,345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Active Markets 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2,680</w:t>
            </w:r>
          </w:p>
        </w:tc>
        <w:tc>
          <w:tcPr>
            <w:tcW w:w="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207,254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209,934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six months ended June 30, 2022 and 2021.</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shares of the Company’s common stock outstanding on December 31st of the preceding calendar year or such lesser number of shares determined by the Board.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2022, 2,534,766 shares were reserved for future grant under the 2019 Plan.</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w w:val="94"/>
              </w:rPr>
              <w:t>Options Outstanding and Exercisable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7"/>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4,545,794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1,704,850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Forfeitures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(818,944)</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13.76</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5,381,280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Exercisable as of June 30,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2,444,111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June 30, 2022 and December 31, 2021.</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weighted average grant date fair value of stock options granted to employees for the six months ended June 30, 2022 was $3.72. The aggregate intrinsic value of stock options exercised during the six months ended June 30, 2022 was $0.2 million. As of June 30, 2022, there was $19.7 million of total unrecognized compensation expense related to unvested options under the Plans that will be recognized over a weighted-average period of approximately 2.9 years.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vested during the six months ended June 30, 2022 and 2021 was approximately $6.9 million and $10.3 million, respectively.</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and six months ended June 30, 2022 and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26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22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3"/>
              </w:rPr>
              <w:t>$ 1,496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1,731</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3,374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3"/>
              </w:rPr>
              <w:t>Total stock-based compensation expense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3"/>
              </w:rPr>
              <w:t>$ 4,870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vMerge w:val="restart"/>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75"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Six Months Ended</w:t>
      </w:r>
    </w:p>
    <w:p>
      <w:pPr>
        <w:ind w:left="61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 years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- 6.1 years</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w w:val="96"/>
              </w:rPr>
              <w:t>79.7 %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color w:val="auto"/>
                <w:w w:val="96"/>
              </w:rPr>
              <w:t>79.7 %</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4"/>
              </w:rPr>
              <w:t>- 3.1 %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4"/>
              </w:rPr>
              <w:t>- 1.4 %</w:t>
            </w:r>
          </w:p>
        </w:tc>
        <w:tc>
          <w:tcPr>
            <w:tcW w:w="4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NextCure, Inc. 2019 Employee Stock Purchase Plan (the “ESPP”) was approved in May 2019 and provides for certain employees of the Company to purchase shares of Company stock at a discounted price. As of June 30, 2022, 23,891 shares of common stock had been issued pursuant to the ESPP and 766,789 shares were reserved for future issuance thereunder.</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Net Loss Per Share Attributable to Common Stockholders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computation of basic loss per share is based on the weighted-average number of common shares outstanding, without consideration for dilutive common stock equivalents. The computation of diluted loss per share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computation for basic and diluted loss per share were as follows (in thousands, except share and per share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Net loss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(Denominator):</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Weighted-average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27,744,762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27,610,398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27,726,864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27,603,948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7"/>
              </w:rPr>
              <w:t>outstanding - basic and diluted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Loss per share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the three and six months ended June 30, 2022 and 2021, all shares of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 per share attributable to common stockholders is the same.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4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5,381,280</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4,554,173</w:t>
            </w:r>
          </w:p>
        </w:tc>
      </w:tr>
      <w:tr>
        <w:trPr>
          <w:trHeight w:val="209"/>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5,381,280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4,554,173</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Company did not record a provision or benefit for income taxes during the three and six month periods ended June 30, 2022 and 2021. The Company continues to maintain a full valuation allowance against its deferred tax assets.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September 21, 2020, a putative stockholder class action was filed in the U.S. District Court for the Southern District of New York styled Ye Zhou v. NextCure, Inc., et. al., Case 1:20-cv-0772 (S.D.N.Y.) (the “Ye Zhou action”).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March 24, 2021, a purported shareholder derivative lawsuit was filed in the U.S. District Court for the District of Maryland, Southern Division, styled Zach Liu v. Richman et. al., Case:21-cv-00754 (the “Liu action”),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defendants’ motion to dismiss filed in respect of the Ye Zhou action.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On December 14, 2021, a purported misappropriation of certain trade secrets lawsuit was filed in Federal District Court for the District of Delaware, styled Immunaccel, LLC v. NextCure, Inc., Case No. 1:21-cv-01755-UNA (the “Immunaccel action”). The lawsuit alleges that the Company misappropriated certain trade secrets belonging to Immunaccel related to a drug discovery and screening platform named IMMUNE 3D. The complaint alleged two causes of action, one under the Delaware Uniform Trade Secrets Act and another under the Federal Defend Trade Secrets Act. The Company filed a motion to dismiss the complaint on April 22, 2022. In response to the Company’s motion to dismiss, Immunaccel filed an amended complaint on June 21, 2022 (“Amended Complaint”). The Amended Complaint added as parties to the Immunaccel action Screen Therapeutics LLC (“Screen”), an affiliate entity of Immunaccel, and Company’s CEO Michael Richman in his capacity as an individual. The Amended Complaint alleges that Mr. Richman breached certain contractual and fiduciary duties owed to Screen due to Mr. Richman’s prior relationship as in investor in, and purported advisor to, Screen. The Amended Complaint alleges four causes of action for breach of contract against Mr. Richman and three related causes of action against Mr. Richman for breach of fiduciary duty, unjust enrichment, and fraudulent misrepresentation. In addition to two trade secrets causes of action similar to those previously alleged against the Company, the Amended Complaint also alleges the Company tortiously interfered with the contracts between Mr. Richman and Screen and that the Company aided and abetted the alleged breach of fiduciary duty by Mr. Richman. The Amended Complaint seeks unspecified monetary damages, a permanent injunction and other miscellaneous relief. The Company has until August 5, 2022 to respond to the Amended Complaint.</w:t>
      </w:r>
    </w:p>
    <w:p>
      <w:pPr>
        <w:spacing w:after="0" w:line="39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intends to vigorously defend the Ye Zhou, Liu and Immunaccel actions.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2021, or our “2021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p>
      <w:pPr>
        <w:spacing w:after="0" w:line="199" w:lineRule="exact"/>
        <w:rPr>
          <w:sz w:val="20"/>
          <w:szCs w:val="20"/>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timing, progress and results of preclinical studies and clinical trials for NC318, NC410, NC762, NC525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71"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the COVID-19 pandemic (including the emergence of variant strains)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71"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for NC318, NC410, NC762, NC525 and any other product candidates we develop and our ability to obtain and maintain regulatory approvals for such product candidates for any indication;</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analysis and use of biomarkers and biomarker data;</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patient selection assays and companion or complementary diagnostics for NC318, NC410, NC762, NC525 or any other product candidates we develop;</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NC318, NC410, NC762, NC525 and any other product candidates we develop;</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Functional, Integrated, NextCure Discovery in Immuno-Oncology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potential benefits of and our ability to maintain our relationship and collaboration with Yale University;</w:t>
      </w:r>
    </w:p>
    <w:p>
      <w:pPr>
        <w:spacing w:after="0" w:line="236" w:lineRule="exact"/>
        <w:rPr>
          <w:rFonts w:ascii="Arial" w:cs="Arial" w:eastAsia="Arial" w:hAnsi="Arial"/>
          <w:sz w:val="17"/>
          <w:szCs w:val="17"/>
          <w:i w:val="1"/>
          <w:iCs w:val="1"/>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any failure of our information technology systems such as security breaches, loss of data and other disruptions;</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developments and projections relating to our competitors and our industry, including competing therapies; and</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Forward-looking statements involve substantial risks and uncertainties that could cause actual results to differ materially from those projected in any forward-looking statement. Such risks and uncertainties include, among others: the continued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2021 Annual Report and in our other filings with the Securities and Exchange Commission (“SEC”). You should not place undue reliance on any forward-looking statements. Forward-looking statements speak only as of the date of this report, and we assume no obligation to update any forward-looking statements, even if expectations change.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or the “SITC Meeting”, in November 2019.</w:t>
      </w:r>
    </w:p>
    <w:p>
      <w:pPr>
        <w:spacing w:after="0" w:line="18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We provided data updates from our ongoing monotherapy trial of NC318 at the SITC Meetings in December 2020 and November 2021. Based on combined Phase 1 and Phase 2 data from the NC318 study, NC318 continued to show early evidence of possible clinical benefit in patients with HNSCC, lung and breast cancer and other advanced/metastatic solid tumors, with dosing once every two weeks during dose escalation and a dose of 400 mg selected for the Phase 2 studies. NC318 continued to be well-tolerated in the Phase 2 portion of the trial, with primarily mild or moderate treatment-related adverse events, or “TRAE”. We have modified the Phase 2 portion of the trial for S15 selection, whereby clinical sites can select for S15-positive and/or other biomarker positive patients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through screening biopsies in a Clinical Laboratory Improvement Amendments (“CLIA”)-certified laboratory. In the second quarter of 2021, we revised the dosing regimen to 800 mg weekly to increase overall drug exposure to NC318. We expect to provide further data from the Phase 2 portion of this trial in the fourth quarter of 2022.</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 Initial data are anticipated in the second half of 2022.</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second product candidate, NC410, is a novel immunomedicine designed to block immune suppression mediated by an immune modulator called Leukocyte-Associated Immunoglobulin-like Receptor, or “LAIR”, -1.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In May 2021, at the 2021 Virtual American Society of Clinical Oncology annual meeting, or the “ASCO Meeting”, we reported preclinical data demonstrating that NC410 promoted T-cell mediated anti-tumor immunity, enhanced infiltration and increased localized activity of T-cells in the tumor microenvironment. We provided a data update from the Phase 1 portion of this trial at the SITC Meeting in November 2021. Interim data presented from the Phase 1 dose-escalation study show that NC410 appears to be safe and well-tolerated in patients with advanced tumors and show evidence of immune modulation. Safety, tolerability, efficacy and biomarker analyses are ongoing in higher-dose cohort patients. We expect to provide further data from the Phase 1 portion of this trial in the second half of 2022.</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third product candidate, NC762, is an immunomedicine targeting an immunomodulatory molecule called human B7 homolog 4 protein, or “B7-H4”. 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 We expect to announce initial data from the Phase 1 portion of this trial in the second half of 2022.</w:t>
      </w:r>
    </w:p>
    <w:p>
      <w:pPr>
        <w:spacing w:after="0" w:line="19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Our fourth product candidate, NC525, is a novel LAIR-1 antibody that selectively targets Acute Myeloid Leukemia, or “AML”, blast cells and leukemic stem cells, or “LSCs”. Preclinical data show that NC525 kills AML blast cells and LSCs while sparing hematopoietic stem and progenitor cells, or “HSPCs”. Preclinical data were presented at the American Society for Hematology annual meeting in December 2021. The data showed that NC525 (i) inhibits colony formation of AML LSCs in vitro, (ii) inhibits AML growth in the MV4-11 derived xenografts animal model in vivo and</w:t>
      </w:r>
    </w:p>
    <w:p>
      <w:pPr>
        <w:spacing w:after="0" w:line="2" w:lineRule="exact"/>
        <w:rPr>
          <w:sz w:val="20"/>
          <w:szCs w:val="20"/>
          <w:color w:val="auto"/>
        </w:rPr>
      </w:pPr>
    </w:p>
    <w:p>
      <w:pPr>
        <w:ind w:left="60" w:right="79" w:hanging="10"/>
        <w:spacing w:after="0" w:line="260" w:lineRule="auto"/>
        <w:tabs>
          <w:tab w:leader="none" w:pos="39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restricts AML progression in patient-derived xenografts in vivo. An Investigational New Drug (IND) submission is planned for the fourth quarter of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529"/>
        </w:rPr>
        <w:t xml:space="preserve">In March 2020, the World Health Organization declared the novel coronavirus disease 2019 (“COVID-19”) outbreak a pandemic. In order to </w:t>
      </w:r>
      <w:r>
        <w:rPr>
          <w:rFonts w:ascii="Arial" w:cs="Arial" w:eastAsia="Arial" w:hAnsi="Arial"/>
          <w:sz w:val="18"/>
          <w:szCs w:val="18"/>
          <w:color w:val="000000"/>
        </w:rPr>
        <w:t>mitigate</w:t>
      </w:r>
      <w:r>
        <w:rPr>
          <w:rFonts w:ascii="Arial" w:cs="Arial" w:eastAsia="Arial" w:hAnsi="Arial"/>
          <w:sz w:val="18"/>
          <w:szCs w:val="18"/>
          <w:color w:val="212529"/>
        </w:rPr>
        <w:t xml:space="preserv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our laboratories have continued operations throughout the pandemic mostly without interruption.</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212529"/>
        </w:rPr>
        <w:t xml:space="preserve">The impact of the COVID-19 pandemic (including the impact of emerging variant strains of the COVID-19 virus) on our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6"/>
          <w:szCs w:val="16"/>
          <w:color w:val="000000"/>
        </w:rPr>
        <w:t>initially</w:t>
      </w:r>
      <w:r>
        <w:rPr>
          <w:rFonts w:ascii="Arial" w:cs="Arial" w:eastAsia="Arial" w:hAnsi="Arial"/>
          <w:sz w:val="16"/>
          <w:szCs w:val="16"/>
          <w:color w:val="212529"/>
        </w:rPr>
        <w:t xml:space="preserve"> </w:t>
      </w:r>
      <w:r>
        <w:rPr>
          <w:rFonts w:ascii="Arial" w:cs="Arial" w:eastAsia="Arial" w:hAnsi="Arial"/>
          <w:sz w:val="16"/>
          <w:szCs w:val="16"/>
          <w:color w:val="000000"/>
        </w:rPr>
        <w:t>placed significant strain on our clinical trial sites, raised concerns around monitoring patient safety,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 xml:space="preserve">slowed patient enrollment and caused delays in the Company’s clinical trials and issuance of results. </w:t>
      </w:r>
      <w:r>
        <w:rPr>
          <w:rFonts w:ascii="Arial" w:cs="Arial" w:eastAsia="Arial" w:hAnsi="Arial"/>
          <w:sz w:val="17"/>
          <w:szCs w:val="17"/>
          <w:color w:val="212529"/>
        </w:rPr>
        <w:t>Any rise of COVID-19 infection rates, especially in the United States, could continue to negatively affect enrollment going forward. We continue to closely monitor the COVID-19 situation and any potential impact to our planned activities.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9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not generated any revenue from product sales and only limited revenue from other sources. Our net loss for the three months ended June 30, 2022 and 2021, was $17.9 million and $18.0 million, respectively, and our net loss for the six months ended June 30, 2022 and 2021, was $38.5 million and $34.5 million, respectively. As of June 30, 2022, we had an accumulated deficit of $225.5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spacing w:after="0" w:line="16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and development collaboration agreement with Lilly, or the “Lilly Agreement,” which was terminated in March 2020. From our inception through June 30, 2022,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We were also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June 30, 2022, we had cash, cash equivalents and marketable securities, excluding restricted cash, of $185.5 million. We believe that our existing cash, cash equivalents and marketable securities will be sufficient to fund our planned operations into the first quarter of 2024.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our ongoing Phase 1/2 clinical trial for NC762,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Revenue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June 30, 2022, we have not generated any revenue from product sales.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Operating Expenses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our license agreement with Yale University, or “Yale”;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 drug supply of NC318, NC410 and NC762 for future clinical trials, and as we expand our pipeline through research and development activities related to our FIND-IO platform and discovery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NC318, NC410,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NC525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of NC318 and NC410 and NC762, as well as of any future clinical trials of other product candidates and other research and development activities that we may conduct;</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lead to a significant change in the costs and timing associated with the development of that product candidate. For example, if the U.S. Food and Drug Administration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and Administrative Expenses</w:t>
      </w:r>
    </w:p>
    <w:p>
      <w:pPr>
        <w:spacing w:after="0" w:line="12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 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higher legal and accounting fees, investor relations costs, higher insurance premiums and other compliance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Other Income, Net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net consists primarily of interest income earned on marketable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Comparison of the Three and Six Months Ended June 30, 2022 and 2021</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11,945</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24,331</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(17,952)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(38,899)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(35,186)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(17,920)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(17,987)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(38,522)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(34,520)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580" w:type="dxa"/>
            <w:vAlign w:val="bottom"/>
            <w:gridSpan w:val="5"/>
          </w:tcPr>
          <w:p>
            <w:pPr>
              <w:ind w:left="3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20"/>
              <w:spacing w:after="0"/>
              <w:rPr>
                <w:sz w:val="20"/>
                <w:szCs w:val="20"/>
                <w:color w:val="auto"/>
              </w:rPr>
            </w:pPr>
            <w:r>
              <w:rPr>
                <w:rFonts w:ascii="Arial" w:cs="Arial" w:eastAsia="Arial" w:hAnsi="Arial"/>
                <w:sz w:val="18"/>
                <w:szCs w:val="18"/>
                <w:color w:val="auto"/>
              </w:rPr>
              <w:t>NC318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NC410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4080" w:type="dxa"/>
            <w:vAlign w:val="bottom"/>
            <w:gridSpan w:val="2"/>
          </w:tcPr>
          <w:p>
            <w:pPr>
              <w:ind w:left="120"/>
              <w:spacing w:after="0"/>
              <w:rPr>
                <w:sz w:val="20"/>
                <w:szCs w:val="20"/>
                <w:color w:val="auto"/>
              </w:rPr>
            </w:pPr>
            <w:r>
              <w:rPr>
                <w:rFonts w:ascii="Arial" w:cs="Arial" w:eastAsia="Arial" w:hAnsi="Arial"/>
                <w:sz w:val="18"/>
                <w:szCs w:val="18"/>
                <w:color w:val="auto"/>
              </w:rPr>
              <w:t>NC762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Programs in discovery and preclinical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9"/>
        </w:trPr>
        <w:tc>
          <w:tcPr>
            <w:tcW w:w="4080" w:type="dxa"/>
            <w:vAlign w:val="bottom"/>
            <w:gridSpan w:val="2"/>
          </w:tcPr>
          <w:p>
            <w:pPr>
              <w:ind w:left="20"/>
              <w:spacing w:after="0"/>
              <w:rPr>
                <w:sz w:val="20"/>
                <w:szCs w:val="20"/>
                <w:color w:val="auto"/>
              </w:rPr>
            </w:pPr>
            <w:r>
              <w:rPr>
                <w:rFonts w:ascii="Arial" w:cs="Arial" w:eastAsia="Arial" w:hAnsi="Arial"/>
                <w:sz w:val="18"/>
                <w:szCs w:val="18"/>
                <w:color w:val="auto"/>
                <w:w w:val="98"/>
              </w:rPr>
              <w:t>Total external research and development expenses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16,539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13,110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internal research and development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11,221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12,825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11,945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27,849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24,331</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Research and development expenses for the three months ended June 30, 2022 increased by $0.9 million compared to the three months ended June 30, 2021. The increase was driven by $0.9 million in clinical-related costs.</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Research and development expenses for the six months ended June 30, 2022 increased by $3.5 million compared to the six months ended June 30, 2021. The increase was driven by $2.5 million in clinical-related costs and $1.5 million in lab-related costs, partially offset by other reduced spending.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2022 decreased by $0.7 million compared to the three months ended June 30, 2021. The decrease was primarily due to lower legal costs, lower recruiting costs, and refunds of overpaid payroll taxes from prior years.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six months ended June 30, 2022 increased $0.2 million compared to the six months ended June 30, 2021. The increase was primarily due to higher personnel-related costs, partially offset by lower legal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net for the three months ended June 30, 2022 increased by $0.2 million compared to the three months ended June 30, 2021, due to higher interest income and lower interest expense.</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net for the six months ended June 30, 2022 decreased by $0.3 million compared to the six months ended June 30, 2021, due to lower interest income.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(the “Sales Agreement”) with SVB Leerink LLC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June 30, 2022, we had cash, cash equivalents, and marketable securities, excluding restricted cash, of $185.5 million. We believe that our existing cash, cash equivalents, and marketable securities will be sufficient to fund our planned operations into the first quarter of 2024.</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Six Months Ended</w:t>
      </w:r>
    </w:p>
    <w:p>
      <w:pPr>
        <w:ind w:left="75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(29,936)</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(31,133)</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w:t>
            </w:r>
          </w:p>
        </w:tc>
      </w:tr>
      <w:tr>
        <w:trPr>
          <w:trHeight w:val="216"/>
        </w:trPr>
        <w:tc>
          <w:tcPr>
            <w:tcW w:w="5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209"/>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0"/>
        </w:trPr>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cash used in operating activities was $29.9 million for the six months ended June 30, 2022, which was primarily due to our net loss of $38.5 million, partially offset by non-cash charges for depreciation and amortization of $2.1 million, amortization of premiums and discounts on marketable securities of $1.9 million, and stock-based compensation of $4.9 million. Net cash used in operating activities was $31.1 million for the six months ended June 30, 2021, which was primarily due to our net loss of $34.5 million, an increase in prepaid expenses of $4.6 million and $2.6 million lower accounts payable, partially offset by non-cash charges for depreciation and amortization of $1.4 million, amortization of premiums and discounts on marketable securities of $1.6 million, stock-based compensation of $5.3 million, and $2.2 million higher accrued liabilities and deferred rent.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provided by investing activities for the six months ended June 30, 2022 was $45.6 million, which was primarily due to net proceeds from marketable securities of $46.3 million, partially offset by purchases of property and equipment of $0.7 million. Net cash provided by investing activities for the six months ended June 30, 2021 was $33.2 million, which was primarily due to net proceeds from marketable securities of $34.2 million, partially offset by purchases of property and equipment of $1.0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Net cash provided by financing activities was $0.1 million for the six months ended June 30, 2022, which was due to the exercise of stock options and sales of our stock under the Employee Stock Purchase Plan (ESPP). Net cash used in financing activities was $0.8 million for the six months ended June 30, 2021, which consisted primarily of payments related to a term loan, which was paid in full and closed in August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our contractual obligations during the six months ended June 30, 2022, as compared to those disclosed in our 2021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Use of Estimates</w:t>
      </w:r>
    </w:p>
    <w:p>
      <w:pPr>
        <w:spacing w:after="0" w:line="18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6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six months ended June 30, 2022, there were no material changes to our critical accounting policies reported in our 2021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or the “Exchange Act”, we are not required to provide the information requested by this Item.</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June 30, 2022.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information set forth under the heading “Legal Proceedings” in Note 10,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is not likely to have a material adverse effect on our business.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There have been no material updates to the risk factors set forth in our 2021 Annual Report.</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6"/>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tcBorders>
              <w:top w:val="single" w:sz="8" w:color="auto"/>
            </w:tcBorders>
            <w:gridSpan w:val="6"/>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1934 as adopted pursuant to Section 302 of the Sarbanes-Oxley Act of 2002.</w:t>
              </w:r>
            </w:hyperlink>
          </w:p>
        </w:tc>
        <w:tc>
          <w:tcPr>
            <w:tcW w:w="38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Steven P. Cobourn pursuant to Rule 13a-14(a) under the Securities Exchange Act of</w:t>
              </w:r>
            </w:hyperlink>
          </w:p>
        </w:tc>
        <w:tc>
          <w:tcPr>
            <w:tcW w:w="3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Michael Richman and Steven P. Cobourn pursuant to 18 U.S.C. Section 1350 as</w:t>
              </w:r>
            </w:hyperlink>
          </w:p>
        </w:tc>
        <w:tc>
          <w:tcPr>
            <w:tcW w:w="6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2600" w:type="dxa"/>
            <w:vAlign w:val="bottom"/>
            <w:gridSpan w:val="5"/>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440" w:hanging="1384"/>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-730250</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4, 2022</w:t>
            </w:r>
          </w:p>
        </w:tc>
        <w:tc>
          <w:tcPr>
            <w:tcW w:w="1960" w:type="dxa"/>
            <w:vAlign w:val="bottom"/>
          </w:tcPr>
          <w:p>
            <w:pPr>
              <w:ind w:left="14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3020" w:type="dxa"/>
            <w:vAlign w:val="bottom"/>
          </w:tcPr>
          <w:p>
            <w:pPr>
              <w:spacing w:after="0"/>
              <w:rPr>
                <w:sz w:val="16"/>
                <w:szCs w:val="16"/>
                <w:color w:val="auto"/>
              </w:rPr>
            </w:pPr>
          </w:p>
        </w:tc>
        <w:tc>
          <w:tcPr>
            <w:tcW w:w="5880" w:type="dxa"/>
            <w:vAlign w:val="bottom"/>
            <w:gridSpan w:val="2"/>
          </w:tcPr>
          <w:p>
            <w:pPr>
              <w:ind w:left="1480"/>
              <w:spacing w:after="0" w:line="195" w:lineRule="exact"/>
              <w:rPr>
                <w:sz w:val="20"/>
                <w:szCs w:val="20"/>
                <w:color w:val="auto"/>
              </w:rPr>
            </w:pPr>
            <w:r>
              <w:rPr>
                <w:rFonts w:ascii="Arial" w:cs="Arial" w:eastAsia="Arial" w:hAnsi="Arial"/>
                <w:sz w:val="18"/>
                <w:szCs w:val="18"/>
                <w:color w:val="auto"/>
              </w:rPr>
              <w:t>Name:Michael Richman</w:t>
            </w:r>
          </w:p>
        </w:tc>
      </w:tr>
      <w:tr>
        <w:trPr>
          <w:trHeight w:val="230"/>
        </w:trPr>
        <w:tc>
          <w:tcPr>
            <w:tcW w:w="3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4, 2022</w:t>
            </w:r>
          </w:p>
        </w:tc>
        <w:tc>
          <w:tcPr>
            <w:tcW w:w="1960" w:type="dxa"/>
            <w:vAlign w:val="bottom"/>
          </w:tcPr>
          <w:p>
            <w:pPr>
              <w:ind w:left="14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95"/>
        </w:trPr>
        <w:tc>
          <w:tcPr>
            <w:tcW w:w="3020" w:type="dxa"/>
            <w:vAlign w:val="bottom"/>
          </w:tcPr>
          <w:p>
            <w:pPr>
              <w:spacing w:after="0"/>
              <w:rPr>
                <w:sz w:val="16"/>
                <w:szCs w:val="16"/>
                <w:color w:val="auto"/>
              </w:rPr>
            </w:pPr>
          </w:p>
        </w:tc>
        <w:tc>
          <w:tcPr>
            <w:tcW w:w="5880" w:type="dxa"/>
            <w:vAlign w:val="bottom"/>
            <w:gridSpan w:val="2"/>
          </w:tcPr>
          <w:p>
            <w:pPr>
              <w:ind w:left="1480"/>
              <w:spacing w:after="0" w:line="195" w:lineRule="exact"/>
              <w:rPr>
                <w:sz w:val="20"/>
                <w:szCs w:val="20"/>
                <w:color w:val="auto"/>
              </w:rPr>
            </w:pPr>
            <w:r>
              <w:rPr>
                <w:rFonts w:ascii="Arial" w:cs="Arial" w:eastAsia="Arial" w:hAnsi="Arial"/>
                <w:sz w:val="18"/>
                <w:szCs w:val="18"/>
                <w:color w:val="auto"/>
              </w:rPr>
              <w:t>Name:Steven P. Cobourn</w:t>
            </w:r>
          </w:p>
        </w:tc>
      </w:tr>
      <w:tr>
        <w:trPr>
          <w:trHeight w:val="230"/>
        </w:trPr>
        <w:tc>
          <w:tcPr>
            <w:tcW w:w="3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June 30, 2022,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2022-08-04T16:01:31Z</dcterms:created>
  <dcterms:modified xsi:type="dcterms:W3CDTF">2022-08-04T16:01:31Z</dcterms:modified>
</cp:coreProperties>
</file>