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96520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97790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1"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94" w:lineRule="exact"/>
        <w:rPr>
          <w:sz w:val="24"/>
          <w:szCs w:val="24"/>
          <w:color w:val="auto"/>
        </w:rPr>
      </w:pPr>
    </w:p>
    <w:p>
      <w:pPr>
        <w:ind w:left="660" w:hanging="389"/>
        <w:spacing w:after="0"/>
        <w:tabs>
          <w:tab w:leader="none" w:pos="6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6" w:lineRule="exact"/>
        <w:rPr>
          <w:sz w:val="24"/>
          <w:szCs w:val="24"/>
          <w:color w:val="auto"/>
        </w:rPr>
      </w:pPr>
    </w:p>
    <w:p>
      <w:pPr>
        <w:ind w:left="660" w:hanging="389"/>
        <w:spacing w:after="0"/>
        <w:tabs>
          <w:tab w:leader="none" w:pos="6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222" w:lineRule="exact"/>
        <w:rPr>
          <w:sz w:val="24"/>
          <w:szCs w:val="24"/>
          <w:color w:val="auto"/>
        </w:rPr>
      </w:pPr>
    </w:p>
    <w:p>
      <w:pPr>
        <w:ind w:left="3920"/>
        <w:spacing w:after="0"/>
        <w:tabs>
          <w:tab w:leader="none" w:pos="5840" w:val="left"/>
          <w:tab w:leader="none" w:pos="626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53975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0" w:lineRule="exact"/>
        <w:rPr>
          <w:sz w:val="24"/>
          <w:szCs w:val="24"/>
          <w:color w:val="auto"/>
        </w:rPr>
      </w:pPr>
    </w:p>
    <w:tbl>
      <w:tblPr>
        <w:tblLayout w:type="fixed"/>
        <w:tblInd w:w="10" w:type="dxa"/>
        <w:tblCellMar>
          <w:top w:w="0" w:type="dxa"/>
          <w:left w:w="0" w:type="dxa"/>
          <w:bottom w:w="0" w:type="dxa"/>
          <w:right w:w="0" w:type="dxa"/>
        </w:tblCellMar>
      </w:tblPr>
      <w:tr>
        <w:trPr>
          <w:trHeight w:val="351"/>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3"/>
          </w:tcPr>
          <w:p>
            <w:pPr>
              <w:jc w:val="center"/>
              <w:ind w:right="980"/>
              <w:spacing w:after="0"/>
              <w:rPr>
                <w:sz w:val="20"/>
                <w:szCs w:val="20"/>
                <w:color w:val="auto"/>
              </w:rPr>
            </w:pPr>
            <w:r>
              <w:rPr>
                <w:rFonts w:ascii="Arial" w:cs="Arial" w:eastAsia="Arial" w:hAnsi="Arial"/>
                <w:sz w:val="29"/>
                <w:szCs w:val="29"/>
                <w:b w:val="1"/>
                <w:bCs w:val="1"/>
                <w:color w:val="auto"/>
                <w:w w:val="92"/>
              </w:rPr>
              <w:t>NextCure, Inc.</w:t>
            </w:r>
          </w:p>
        </w:tc>
        <w:tc>
          <w:tcPr>
            <w:tcW w:w="3120" w:type="dxa"/>
            <w:vAlign w:val="bottom"/>
          </w:tcPr>
          <w:p>
            <w:pPr>
              <w:spacing w:after="0"/>
              <w:rPr>
                <w:sz w:val="24"/>
                <w:szCs w:val="24"/>
                <w:color w:val="auto"/>
              </w:rPr>
            </w:pPr>
          </w:p>
        </w:tc>
      </w:tr>
      <w:tr>
        <w:trPr>
          <w:trHeight w:val="182"/>
        </w:trPr>
        <w:tc>
          <w:tcPr>
            <w:tcW w:w="3560" w:type="dxa"/>
            <w:vAlign w:val="bottom"/>
          </w:tcPr>
          <w:p>
            <w:pPr>
              <w:spacing w:after="0"/>
              <w:rPr>
                <w:sz w:val="15"/>
                <w:szCs w:val="15"/>
                <w:color w:val="auto"/>
              </w:rPr>
            </w:pPr>
          </w:p>
        </w:tc>
        <w:tc>
          <w:tcPr>
            <w:tcW w:w="3560" w:type="dxa"/>
            <w:vAlign w:val="bottom"/>
            <w:gridSpan w:val="5"/>
          </w:tcPr>
          <w:p>
            <w:pPr>
              <w:jc w:val="center"/>
              <w:ind w:right="420"/>
              <w:spacing w:after="0"/>
              <w:rPr>
                <w:sz w:val="20"/>
                <w:szCs w:val="20"/>
                <w:color w:val="auto"/>
              </w:rPr>
            </w:pPr>
            <w:r>
              <w:rPr>
                <w:rFonts w:ascii="Arial" w:cs="Arial" w:eastAsia="Arial" w:hAnsi="Arial"/>
                <w:sz w:val="14"/>
                <w:szCs w:val="14"/>
                <w:color w:val="auto"/>
                <w:w w:val="93"/>
              </w:rPr>
              <w:t>(Exact name of registrant as specified in its charter)</w:t>
            </w:r>
          </w:p>
        </w:tc>
        <w:tc>
          <w:tcPr>
            <w:tcW w:w="3120" w:type="dxa"/>
            <w:vAlign w:val="bottom"/>
          </w:tcPr>
          <w:p>
            <w:pPr>
              <w:spacing w:after="0"/>
              <w:rPr>
                <w:sz w:val="15"/>
                <w:szCs w:val="15"/>
                <w:color w:val="auto"/>
              </w:rPr>
            </w:pPr>
          </w:p>
        </w:tc>
      </w:tr>
      <w:tr>
        <w:trPr>
          <w:trHeight w:val="79"/>
        </w:trPr>
        <w:tc>
          <w:tcPr>
            <w:tcW w:w="3840" w:type="dxa"/>
            <w:vAlign w:val="bottom"/>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120" w:type="dxa"/>
            <w:vAlign w:val="bottom"/>
          </w:tcPr>
          <w:p>
            <w:pPr>
              <w:spacing w:after="0"/>
              <w:rPr>
                <w:sz w:val="6"/>
                <w:szCs w:val="6"/>
                <w:color w:val="auto"/>
              </w:rPr>
            </w:pPr>
          </w:p>
        </w:tc>
      </w:tr>
      <w:tr>
        <w:trPr>
          <w:trHeight w:val="326"/>
        </w:trPr>
        <w:tc>
          <w:tcPr>
            <w:tcW w:w="4100" w:type="dxa"/>
            <w:vAlign w:val="bottom"/>
            <w:gridSpan w:val="3"/>
          </w:tcPr>
          <w:p>
            <w:pPr>
              <w:jc w:val="center"/>
              <w:ind w:left="968"/>
              <w:spacing w:after="0"/>
              <w:rPr>
                <w:sz w:val="20"/>
                <w:szCs w:val="20"/>
                <w:color w:val="auto"/>
              </w:rPr>
            </w:pPr>
            <w:r>
              <w:rPr>
                <w:rFonts w:ascii="Arial" w:cs="Arial" w:eastAsia="Arial" w:hAnsi="Arial"/>
                <w:sz w:val="14"/>
                <w:szCs w:val="14"/>
                <w:b w:val="1"/>
                <w:bCs w:val="1"/>
                <w:color w:val="auto"/>
                <w:w w:val="94"/>
              </w:rPr>
              <w:t>Delaware</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tcPr>
          <w:p>
            <w:pPr>
              <w:jc w:val="right"/>
              <w:ind w:right="2128"/>
              <w:spacing w:after="0"/>
              <w:rPr>
                <w:sz w:val="20"/>
                <w:szCs w:val="20"/>
                <w:color w:val="auto"/>
              </w:rPr>
            </w:pPr>
            <w:r>
              <w:rPr>
                <w:rFonts w:ascii="Arial" w:cs="Arial" w:eastAsia="Arial" w:hAnsi="Arial"/>
                <w:sz w:val="14"/>
                <w:szCs w:val="14"/>
                <w:b w:val="1"/>
                <w:bCs w:val="1"/>
                <w:color w:val="auto"/>
              </w:rPr>
              <w:t>47-5231247</w:t>
            </w:r>
          </w:p>
        </w:tc>
      </w:tr>
      <w:tr>
        <w:trPr>
          <w:trHeight w:val="175"/>
        </w:trPr>
        <w:tc>
          <w:tcPr>
            <w:tcW w:w="4100" w:type="dxa"/>
            <w:vAlign w:val="bottom"/>
            <w:gridSpan w:val="3"/>
          </w:tcPr>
          <w:p>
            <w:pPr>
              <w:jc w:val="center"/>
              <w:ind w:left="968"/>
              <w:spacing w:after="0"/>
              <w:rPr>
                <w:sz w:val="20"/>
                <w:szCs w:val="20"/>
                <w:color w:val="auto"/>
              </w:rPr>
            </w:pPr>
            <w:r>
              <w:rPr>
                <w:rFonts w:ascii="Arial" w:cs="Arial" w:eastAsia="Arial" w:hAnsi="Arial"/>
                <w:sz w:val="14"/>
                <w:szCs w:val="14"/>
                <w:color w:val="auto"/>
                <w:w w:val="94"/>
              </w:rPr>
              <w:t>(State or other jurisdiction of</w:t>
            </w: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tcPr>
          <w:p>
            <w:pPr>
              <w:jc w:val="center"/>
              <w:ind w:right="1908"/>
              <w:spacing w:after="0"/>
              <w:rPr>
                <w:sz w:val="20"/>
                <w:szCs w:val="20"/>
                <w:color w:val="auto"/>
              </w:rPr>
            </w:pPr>
            <w:r>
              <w:rPr>
                <w:rFonts w:ascii="Arial" w:cs="Arial" w:eastAsia="Arial" w:hAnsi="Arial"/>
                <w:sz w:val="14"/>
                <w:szCs w:val="14"/>
                <w:color w:val="auto"/>
                <w:w w:val="95"/>
              </w:rPr>
              <w:t>(I.R.S. Employer</w:t>
            </w:r>
          </w:p>
        </w:tc>
      </w:tr>
      <w:tr>
        <w:trPr>
          <w:trHeight w:val="182"/>
        </w:trPr>
        <w:tc>
          <w:tcPr>
            <w:tcW w:w="4100" w:type="dxa"/>
            <w:vAlign w:val="bottom"/>
            <w:gridSpan w:val="3"/>
          </w:tcPr>
          <w:p>
            <w:pPr>
              <w:jc w:val="center"/>
              <w:ind w:left="1008"/>
              <w:spacing w:after="0"/>
              <w:rPr>
                <w:sz w:val="20"/>
                <w:szCs w:val="20"/>
                <w:color w:val="auto"/>
              </w:rPr>
            </w:pPr>
            <w:r>
              <w:rPr>
                <w:rFonts w:ascii="Arial" w:cs="Arial" w:eastAsia="Arial" w:hAnsi="Arial"/>
                <w:sz w:val="14"/>
                <w:szCs w:val="14"/>
                <w:color w:val="auto"/>
                <w:w w:val="95"/>
              </w:rPr>
              <w:t>incorporation or organization)</w:t>
            </w: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tcPr>
          <w:p>
            <w:pPr>
              <w:jc w:val="center"/>
              <w:ind w:right="1888"/>
              <w:spacing w:after="0"/>
              <w:rPr>
                <w:sz w:val="20"/>
                <w:szCs w:val="20"/>
                <w:color w:val="auto"/>
              </w:rPr>
            </w:pPr>
            <w:r>
              <w:rPr>
                <w:rFonts w:ascii="Arial" w:cs="Arial" w:eastAsia="Arial" w:hAnsi="Arial"/>
                <w:sz w:val="14"/>
                <w:szCs w:val="14"/>
                <w:color w:val="auto"/>
                <w:w w:val="99"/>
              </w:rPr>
              <w:t>Identification No.)</w:t>
            </w:r>
          </w:p>
        </w:tc>
      </w:tr>
      <w:tr>
        <w:trPr>
          <w:trHeight w:val="246"/>
        </w:trPr>
        <w:tc>
          <w:tcPr>
            <w:tcW w:w="4100" w:type="dxa"/>
            <w:vAlign w:val="bottom"/>
            <w:gridSpan w:val="3"/>
          </w:tcPr>
          <w:p>
            <w:pPr>
              <w:jc w:val="center"/>
              <w:ind w:left="968"/>
              <w:spacing w:after="0"/>
              <w:rPr>
                <w:sz w:val="20"/>
                <w:szCs w:val="20"/>
                <w:color w:val="auto"/>
              </w:rPr>
            </w:pPr>
            <w:r>
              <w:rPr>
                <w:rFonts w:ascii="Arial" w:cs="Arial" w:eastAsia="Arial" w:hAnsi="Arial"/>
                <w:sz w:val="14"/>
                <w:szCs w:val="14"/>
                <w:b w:val="1"/>
                <w:bCs w:val="1"/>
                <w:color w:val="auto"/>
                <w:w w:val="95"/>
              </w:rPr>
              <w:t>9000 Virginia Manor Road, Suite 200</w:t>
            </w:r>
          </w:p>
        </w:tc>
        <w:tc>
          <w:tcPr>
            <w:tcW w:w="2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179"/>
        </w:trPr>
        <w:tc>
          <w:tcPr>
            <w:tcW w:w="4100" w:type="dxa"/>
            <w:vAlign w:val="bottom"/>
            <w:gridSpan w:val="3"/>
          </w:tcPr>
          <w:p>
            <w:pPr>
              <w:jc w:val="center"/>
              <w:ind w:left="968"/>
              <w:spacing w:after="0"/>
              <w:rPr>
                <w:sz w:val="20"/>
                <w:szCs w:val="20"/>
                <w:color w:val="auto"/>
              </w:rPr>
            </w:pPr>
            <w:r>
              <w:rPr>
                <w:rFonts w:ascii="Arial" w:cs="Arial" w:eastAsia="Arial" w:hAnsi="Arial"/>
                <w:sz w:val="14"/>
                <w:szCs w:val="14"/>
                <w:b w:val="1"/>
                <w:bCs w:val="1"/>
                <w:color w:val="auto"/>
                <w:w w:val="96"/>
              </w:rPr>
              <w:t>Beltsville, Maryland</w:t>
            </w: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tcPr>
          <w:p>
            <w:pPr>
              <w:jc w:val="right"/>
              <w:ind w:right="2308"/>
              <w:spacing w:after="0"/>
              <w:rPr>
                <w:sz w:val="20"/>
                <w:szCs w:val="20"/>
                <w:color w:val="auto"/>
              </w:rPr>
            </w:pPr>
            <w:r>
              <w:rPr>
                <w:rFonts w:ascii="Arial" w:cs="Arial" w:eastAsia="Arial" w:hAnsi="Arial"/>
                <w:sz w:val="14"/>
                <w:szCs w:val="14"/>
                <w:b w:val="1"/>
                <w:bCs w:val="1"/>
                <w:color w:val="auto"/>
              </w:rPr>
              <w:t>20705</w:t>
            </w:r>
          </w:p>
        </w:tc>
      </w:tr>
      <w:tr>
        <w:trPr>
          <w:trHeight w:val="182"/>
        </w:trPr>
        <w:tc>
          <w:tcPr>
            <w:tcW w:w="4100" w:type="dxa"/>
            <w:vAlign w:val="bottom"/>
            <w:gridSpan w:val="3"/>
          </w:tcPr>
          <w:p>
            <w:pPr>
              <w:jc w:val="center"/>
              <w:ind w:left="988"/>
              <w:spacing w:after="0"/>
              <w:rPr>
                <w:sz w:val="20"/>
                <w:szCs w:val="20"/>
                <w:color w:val="auto"/>
              </w:rPr>
            </w:pPr>
            <w:r>
              <w:rPr>
                <w:rFonts w:ascii="Arial" w:cs="Arial" w:eastAsia="Arial" w:hAnsi="Arial"/>
                <w:sz w:val="14"/>
                <w:szCs w:val="14"/>
                <w:color w:val="auto"/>
                <w:w w:val="95"/>
              </w:rPr>
              <w:t>(Address of principal executive offices)</w:t>
            </w:r>
          </w:p>
        </w:tc>
        <w:tc>
          <w:tcPr>
            <w:tcW w:w="2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20" w:type="dxa"/>
            <w:vAlign w:val="bottom"/>
          </w:tcPr>
          <w:p>
            <w:pPr>
              <w:jc w:val="center"/>
              <w:ind w:right="1928"/>
              <w:spacing w:after="0"/>
              <w:rPr>
                <w:sz w:val="20"/>
                <w:szCs w:val="20"/>
                <w:color w:val="auto"/>
              </w:rPr>
            </w:pPr>
            <w:r>
              <w:rPr>
                <w:rFonts w:ascii="Arial" w:cs="Arial" w:eastAsia="Arial" w:hAnsi="Arial"/>
                <w:sz w:val="14"/>
                <w:szCs w:val="14"/>
                <w:color w:val="auto"/>
                <w:w w:val="96"/>
              </w:rPr>
              <w:t>(Zip Code)</w:t>
            </w:r>
          </w:p>
        </w:tc>
      </w:tr>
      <w:tr>
        <w:trPr>
          <w:trHeight w:val="243"/>
        </w:trPr>
        <w:tc>
          <w:tcPr>
            <w:tcW w:w="7120" w:type="dxa"/>
            <w:vAlign w:val="bottom"/>
            <w:gridSpan w:val="6"/>
          </w:tcPr>
          <w:p>
            <w:pPr>
              <w:jc w:val="center"/>
              <w:ind w:left="304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(240) 399-4900</w:t>
            </w:r>
          </w:p>
        </w:tc>
        <w:tc>
          <w:tcPr>
            <w:tcW w:w="3120" w:type="dxa"/>
            <w:vAlign w:val="bottom"/>
          </w:tcPr>
          <w:p>
            <w:pPr>
              <w:spacing w:after="0"/>
              <w:rPr>
                <w:sz w:val="21"/>
                <w:szCs w:val="21"/>
                <w:color w:val="auto"/>
              </w:rPr>
            </w:pPr>
          </w:p>
        </w:tc>
      </w:tr>
      <w:tr>
        <w:trPr>
          <w:trHeight w:val="243"/>
        </w:trPr>
        <w:tc>
          <w:tcPr>
            <w:tcW w:w="4100" w:type="dxa"/>
            <w:vAlign w:val="bottom"/>
            <w:gridSpan w:val="3"/>
          </w:tcPr>
          <w:p>
            <w:pPr>
              <w:ind w:left="660"/>
              <w:spacing w:after="0"/>
              <w:rPr>
                <w:sz w:val="20"/>
                <w:szCs w:val="20"/>
                <w:color w:val="auto"/>
              </w:rPr>
            </w:pPr>
            <w:r>
              <w:rPr>
                <w:rFonts w:ascii="Arial" w:cs="Arial" w:eastAsia="Arial" w:hAnsi="Arial"/>
                <w:sz w:val="14"/>
                <w:szCs w:val="14"/>
                <w:color w:val="auto"/>
                <w:w w:val="96"/>
              </w:rPr>
              <w:t>Securities registered pursuant to Section 12(b) of the Act:</w:t>
            </w:r>
          </w:p>
        </w:tc>
        <w:tc>
          <w:tcPr>
            <w:tcW w:w="2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66"/>
        </w:trPr>
        <w:tc>
          <w:tcPr>
            <w:tcW w:w="35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r>
      <w:tr>
        <w:trPr>
          <w:trHeight w:val="142"/>
        </w:trPr>
        <w:tc>
          <w:tcPr>
            <w:tcW w:w="35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Title of each class</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40" w:type="dxa"/>
            <w:vAlign w:val="bottom"/>
            <w:tcBorders>
              <w:bottom w:val="single" w:sz="8" w:color="auto"/>
              <w:right w:val="single" w:sz="8" w:color="auto"/>
            </w:tcBorders>
            <w:gridSpan w:val="2"/>
          </w:tcPr>
          <w:p>
            <w:pPr>
              <w:jc w:val="center"/>
              <w:ind w:right="580"/>
              <w:spacing w:after="0" w:line="142" w:lineRule="exact"/>
              <w:rPr>
                <w:sz w:val="20"/>
                <w:szCs w:val="20"/>
                <w:color w:val="auto"/>
              </w:rPr>
            </w:pPr>
            <w:r>
              <w:rPr>
                <w:rFonts w:ascii="Arial" w:cs="Arial" w:eastAsia="Arial" w:hAnsi="Arial"/>
                <w:sz w:val="14"/>
                <w:szCs w:val="14"/>
                <w:color w:val="auto"/>
                <w:w w:val="96"/>
              </w:rPr>
              <w:t>Trading Symbol(s)</w:t>
            </w:r>
          </w:p>
        </w:tc>
        <w:tc>
          <w:tcPr>
            <w:tcW w:w="380" w:type="dxa"/>
            <w:vAlign w:val="bottom"/>
            <w:tcBorders>
              <w:bottom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jc w:val="center"/>
              <w:ind w:right="328"/>
              <w:spacing w:after="0" w:line="142" w:lineRule="exact"/>
              <w:rPr>
                <w:sz w:val="20"/>
                <w:szCs w:val="20"/>
                <w:color w:val="auto"/>
              </w:rPr>
            </w:pPr>
            <w:r>
              <w:rPr>
                <w:rFonts w:ascii="Arial" w:cs="Arial" w:eastAsia="Arial" w:hAnsi="Arial"/>
                <w:sz w:val="14"/>
                <w:szCs w:val="14"/>
                <w:color w:val="auto"/>
                <w:w w:val="92"/>
              </w:rPr>
              <w:t>Name of each exchange on which registered:</w:t>
            </w:r>
          </w:p>
        </w:tc>
      </w:tr>
      <w:tr>
        <w:trPr>
          <w:trHeight w:val="142"/>
        </w:trPr>
        <w:tc>
          <w:tcPr>
            <w:tcW w:w="356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Common Stock, $0.001 par value per share</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40" w:type="dxa"/>
            <w:vAlign w:val="bottom"/>
            <w:tcBorders>
              <w:bottom w:val="single" w:sz="8" w:color="auto"/>
              <w:right w:val="single" w:sz="8" w:color="auto"/>
            </w:tcBorders>
            <w:gridSpan w:val="2"/>
          </w:tcPr>
          <w:p>
            <w:pPr>
              <w:jc w:val="center"/>
              <w:ind w:right="580"/>
              <w:spacing w:after="0" w:line="142" w:lineRule="exact"/>
              <w:rPr>
                <w:sz w:val="20"/>
                <w:szCs w:val="20"/>
                <w:color w:val="auto"/>
              </w:rPr>
            </w:pPr>
            <w:r>
              <w:rPr>
                <w:rFonts w:ascii="Arial" w:cs="Arial" w:eastAsia="Arial" w:hAnsi="Arial"/>
                <w:sz w:val="14"/>
                <w:szCs w:val="14"/>
                <w:color w:val="auto"/>
                <w:w w:val="99"/>
              </w:rPr>
              <w:t>NXTC</w:t>
            </w:r>
          </w:p>
        </w:tc>
        <w:tc>
          <w:tcPr>
            <w:tcW w:w="380" w:type="dxa"/>
            <w:vAlign w:val="bottom"/>
            <w:tcBorders>
              <w:bottom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jc w:val="center"/>
              <w:ind w:right="348"/>
              <w:spacing w:after="0" w:line="142" w:lineRule="exact"/>
              <w:rPr>
                <w:sz w:val="20"/>
                <w:szCs w:val="20"/>
                <w:color w:val="auto"/>
              </w:rPr>
            </w:pPr>
            <w:r>
              <w:rPr>
                <w:rFonts w:ascii="Arial" w:cs="Arial" w:eastAsia="Arial" w:hAnsi="Arial"/>
                <w:sz w:val="14"/>
                <w:szCs w:val="14"/>
                <w:color w:val="auto"/>
                <w:w w:val="93"/>
              </w:rPr>
              <w:t>Nasdaq Global Select Market</w:t>
            </w:r>
          </w:p>
        </w:tc>
      </w:tr>
    </w:tbl>
    <w:p>
      <w:pPr>
        <w:spacing w:after="0" w:line="7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8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3"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3"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left="20"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0"/>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left="2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left="20"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34"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65"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ind w:left="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95" w:lineRule="exact"/>
        <w:rPr>
          <w:sz w:val="24"/>
          <w:szCs w:val="24"/>
          <w:color w:val="auto"/>
        </w:rPr>
      </w:pPr>
    </w:p>
    <w:p>
      <w:pPr>
        <w:sectPr>
          <w:pgSz w:w="11900" w:h="16838" w:orient="portrait"/>
          <w:cols w:equalWidth="0" w:num="2">
            <w:col w:w="7760" w:space="720"/>
            <w:col w:w="1760"/>
          </w:cols>
          <w:pgMar w:left="820" w:top="665" w:right="839" w:bottom="1440" w:gutter="0" w:footer="0" w:header="0"/>
          <w:type w:val="continuous"/>
        </w:sectPr>
      </w:pPr>
    </w:p>
    <w:p>
      <w:pPr>
        <w:jc w:val="both"/>
        <w:ind w:left="20"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left="20" w:right="20" w:firstLine="648"/>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9" w:lineRule="exact"/>
        <w:rPr>
          <w:sz w:val="24"/>
          <w:szCs w:val="24"/>
          <w:color w:val="auto"/>
        </w:rPr>
      </w:pPr>
    </w:p>
    <w:p>
      <w:pPr>
        <w:jc w:val="both"/>
        <w:ind w:left="20" w:right="20"/>
        <w:spacing w:after="0" w:line="290" w:lineRule="auto"/>
        <w:rPr>
          <w:sz w:val="20"/>
          <w:szCs w:val="20"/>
          <w:color w:val="auto"/>
        </w:rPr>
      </w:pPr>
      <w:r>
        <w:rPr>
          <w:rFonts w:ascii="Arial" w:cs="Arial" w:eastAsia="Arial" w:hAnsi="Arial"/>
          <w:sz w:val="13"/>
          <w:szCs w:val="13"/>
          <w:color w:val="auto"/>
        </w:rPr>
        <w:t>The aggregate market value of the registrant’s common stock held by non-affiliates as of June 30, 2021 the last business day of the registrant’s most recently completed second fiscal quarter, was approximately $209.0 million, as computed by reference to the closing price of the common stock on the Nasdaq Global Select Market on that date.</w:t>
      </w:r>
    </w:p>
    <w:p>
      <w:pPr>
        <w:spacing w:after="0" w:line="1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March 2, 2022, the registrant had 27,724,303 shares of common stock, par value $0.001 per share, issued and outstanding.</w:t>
      </w:r>
    </w:p>
    <w:p>
      <w:pPr>
        <w:spacing w:after="0" w:line="65"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jc w:val="both"/>
        <w:ind w:left="20"/>
        <w:spacing w:after="0" w:line="253" w:lineRule="auto"/>
        <w:rPr>
          <w:sz w:val="20"/>
          <w:szCs w:val="20"/>
          <w:color w:val="auto"/>
        </w:rPr>
      </w:pPr>
      <w:r>
        <w:rPr>
          <w:rFonts w:ascii="Arial" w:cs="Arial" w:eastAsia="Arial" w:hAnsi="Arial"/>
          <w:sz w:val="14"/>
          <w:szCs w:val="14"/>
          <w:color w:val="auto"/>
        </w:rPr>
        <w:t>Portions of the registrant’s definitive Proxy Statement for its 2022 Annual Meeting of Stockholders, which will be filed with the Commission within 120 days after December 31, 2021,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464820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36195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79375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2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2"/>
              </w:rPr>
              <w:t>NextCure, Inc.</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2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auto"/>
                <w:w w:val="96"/>
              </w:rPr>
              <w:t>Form 10-K</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gridSpan w:val="12"/>
          </w:tcPr>
          <w:p>
            <w:pPr>
              <w:jc w:val="center"/>
              <w:ind w:right="2400"/>
              <w:spacing w:after="0"/>
              <w:rPr>
                <w:sz w:val="20"/>
                <w:szCs w:val="20"/>
                <w:color w:val="auto"/>
              </w:rPr>
            </w:pPr>
            <w:r>
              <w:rPr>
                <w:rFonts w:ascii="Arial" w:cs="Arial" w:eastAsia="Arial" w:hAnsi="Arial"/>
                <w:sz w:val="18"/>
                <w:szCs w:val="18"/>
                <w:b w:val="1"/>
                <w:bCs w:val="1"/>
                <w:color w:val="auto"/>
                <w:w w:val="90"/>
              </w:rPr>
              <w:t>For the Year Ended December 31, 2021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gridSpan w:val="12"/>
          </w:tcPr>
          <w:p>
            <w:pPr>
              <w:jc w:val="center"/>
              <w:ind w:right="24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gridSpan w:val="2"/>
            <w:vMerge w:val="restart"/>
          </w:tcPr>
          <w:p>
            <w:pPr>
              <w:spacing w:after="0"/>
              <w:rPr>
                <w:rFonts w:ascii="Arial" w:cs="Arial" w:eastAsia="Arial" w:hAnsi="Arial"/>
                <w:sz w:val="18"/>
                <w:szCs w:val="18"/>
                <w:b w:val="1"/>
                <w:bCs w:val="1"/>
                <w:color w:val="0000EE"/>
                <w:w w:val="84"/>
              </w:rPr>
            </w:pPr>
            <w:hyperlink w:anchor="page6">
              <w:r>
                <w:rPr>
                  <w:rFonts w:ascii="Arial" w:cs="Arial" w:eastAsia="Arial" w:hAnsi="Arial"/>
                  <w:sz w:val="18"/>
                  <w:szCs w:val="18"/>
                  <w:b w:val="1"/>
                  <w:bCs w:val="1"/>
                  <w:color w:val="0000EE"/>
                  <w:w w:val="84"/>
                </w:rPr>
                <w:t>PART I</w:t>
              </w:r>
            </w:hyperlink>
          </w:p>
        </w:tc>
        <w:tc>
          <w:tcPr>
            <w:tcW w:w="280" w:type="dxa"/>
            <w:vAlign w:val="bottom"/>
            <w:gridSpan w:val="4"/>
            <w:vMerge w:val="restart"/>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gridSpan w:val="2"/>
            <w:vMerge w:val="continue"/>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762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0"/>
              </w:rPr>
            </w:pPr>
            <w:hyperlink w:anchor="page33">
              <w:r>
                <w:rPr>
                  <w:rFonts w:ascii="Arial" w:cs="Arial" w:eastAsia="Arial" w:hAnsi="Arial"/>
                  <w:sz w:val="18"/>
                  <w:szCs w:val="18"/>
                  <w:color w:val="0000EE"/>
                  <w:w w:val="80"/>
                </w:rPr>
                <w:t>Item 1A</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0"/>
              </w:rPr>
            </w:pPr>
            <w:hyperlink w:anchor="page78">
              <w:r>
                <w:rPr>
                  <w:rFonts w:ascii="Arial" w:cs="Arial" w:eastAsia="Arial" w:hAnsi="Arial"/>
                  <w:sz w:val="18"/>
                  <w:szCs w:val="18"/>
                  <w:color w:val="0000EE"/>
                  <w:w w:val="80"/>
                </w:rPr>
                <w:t>Item 1B</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Unresolved Staff Comments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Item 2</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Properties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3</w:t>
              </w:r>
            </w:hyperlink>
          </w:p>
        </w:tc>
        <w:tc>
          <w:tcPr>
            <w:tcW w:w="762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Legal Proceedings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4</w:t>
              </w:r>
            </w:hyperlink>
          </w:p>
        </w:tc>
        <w:tc>
          <w:tcPr>
            <w:tcW w:w="762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Mine Safety Disclosures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6"/>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II</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5</w:t>
              </w:r>
            </w:hyperlink>
          </w:p>
        </w:tc>
        <w:tc>
          <w:tcPr>
            <w:tcW w:w="180" w:type="dxa"/>
            <w:vAlign w:val="bottom"/>
            <w:gridSpan w:val="3"/>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Market for Registrant’s Common Equity, Related Stockholder Matters, and Issuer Purchases of Equity</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Securities</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6</w:t>
              </w:r>
            </w:hyperlink>
          </w:p>
        </w:tc>
        <w:tc>
          <w:tcPr>
            <w:tcW w:w="7620" w:type="dxa"/>
            <w:vAlign w:val="bottom"/>
            <w:gridSpan w:val="2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Selected Financial Data</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7</w:t>
              </w:r>
            </w:hyperlink>
          </w:p>
        </w:tc>
        <w:tc>
          <w:tcPr>
            <w:tcW w:w="7620" w:type="dxa"/>
            <w:vAlign w:val="bottom"/>
            <w:gridSpan w:val="2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0"/>
              </w:rPr>
            </w:pPr>
            <w:hyperlink w:anchor="page89">
              <w:r>
                <w:rPr>
                  <w:rFonts w:ascii="Arial" w:cs="Arial" w:eastAsia="Arial" w:hAnsi="Arial"/>
                  <w:sz w:val="18"/>
                  <w:szCs w:val="18"/>
                  <w:color w:val="0000EE"/>
                  <w:w w:val="80"/>
                </w:rPr>
                <w:t>Item 7A</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Quantitative and Qualitative Disclosures About Market Risk</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9"/>
              </w:rPr>
            </w:pPr>
            <w:hyperlink w:anchor="page90">
              <w:r>
                <w:rPr>
                  <w:rFonts w:ascii="Arial" w:cs="Arial" w:eastAsia="Arial" w:hAnsi="Arial"/>
                  <w:sz w:val="18"/>
                  <w:szCs w:val="18"/>
                  <w:color w:val="0000EE"/>
                  <w:w w:val="99"/>
                </w:rPr>
                <w:t>Item 8</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Financial Statements and Supplementary Data</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Item 9</w:t>
              </w:r>
            </w:hyperlink>
          </w:p>
        </w:tc>
        <w:tc>
          <w:tcPr>
            <w:tcW w:w="7620" w:type="dxa"/>
            <w:vAlign w:val="bottom"/>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Changes in and Disagreements with Accountants on Accounting and Financial Disclosure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0"/>
              </w:rPr>
            </w:pPr>
            <w:hyperlink w:anchor="page113">
              <w:r>
                <w:rPr>
                  <w:rFonts w:ascii="Arial" w:cs="Arial" w:eastAsia="Arial" w:hAnsi="Arial"/>
                  <w:sz w:val="18"/>
                  <w:szCs w:val="18"/>
                  <w:color w:val="0000EE"/>
                  <w:w w:val="80"/>
                </w:rPr>
                <w:t>Item 9A</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Controls and Procedures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0"/>
              </w:rPr>
            </w:pPr>
            <w:hyperlink w:anchor="page113">
              <w:r>
                <w:rPr>
                  <w:rFonts w:ascii="Arial" w:cs="Arial" w:eastAsia="Arial" w:hAnsi="Arial"/>
                  <w:sz w:val="18"/>
                  <w:szCs w:val="18"/>
                  <w:color w:val="0000EE"/>
                  <w:w w:val="80"/>
                </w:rPr>
                <w:t>Item 9B</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Item 9C</w:t>
              </w:r>
            </w:hyperlink>
          </w:p>
        </w:tc>
        <w:tc>
          <w:tcPr>
            <w:tcW w:w="7620" w:type="dxa"/>
            <w:vAlign w:val="bottom"/>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Disclosure Regarding Foreign Jurisdictions that Prevent Inspections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PART III</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3"/>
              </w:rPr>
            </w:pPr>
            <w:hyperlink w:anchor="page113">
              <w:r>
                <w:rPr>
                  <w:rFonts w:ascii="Arial" w:cs="Arial" w:eastAsia="Arial" w:hAnsi="Arial"/>
                  <w:sz w:val="18"/>
                  <w:szCs w:val="18"/>
                  <w:color w:val="0000EE"/>
                  <w:w w:val="83"/>
                </w:rPr>
                <w:t>Item 10</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Directors, Executive Officers, and Corporate Governance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3"/>
              </w:rPr>
            </w:pPr>
            <w:hyperlink w:anchor="page113">
              <w:r>
                <w:rPr>
                  <w:rFonts w:ascii="Arial" w:cs="Arial" w:eastAsia="Arial" w:hAnsi="Arial"/>
                  <w:sz w:val="18"/>
                  <w:szCs w:val="18"/>
                  <w:color w:val="0000EE"/>
                  <w:w w:val="83"/>
                </w:rPr>
                <w:t>Item 11</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3"/>
              </w:rPr>
            </w:pPr>
            <w:hyperlink w:anchor="page114">
              <w:r>
                <w:rPr>
                  <w:rFonts w:ascii="Arial" w:cs="Arial" w:eastAsia="Arial" w:hAnsi="Arial"/>
                  <w:sz w:val="18"/>
                  <w:szCs w:val="18"/>
                  <w:color w:val="0000EE"/>
                  <w:w w:val="83"/>
                </w:rPr>
                <w:t>Item 12</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Security Ownership of Certain Beneficial Owners and Management and Related Stockholder Matters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3"/>
              </w:rPr>
            </w:pPr>
            <w:hyperlink w:anchor="page114">
              <w:r>
                <w:rPr>
                  <w:rFonts w:ascii="Arial" w:cs="Arial" w:eastAsia="Arial" w:hAnsi="Arial"/>
                  <w:sz w:val="18"/>
                  <w:szCs w:val="18"/>
                  <w:color w:val="0000EE"/>
                  <w:w w:val="83"/>
                </w:rPr>
                <w:t>Item 13</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Certain Relationships and Related Transactions and Director Independence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3"/>
              </w:rPr>
            </w:pPr>
            <w:hyperlink w:anchor="page114">
              <w:r>
                <w:rPr>
                  <w:rFonts w:ascii="Arial" w:cs="Arial" w:eastAsia="Arial" w:hAnsi="Arial"/>
                  <w:sz w:val="18"/>
                  <w:szCs w:val="18"/>
                  <w:color w:val="0000EE"/>
                  <w:w w:val="83"/>
                </w:rPr>
                <w:t>Item 14</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Principal Accounting Fees and Services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6"/>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IV</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83"/>
              </w:rPr>
            </w:pPr>
            <w:hyperlink w:anchor="page114">
              <w:r>
                <w:rPr>
                  <w:rFonts w:ascii="Arial" w:cs="Arial" w:eastAsia="Arial" w:hAnsi="Arial"/>
                  <w:sz w:val="18"/>
                  <w:szCs w:val="18"/>
                  <w:color w:val="0000EE"/>
                  <w:w w:val="83"/>
                </w:rPr>
                <w:t>Item 15</w:t>
              </w:r>
            </w:hyperlink>
          </w:p>
        </w:tc>
        <w:tc>
          <w:tcPr>
            <w:tcW w:w="160" w:type="dxa"/>
            <w:vAlign w:val="bottom"/>
            <w:tcBorders>
              <w:top w:val="single" w:sz="8" w:color="0000EE"/>
            </w:tcBorders>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Exhibits, Financial Statement Schedules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72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83"/>
              </w:rPr>
            </w:pPr>
            <w:hyperlink w:anchor="page117">
              <w:r>
                <w:rPr>
                  <w:rFonts w:ascii="Arial" w:cs="Arial" w:eastAsia="Arial" w:hAnsi="Arial"/>
                  <w:sz w:val="18"/>
                  <w:szCs w:val="18"/>
                  <w:color w:val="0000EE"/>
                  <w:w w:val="83"/>
                </w:rPr>
                <w:t>Item 16</w:t>
              </w:r>
            </w:hyperlink>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Form 10-K Summary</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SIGNATURES</w:t>
              </w:r>
            </w:hyperlink>
          </w:p>
        </w:tc>
        <w:tc>
          <w:tcPr>
            <w:tcW w:w="734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Annual Report contains forward-looking statements, including with respect to our plans, objectives and expectations for our business, operations and financial performance and condition. Any statements contained herein that are not statements of historical facts may be deemed to be forward-looking statements. The forward-looking statements are contained principally in the sections entitled “Business,” “Risk Factors” and “Management’s Discussion and Analysis of Financial Condition and Results of Operations,” but are also contained elsewhere in this Annual Report.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85" w:lineRule="exact"/>
        <w:rPr>
          <w:sz w:val="20"/>
          <w:szCs w:val="20"/>
          <w:color w:val="auto"/>
        </w:rPr>
      </w:pPr>
    </w:p>
    <w:p>
      <w:pPr>
        <w:jc w:val="both"/>
        <w:ind w:left="380" w:right="79" w:hanging="330"/>
        <w:spacing w:after="0" w:line="25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progress and results of preclinical studies and clinical trials for NC318, NC410, NC762, NC525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2" w:lineRule="exact"/>
        <w:rPr>
          <w:rFonts w:ascii="Arial" w:cs="Arial" w:eastAsia="Arial" w:hAnsi="Arial"/>
          <w:sz w:val="18"/>
          <w:szCs w:val="18"/>
          <w:color w:val="auto"/>
        </w:rPr>
      </w:pPr>
    </w:p>
    <w:p>
      <w:pPr>
        <w:ind w:left="380" w:right="79" w:hanging="330"/>
        <w:spacing w:after="0" w:line="281"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or likelihood of regulatory filings for NC318, NC410, NC762, NC525 and any other product candidates we develop and our ability to obtain and maintain regulatory approvals for such product candidates for any indication;</w:t>
      </w:r>
    </w:p>
    <w:p>
      <w:pPr>
        <w:spacing w:after="0" w:line="1" w:lineRule="exact"/>
        <w:rPr>
          <w:rFonts w:ascii="Arial" w:cs="Arial" w:eastAsia="Arial" w:hAnsi="Arial"/>
          <w:sz w:val="16"/>
          <w:szCs w:val="16"/>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identification, analysis and use of biomarkers and biomarker data;</w:t>
      </w:r>
    </w:p>
    <w:p>
      <w:pPr>
        <w:spacing w:after="0" w:line="9"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impact of the COVID-19 pandemic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patient selection assays and companion or complimentary diagnostics for NC318, NC410, NC762 or any other product candidates we develop;</w:t>
      </w:r>
    </w:p>
    <w:p>
      <w:pPr>
        <w:ind w:left="380" w:hanging="330"/>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manufacturing capabilities and strategy, including the scalability of our manufacturing methods and processes;</w:t>
      </w:r>
    </w:p>
    <w:p>
      <w:pPr>
        <w:spacing w:after="0" w:line="20" w:lineRule="exact"/>
        <w:rPr>
          <w:rFonts w:ascii="Arial" w:cs="Arial" w:eastAsia="Arial" w:hAnsi="Arial"/>
          <w:sz w:val="17"/>
          <w:szCs w:val="17"/>
          <w:color w:val="auto"/>
        </w:rPr>
      </w:pPr>
    </w:p>
    <w:p>
      <w:pPr>
        <w:ind w:left="380" w:right="79" w:hanging="330"/>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NC318, NC410, NC762, NC525 and any other product candidates we develop;</w:t>
      </w: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intentions and ability to successfully commercialize our product candidates;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nature of the biological pathways we are targeting;</w:t>
      </w:r>
    </w:p>
    <w:p>
      <w:pPr>
        <w:spacing w:after="0" w:line="9"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our FIND-IO platform, including our ability to discover and advance product candidates using our FIND-IO platform;</w:t>
      </w: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 with Yale University;</w:t>
      </w:r>
    </w:p>
    <w:p>
      <w:pPr>
        <w:spacing w:after="0" w:line="9"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1"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intended reliance on and the performance of third parties, including collaborators, contract research organizations and third-party manufacturers;</w:t>
      </w:r>
    </w:p>
    <w:p>
      <w:pPr>
        <w:ind w:left="380" w:hanging="330"/>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protect and enforce our intellectual property protection and the scope and duration of such protection;</w:t>
      </w:r>
    </w:p>
    <w:p>
      <w:pPr>
        <w:spacing w:after="0" w:line="32" w:lineRule="exact"/>
        <w:rPr>
          <w:rFonts w:ascii="Arial" w:cs="Arial" w:eastAsia="Arial" w:hAnsi="Arial"/>
          <w:sz w:val="16"/>
          <w:szCs w:val="16"/>
          <w:color w:val="auto"/>
        </w:rPr>
      </w:pPr>
    </w:p>
    <w:p>
      <w:pPr>
        <w:ind w:left="380" w:hanging="330"/>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competing therapies; and</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w:t>
      </w:r>
    </w:p>
    <w:p>
      <w:pPr>
        <w:spacing w:after="0" w:line="21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These statements, and other forward-looking statements, are based on management’s current expectations, estimates, forecasts and projections about our business and industry, are not guarantees of future performance and involve known and unknown risks, uncertainties and other factors that are in some cases beyond our control, such as the continued impact of the COVID-19 pandemic, and that may cause our or our industry’s actual results, levels of activity, performance or achievements to be materially different from those anticipated by the forward-looking statements. Forward-looking statements contained in this Annual Report should be considered in light of these factors and the factors set forth under “Risk Factor Summary” below and the factors described elsewhere in this Annual Report, including in the sections entitled “Risk Factors” and “Management’s Discussion and Analysis of Financial Condition and Results of Operations.” These factors, and the other cautionary statements made in this Annual Report, are applicable to all related forward-looking statements wherever they appear in this Annual Report.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caution readers not to place undue reliance on any forward-looking statements made by us, which speak only as of the date of this Annual Report. We undertake no obligation to publicly update any forward-looking statements after the date of this Annual Report, whether as a result of new information, future events or otherwise, except as required by law. We qualify all of our forward-looking statements by the foregoing cautionary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following is a summary of the principal risk factors that make an investment in our common stock speculative or risky. Before you invest in our securities, you should read the following summary together with the more detailed description of material risks described under "Risk Factors" in Item 1A of this Annual Report and the other information contained in this Annual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operating history and no products approved for commercial sale. We have a history of significant losses, expect to continue to incur significant losses for the foreseeable future and may never achieve or maintain profitability. We have never generated revenue from product sales and may never be profitable.</w:t>
      </w:r>
    </w:p>
    <w:p>
      <w:pPr>
        <w:ind w:left="380" w:right="79" w:hanging="330"/>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pursue our business objectives, which may not be available on acceptable terms, or at all.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7"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impacts of the COVID-19 pandemic could continue to adversely affect our business.</w:t>
      </w:r>
    </w:p>
    <w:p>
      <w:pPr>
        <w:spacing w:after="0" w:line="9" w:lineRule="exact"/>
        <w:rPr>
          <w:rFonts w:ascii="Arial" w:cs="Arial" w:eastAsia="Arial" w:hAnsi="Arial"/>
          <w:sz w:val="18"/>
          <w:szCs w:val="18"/>
          <w:color w:val="auto"/>
        </w:rPr>
      </w:pPr>
    </w:p>
    <w:p>
      <w:pPr>
        <w:ind w:left="380" w:right="79" w:hanging="330"/>
        <w:spacing w:after="0" w:line="265"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dependent on our ability to advance our current and future product candidates through preclinical studies and clinical trials, marketing approval and ultimately commercialization, each of which is uncertain.</w:t>
      </w: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approval processes are lengthy and inherently unpredictable.</w:t>
      </w:r>
    </w:p>
    <w:p>
      <w:pPr>
        <w:spacing w:after="0" w:line="9" w:lineRule="exact"/>
        <w:rPr>
          <w:rFonts w:ascii="Arial" w:cs="Arial" w:eastAsia="Arial" w:hAnsi="Arial"/>
          <w:sz w:val="18"/>
          <w:szCs w:val="18"/>
          <w:color w:val="auto"/>
        </w:rPr>
      </w:pPr>
    </w:p>
    <w:p>
      <w:pPr>
        <w:jc w:val="both"/>
        <w:ind w:left="380" w:right="79" w:hanging="330"/>
        <w:spacing w:after="0" w:line="265"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development involves a lengthy and expensive process with uncertain outcomes, and as an organization we have limited experience designing and implementing clinical trials. Failure to adequately design a trial, or incorrect assumptions about the design of the trial, has resulted in delays in product development and could result in additional costs, delays or the inability to develop, obtain regulatory approval for or commercialize our products.</w:t>
      </w:r>
    </w:p>
    <w:p>
      <w:pPr>
        <w:jc w:val="both"/>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 w:lineRule="exact"/>
        <w:rPr>
          <w:rFonts w:ascii="Arial" w:cs="Arial" w:eastAsia="Arial" w:hAnsi="Arial"/>
          <w:sz w:val="18"/>
          <w:szCs w:val="18"/>
          <w:color w:val="auto"/>
        </w:rPr>
      </w:pPr>
    </w:p>
    <w:p>
      <w:pPr>
        <w:ind w:left="380" w:right="79" w:hanging="330"/>
        <w:spacing w:after="0" w:line="265"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Positive results from preclinical studies and early-stage clinical trials may not be predictive of future results. Initial positive results may not be indicative of results obtained when the trial is completed or in later stage trials.</w:t>
      </w: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our collaborators, could continue to encounter difficulties enrolling patients in our clinical trials due to the COVID-19 pandemic or otherwise.</w:t>
      </w:r>
    </w:p>
    <w:p>
      <w:pPr>
        <w:ind w:left="380" w:right="79" w:hanging="330"/>
        <w:spacing w:after="0" w:line="281"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Because the numbers of subjects in our Phase 1/2 clinical trials of NC318, NC410 and NC762 are small, the results from each of these trials, once completed, may be less reliable than results achieved in larger clinical trials.</w:t>
      </w:r>
    </w:p>
    <w:p>
      <w:pPr>
        <w:spacing w:after="0" w:line="1" w:lineRule="exact"/>
        <w:rPr>
          <w:rFonts w:ascii="Arial" w:cs="Arial" w:eastAsia="Arial" w:hAnsi="Arial"/>
          <w:sz w:val="16"/>
          <w:szCs w:val="16"/>
          <w:color w:val="auto"/>
        </w:rPr>
      </w:pPr>
    </w:p>
    <w:p>
      <w:pPr>
        <w:jc w:val="both"/>
        <w:ind w:left="380" w:right="79" w:hanging="330"/>
        <w:spacing w:after="0" w:line="255"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undesirable side effects or have other properties that could halt their clinical development, delay or prevent their regulatory approval, limit their commercial potential or result in significant negative consequences.</w:t>
      </w:r>
    </w:p>
    <w:p>
      <w:pPr>
        <w:spacing w:after="0" w:line="186" w:lineRule="exact"/>
        <w:rPr>
          <w:sz w:val="20"/>
          <w:szCs w:val="20"/>
          <w:color w:val="auto"/>
        </w:rPr>
      </w:pPr>
    </w:p>
    <w:p>
      <w:pPr>
        <w:ind w:left="60" w:right="819"/>
        <w:spacing w:after="0" w:line="261" w:lineRule="auto"/>
        <w:rPr>
          <w:sz w:val="20"/>
          <w:szCs w:val="20"/>
          <w:color w:val="auto"/>
        </w:rPr>
      </w:pPr>
      <w:r>
        <w:rPr>
          <w:rFonts w:ascii="Arial" w:cs="Arial" w:eastAsia="Arial" w:hAnsi="Arial"/>
          <w:sz w:val="18"/>
          <w:szCs w:val="18"/>
          <w:b w:val="1"/>
          <w:bCs w:val="1"/>
          <w:color w:val="auto"/>
        </w:rPr>
        <w:t>Risks Related to the Regulatory Approval and Commercialization of Product Candidates and Other Legal Compliance Matters</w:t>
      </w:r>
    </w:p>
    <w:p>
      <w:pPr>
        <w:ind w:left="380" w:right="79" w:hanging="330"/>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unable to obtain regulatory approval of our product candidates. The denial or delay of any such approval would prevent or delay commercialization of our product candidates and harm our business.</w:t>
      </w:r>
    </w:p>
    <w:p>
      <w:pPr>
        <w:jc w:val="both"/>
        <w:ind w:left="380" w:right="79" w:hanging="330"/>
        <w:spacing w:after="0" w:line="265"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Even if a current or future product candidate receives marketing approval, it may fail to achieve the degree of market acceptance by physicians, patients, third-party payors and others in the medical community necessary for commercial success, and the market opportunities for any such product candidate may be limited.</w:t>
      </w:r>
    </w:p>
    <w:p>
      <w:pPr>
        <w:ind w:left="380" w:hanging="330"/>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Development of product candidates, in combination with other therapies, exposes us to additional regulatory risks.</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data and our information technology systems, and any failure of these systems or any related security breaches, loss of data, or other disruptions could harm our 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7" w:lineRule="exact"/>
        <w:rPr>
          <w:sz w:val="20"/>
          <w:szCs w:val="20"/>
          <w:color w:val="auto"/>
        </w:rPr>
      </w:pPr>
    </w:p>
    <w:p>
      <w:pPr>
        <w:jc w:val="both"/>
        <w:ind w:left="380" w:right="79" w:hanging="330"/>
        <w:spacing w:after="0" w:line="255"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Given our limited operating history, our manufacturing experience, as an organization and with our manufacturing facility, is limited. We are subject to multiple manufacturing risks, any of which could substantially increase our costs and limit supply of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91"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unable to successfully scale-up manufacturing of our product candidates in sufficient quality and quantity, which would delay or prevent us from developing and, if approved, commercializing our product candidates.</w:t>
      </w:r>
    </w:p>
    <w:p>
      <w:pPr>
        <w:jc w:val="both"/>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 w:lineRule="exact"/>
        <w:rPr>
          <w:rFonts w:ascii="Arial" w:cs="Arial" w:eastAsia="Arial" w:hAnsi="Arial"/>
          <w:sz w:val="18"/>
          <w:szCs w:val="18"/>
          <w:color w:val="auto"/>
        </w:rPr>
      </w:pPr>
    </w:p>
    <w:p>
      <w:pPr>
        <w:ind w:left="380" w:right="79" w:hanging="330"/>
        <w:spacing w:after="0" w:line="26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third-party suppliers for key materials used in our manufacturing process, and the loss of these third-party suppliers or their inability to supply us with adequate materials could harm our 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filed patent applications for our lead product candidates, but no patent has yet issued from these applications. If we are unable to obtain and maintain patent protection, or if the scope of the patent protection obtained is not sufficiently robust, our competitors could develop and commercialize products similar or identical to ours, and our ability to successfully commercialize our product candidates may be adversely affected.</w:t>
      </w:r>
    </w:p>
    <w:p>
      <w:pPr>
        <w:jc w:val="both"/>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9" w:lineRule="exact"/>
        <w:rPr>
          <w:rFonts w:ascii="Arial" w:cs="Arial" w:eastAsia="Arial" w:hAnsi="Arial"/>
          <w:sz w:val="18"/>
          <w:szCs w:val="18"/>
          <w:color w:val="auto"/>
        </w:rPr>
      </w:pPr>
    </w:p>
    <w:p>
      <w:pPr>
        <w:jc w:val="both"/>
        <w:ind w:left="380" w:right="79" w:hanging="330"/>
        <w:spacing w:after="0" w:line="255"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claims, or we may become involved in lawsuits to protect or enforce our intellectual property, which could be expensive, time-consuming and unsuccessful; our intellectual property could be found invalid or unenforceable.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rely or will rely on third parties to help conduct our ongoing and planned preclinical studies and clinical trials. If these third parties do not successfully carry out their contractual duties, comply with regulatory requirements or meet expected deadlines, we may not be able to obtain marketing approval for our product candidates.</w:t>
      </w:r>
    </w:p>
    <w:p>
      <w:pPr>
        <w:jc w:val="both"/>
        <w:ind w:left="380" w:right="79" w:hanging="330"/>
        <w:spacing w:after="0" w:line="255"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depend on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89"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seek to establish additional collaborations and, if we are not able to establish them on commercially reasonable terms, we may have to alter our development and commercialization plans.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7" w:lineRule="exact"/>
        <w:rPr>
          <w:sz w:val="20"/>
          <w:szCs w:val="20"/>
          <w:color w:val="auto"/>
        </w:rPr>
      </w:pPr>
    </w:p>
    <w:p>
      <w:pPr>
        <w:ind w:left="380" w:right="79" w:hanging="330"/>
        <w:spacing w:after="0" w:line="25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ind w:left="380" w:right="79" w:hanging="330"/>
        <w:spacing w:after="0" w:line="25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ind w:left="380" w:hanging="330"/>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will need to grow the size of our organization, and we may experience difficulties in managing this growth.</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establish marketing, sales and distribution capabilities for any product candidate that may receive regulatory approval, we may not be successful in commercializing those product candidates.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7"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of our common stock has been and may in the future be volatile and fluctuate substantially.</w:t>
      </w:r>
    </w:p>
    <w:p>
      <w:pPr>
        <w:spacing w:after="0" w:line="9"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now and may in the future be subject to securities litigation, which can be expensive and could divert management's attention.</w:t>
      </w:r>
    </w:p>
    <w:p>
      <w:pPr>
        <w:ind w:left="380" w:right="79" w:hanging="330"/>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securities analysts do not publish research or reports about our business or if they publish inaccurate or unfavorable research about our business, the price of our stock could decline.</w:t>
      </w:r>
    </w:p>
    <w:p>
      <w:pPr>
        <w:ind w:left="380" w:right="79" w:hanging="330"/>
        <w:spacing w:after="0" w:line="26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could cause our stock price to fall, even if our business is doing well.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w:t>
      </w:r>
    </w:p>
    <w:p>
      <w:pPr>
        <w:spacing w:after="0" w:line="18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Our lead product candidate, NC318, is a first-in-class immunomedicine against a novel immunomodulatory protein called Siglec-15, or “S15”. In October 2018, we initiated a Phase 1/2 clinical trial of NC318 in patients with advanced or metastatic solid tumors. We completed enrollment of the Phase 1 portion of this trial in August 2019.</w:t>
      </w:r>
    </w:p>
    <w:p>
      <w:pPr>
        <w:spacing w:after="0" w:line="1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began enrolling patients in the Phase 2 portion of the Phase 1/2 clinical trial of NC318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or “TNBC”.</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modified the Phase 2 portion of the trial for S15 selection, whereby clinical sites can select for S15-positive patients through screening biopsies in a Clinical Laboratory Improvement Amendments (“CLIA”)-certified laboratory. In the second quarter of 2021, we revised the dosing regimen to 800 mg weekly to increase overall drug exposure to NC318. We provided a data update from our ongoing monotherapy trial of NC318 at the SITC Meeting in November 2021. Based on combined Phase 1 and Phase 2 data from the NC318 study, NC318 continued to show early evidence of possible clinical benefit in patients with HNSCC, lung and breast cancer and other advanced/metastatic solid tumors, with dosing once every two weeks during dose escalation and a dose of 400 mg selected for the Phase 2 studies. NC318 continued to be well-tolerated in the Phase 2 portion of the trial, with primarily mild or moderate treatment-related adverse events, or “TRAE”. We expect to provide further data from the Phase 2 portion of this trial in the fourth quarter of 2022.</w:t>
      </w:r>
    </w:p>
    <w:p>
      <w:pPr>
        <w:spacing w:after="0" w:line="19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April 2021, Yale University commenced a Phase 2 investigator-initiated clinical trial of NC318 in combination with pembrolizumab in patients with NSCLC. Initial data are anticipated in the second half of 2022.</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second product candidate, NC410, is a novel immunomedicine designed to block immune suppression mediated by an immune modulator called Leukocyte-Associated Immunoglobulin-like Receptor, or “LAIR”, -1. In June 2020, we initiated a Phase 1/2 clinical trial of NC410 in patients with advanced or metastatic solid tumors. The Phase 1 dose-escalation portion of this open-label trial is designed to evaluate the safety and tolerability of NC410 and determine its pharmacologically active and/or maximum tolerated dose. Interim data presented from the Phase 1 dose-escalation study show that NC410 appears to be safe and well-tolerated in patients with advanced tumors and shows evidence of immune modulation. We expect to provide further data from the Phase 1 portion of this trial in the second half of 2022.</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third product candidate, NC762, is an immunomedicine targeting an immunomodulatory molecule called human B7 homolog 4 protein, or “B7-H4”. In July 2021, we initiated a Phase 1/2 clinical trial of NC762 in patients with lung cancer, breast cancer, ovarian cancer or potentially other tumor types. The Phase 1 dose-escalation portion of this open-label trial is being designed to evaluate the safety and tolerability of NC762 and determine its pharmacologically active and/or maximum tolerated dose. We expect to announce initial data from the Phase 1 portion of this trial in the second half of 2022.</w:t>
      </w:r>
    </w:p>
    <w:p>
      <w:pPr>
        <w:spacing w:after="0" w:line="192"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Our fourth product candidate, NC525, is a novel LAIR-1 antibody that selectively targets Acute Myeloid Leukemia, or “AML”, blast cells and leukemic stem cells, or “LSCs”. Preclinical data show that NC525 kills AML blast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cells and LSCs while sparing hematopoietic stem and progenitor cells, or “HSPCs”. Preclinical data were presented at the American Society for Hematology annual meeting, or the “ASH Meeting”, in December 2021. The data showed that NC525 (i) inhibits colony formation of AML LSCs </w:t>
      </w:r>
      <w:r>
        <w:rPr>
          <w:rFonts w:ascii="Arial" w:cs="Arial" w:eastAsia="Arial" w:hAnsi="Arial"/>
          <w:sz w:val="18"/>
          <w:szCs w:val="18"/>
          <w:i w:val="1"/>
          <w:iCs w:val="1"/>
          <w:color w:val="auto"/>
        </w:rPr>
        <w:t>in vitro</w:t>
      </w:r>
      <w:r>
        <w:rPr>
          <w:rFonts w:ascii="Arial" w:cs="Arial" w:eastAsia="Arial" w:hAnsi="Arial"/>
          <w:sz w:val="18"/>
          <w:szCs w:val="18"/>
          <w:color w:val="auto"/>
        </w:rPr>
        <w:t>, (ii) inhibits AML growth in the MV4-11 derived xenografts, or “CDX”, animal model in vivo and (iii) restricts AML progression in patient-derived xenografts, or “PDX”, in vivo. An IND submission is planned for the fourth quarter of 2022.</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approach to identifying targets for new immunomedicines is based on our FIND-IO platform. FIND-IO embodies a rational approach to the discovery of novel cell surface and secretory molecules that drive functional immune responses. We use our immunology knowledge, experience and capabilities and tools we have developed, including our FIND-IO platform, to support our discovery efforts. We are working to discover novel targets that play a key role in mediating immune dysfunctions that allow tumors to evade the immune system. We seek to identify and develop immunomedicines that counteract these outcomes and to further validate and advance our product candidates. We have identified multiple novel targets using our FIND-IO platform, including those for which certain of our research programs are being designed to target. The immunosuppressive properties of S15, the target of NC318, were discovered using a predecessor of our FIND-IO platform.</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20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are leveraging our understanding of biological pathways and our FIND-IO platform to discover, validate and build a proprietary pipeline of immunomedicine candidates. The figure below details our pipeline of product candidates and principal discovery and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177165</wp:posOffset>
            </wp:positionV>
            <wp:extent cx="5546090" cy="2863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609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strategy is to use our fully integrated discovery and product development infrastructure to build a sustainable pipeline of product candidates to treat cancer patients who are not adequately served by currently available therapies. The key elements of our strategy include:</w:t>
      </w:r>
    </w:p>
    <w:p>
      <w:pPr>
        <w:spacing w:after="0" w:line="184" w:lineRule="exact"/>
        <w:rPr>
          <w:sz w:val="20"/>
          <w:szCs w:val="20"/>
          <w:color w:val="auto"/>
        </w:rPr>
      </w:pPr>
    </w:p>
    <w:p>
      <w:pPr>
        <w:jc w:val="both"/>
        <w:ind w:left="1040" w:right="79" w:hanging="315"/>
        <w:spacing w:after="0" w:line="293"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Advancing the clinical development of our lead product candidates, NC318, NC410 and NC762. </w:t>
      </w:r>
      <w:r>
        <w:rPr>
          <w:rFonts w:ascii="Arial" w:cs="Arial" w:eastAsia="Arial" w:hAnsi="Arial"/>
          <w:sz w:val="16"/>
          <w:szCs w:val="16"/>
          <w:color w:val="auto"/>
        </w:rPr>
        <w:t>We began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enrolling patients in the Phase 2 portion of the Phase 1/2 clinical trial evaluating NC318 in patients with advanced or metastatic tumors in October 2019. In addition, we believe scientific evidence supports a combination of NC318 with anti-PD-1 therapy, and Yale commenced a Phase 2 investigator-initiated clinical trial of NC318 in combination with pembrolizumab in patients with NSCLC. For NC410, we initiated the Phase 1 portion of a Phase 1/2 clinical trial in June 2020 and reported preclinical data demonstrating that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63" w:lineRule="auto"/>
        <w:rPr>
          <w:sz w:val="20"/>
          <w:szCs w:val="20"/>
          <w:color w:val="auto"/>
        </w:rPr>
      </w:pPr>
      <w:r>
        <w:rPr>
          <w:rFonts w:ascii="Arial" w:cs="Arial" w:eastAsia="Arial" w:hAnsi="Arial"/>
          <w:sz w:val="18"/>
          <w:szCs w:val="18"/>
          <w:color w:val="auto"/>
        </w:rPr>
        <w:t>NC410 promoted T-cell mediated anti-tumor immunity, enhanced infiltration and increased localized activity of T-cells in the TME. For NC762, we initiated a Phase 1/2 clinical trial in patients with lung cancer, breast cancer, ovarian cancer or potentially other tumor types in July 2021.</w:t>
      </w:r>
    </w:p>
    <w:p>
      <w:pPr>
        <w:spacing w:after="0" w:line="184" w:lineRule="exact"/>
        <w:rPr>
          <w:sz w:val="20"/>
          <w:szCs w:val="20"/>
          <w:color w:val="auto"/>
        </w:rPr>
      </w:pPr>
    </w:p>
    <w:p>
      <w:pPr>
        <w:jc w:val="both"/>
        <w:ind w:left="1040" w:right="79" w:hanging="315"/>
        <w:spacing w:after="0" w:line="26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Building an oncology pipeline of novel targets for new immunomedicines focused on non-responders</w:t>
      </w:r>
      <w:r>
        <w:rPr>
          <w:rFonts w:ascii="Arial" w:cs="Arial" w:eastAsia="Arial" w:hAnsi="Arial"/>
          <w:sz w:val="18"/>
          <w:szCs w:val="18"/>
          <w:color w:val="auto"/>
        </w:rPr>
        <w: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continuing to leverage our immunological expertise and our FIND-IO platform to identify novel targets relevant to overcoming immune suppression.</w:t>
      </w:r>
    </w:p>
    <w:p>
      <w:pPr>
        <w:spacing w:after="0" w:line="183" w:lineRule="exact"/>
        <w:rPr>
          <w:rFonts w:ascii="Arial" w:cs="Arial" w:eastAsia="Arial" w:hAnsi="Arial"/>
          <w:sz w:val="18"/>
          <w:szCs w:val="18"/>
          <w:color w:val="auto"/>
        </w:rPr>
      </w:pPr>
    </w:p>
    <w:p>
      <w:pPr>
        <w:jc w:val="both"/>
        <w:ind w:left="1040" w:right="79" w:hanging="315"/>
        <w:spacing w:after="0" w:line="269"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Leveraging our fully integrated development, quality systems and cGMP manufacturing capabilities.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is to integrate key aspects of product development within our organization. We have assembled a team with extensive experience in identifying, characterizing and developing novel immunomedicines. We seek to couple discovery of important targets with the capability to rapidly streamline target validation and conduct key IND-enabling studies, leading to clinical development of lead candidates. Our purpose-built, dedicated, state-of-the-art cGMP manufacturing facility utilizes single-use technology to support development of our pipeline and advancement of our product candidates into and through clinical development. The facility has production capacity of 2,000 liters and is designed to operate as a multi-product facility. Compared to working with third-party manufacturers, we believe our facility provides better quality assurance, greater control in scheduling and prioritizing manufacturing activities and enhanced capital efficiency.</w:t>
      </w:r>
    </w:p>
    <w:p>
      <w:pPr>
        <w:spacing w:after="0" w:line="181" w:lineRule="exact"/>
        <w:rPr>
          <w:rFonts w:ascii="Arial" w:cs="Arial" w:eastAsia="Arial" w:hAnsi="Arial"/>
          <w:sz w:val="17"/>
          <w:szCs w:val="17"/>
          <w:color w:val="auto"/>
        </w:rPr>
      </w:pPr>
    </w:p>
    <w:p>
      <w:pPr>
        <w:jc w:val="both"/>
        <w:ind w:left="1040" w:right="79" w:hanging="315"/>
        <w:spacing w:after="0" w:line="255"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Expanding our current focus and creating new opportunities outside of the oncology field</w:t>
      </w:r>
      <w:r>
        <w:rPr>
          <w:rFonts w:ascii="Arial" w:cs="Arial" w:eastAsia="Arial" w:hAnsi="Arial"/>
          <w:sz w:val="18"/>
          <w:szCs w:val="18"/>
          <w:color w:val="auto"/>
        </w:rPr>
        <w:t>. While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focus is oncology, the functional screening approach and proprietary technology of our FIND-IO platform are broadly applicable to the identification of positive and negative immune modulators, and therefore can be used and expanded to discover novel targets in other inflammatory diseases. Our goal is to enable next-generation immunomedicines for other serious inflammatory diseases with significant unmet medical needs in fields beyond oncology.</w:t>
      </w:r>
    </w:p>
    <w:p>
      <w:pPr>
        <w:spacing w:after="0" w:line="192" w:lineRule="exact"/>
        <w:rPr>
          <w:rFonts w:ascii="Arial" w:cs="Arial" w:eastAsia="Arial" w:hAnsi="Arial"/>
          <w:sz w:val="18"/>
          <w:szCs w:val="18"/>
          <w:color w:val="auto"/>
        </w:rPr>
      </w:pPr>
    </w:p>
    <w:p>
      <w:pPr>
        <w:jc w:val="both"/>
        <w:ind w:left="1040" w:right="79" w:hanging="315"/>
        <w:spacing w:after="0" w:line="25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Extending the reach of our product candidates through strategic partnerships and collaborations</w:t>
      </w:r>
      <w:r>
        <w:rPr>
          <w:rFonts w:ascii="Arial" w:cs="Arial" w:eastAsia="Arial" w:hAnsi="Arial"/>
          <w:sz w:val="18"/>
          <w:szCs w:val="18"/>
          <w:color w:val="auto"/>
        </w:rPr>
        <w:t>.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worldwide rights to our current product candidates and our FIND-IO platform. We expect to explore a variety of market opportunities for our current and future product candidates and our platforms, including through the pursuit of strategic partnerships or other collaborations with regard to selected indications or geographical areas, such as Asia. We intend for our product candidates to be developed and commercialized globally, by us in key markets and in collaboration with other companies for other geographies.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Immuno-Oncology Background</w:t>
      </w:r>
    </w:p>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immune system has powerful biological mechanisms to defend and protect the body from pathogens, such as viruses, parasites and bacteria. It also provides surveillance against cancers by recognizing and responding to antigens that are uniquely or highly expressed on cancer cells. In cancer, complex interactions between immune cells and growing tumor cells can prevent an immune response by blocking cellular interactions, resulting in immunosuppression in the TME. This phenomenon, referred to as immune evasion, is a hallmark of cancer where the tumor can prevent tumor-specific immune cells called T-cells from functioning within the TME or gaining access to the tumor site, which allows the tumor to continue to grow, leading to disease progression. Tumors in advanced cancer have multiple mechanisms of evasion in the TME that can differ from tumor to tumor.</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Remodeling the TME and overcoming its immunosuppressive properties is a major focus of cancer research and drug development. Checkpoint inhibitors are a drug class designed to counteract certain tumor defenses against the immune system. Currently approved checkpoint inhibitors were developed based on the belief that an immune system inactivated by co-inhibitory proteins, known as checkpoints, could be reactivated to recognize and attack the tumor. Therapies against checkpoints, such as PD-L1, PD-1 and Cytotoxic T-Lymphocyte Antigen, or “CTLA”-4, have produced impressive results in the clinic across an array of cancers and have been approved for several malignancies. However, despite the recent success of these checkpoint inhibitors, it is estimated that up to 60% to 70% of cancer patients do not respond to single-agent therapy with checkpoint inhibitors. This limited efficacy highlights the importance of our effort to identify novel targets and molecular pathways responsible for tumor immune evasion mechanisms that we believe will work independently from current targets for cancer immunotherapy.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Approach to Developing Immunomedicines for Cancer</w:t>
      </w:r>
    </w:p>
    <w:p>
      <w:pPr>
        <w:spacing w:after="0" w:line="20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approach to identifying targets for new immunomedicines in cancer is based on the combination of our FIND-IO platform, our immunological expertise and our belief in the importance of understanding biological pathways and the normal function of the immune system in the TME. Rather than focusing on a specific type of immune cell, we are targeting molecules that modulate the immune system in ways that we believe may provide new treatment opportunities for patients that are differentiated from currently marketed targeted therapies as well as those in development. Our primary goal is to develop immunomedicines that increase response rates, efficacy and durable overall survival among patients who do not respond to current therapies, patients whose cancer progresses despite treatment and patients with cancer types that are not adequately addressed by currently available therapies. We design our product candidates either to restore the normal effects of the immune system to promote elimination of the tumors or to counteract tumor immune evasion mechanisms.</w:t>
      </w:r>
    </w:p>
    <w:p>
      <w:pPr>
        <w:spacing w:after="0" w:line="16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FIND-IO platform applies a function-based screening approach to identify human proteins and to determine whether those proteins alter or stop an immune response resulting in immune evasion. The platform is designed to identify novel cell surface molecular interactions that drive functional immune responses. Our FIND-IO platform broadly and quantitatively evaluates interactions between relevant protein components and different T-cellular types over time in order to identify novel targets that either increase or decrease immune-related functional responses associated with desired immune responses against tumors. By identifying novel immune modulators through the FIND-IO platform, we aim to develop next-generation immunomedicines that restore normal immune function in the TME.</w:t>
      </w:r>
    </w:p>
    <w:p>
      <w:pPr>
        <w:spacing w:after="0" w:line="16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To create our FIND-IO platform, we industrialized, expanded and optimized the T-cell Activity Array, or “TCAA”, a predecessor of the FIND-IO platform that Dr. Chen used to discover the immunosuppressive properties of S15. Our work in developing the FIND-IO platform beyond the TCAA includes using different and expanded gene libraries, adding biological pathways and reporters, expanding immune cell types and, most importantly, increasing the repertoire of functional assay readouts. We also broadened the platform to look at signaling within both the immune cell and the cell expressing the library gene. By transfecting cells with library genes, which encode membrane-bound or soluble proteins, FIND-IO is designed to determine whether the genes have signaling functions when interacting with an immune cell.</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FIND-IO technology includes proprietary approaches to functionally assess immune pathways in both primary immune cells and established cell lines from immune lineages, including T-cell subsets, monocytes, macrophage subpopulations, dendritic cells, cancer cell lines and cells isolated from diseased patients. This platform allows us to identify proteins that can be targeted with novel immunomedicines to repair and maintain anti-tumor immunity. By focusing on understanding the TME in oncology, we believe we can identify multiple new positive and negative modulators of immune cells, including T-cells, NK cells, macrophages and myeloid-derived suppressor cells.</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As shown in the figure below, our product candidates target a variety of cell types in the immune system. For example, NC318 targets macrophages and tumor cells and prevents suppressive myeloid cells from negatively regulating T-cells, and NC410 targets the negative signaling from dendritic cells, macrophages and T-cells mediated by the binding of LAIR-1 to its ligands collagen and C1q. We also have earlier stage discovery programs that are investigating the negative effects of NK cells and other immune cells in the TME on T-cells.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Expanding Targets Beyond T-Cells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154305</wp:posOffset>
            </wp:positionV>
            <wp:extent cx="4011930" cy="3463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1193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Programs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NC318</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NC318 is a monoclonal antibody that binds specifically to human S15 with high affinity. We have observed in preclinical studies that blocking S15 improved the immune response in multiple animal models. We believe that NC318 may help promote an effective anti-tumor immune response by targeting multiple cell types in the TME that express S15, including macrophages and S15-positive tumor cells. Based on the results of the Phase 1 portion of our Phase 1/2 clinical trial of NC318 in patients with advanced or metastatic solid tumors, we began enrolling patients in the Phase 2 portion of the trial in October 2019. The Phase 2 portion of the trial was designed as a Simon Two-Stage trial, a type of Phase 2 trial that is multi-stage and is conducted in two stages with the option to stop the trial after the first stage or after the second stage.</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have modified the Phase 2 portion of the trial for S15 selection, whereby clinical sites can select for S15-positive patients through screening biopsies in a CLIA-certified laboratory. In the second quarter of 2021, we revised the dosing regimen to 800 mg weekly to increase overall drug exposure to NC318. We provided a data update from our ongoing monotherapy trial of NC318 at the SITC Meeting in November 2021. Based on combined Phase 1 and Phase 2 data from the NC318 study, NC318 continued to show early evidence of possible clinical benefit in patients with HNSCC, lung and breast cancer and other advanced/metastatic solid tumors, with dosing once every two weeks during dose escalation and a dose of 400 mg selected for the Phase 2 studies. NC318 continued to be well-tolerated in the Phase 2 portion of the trial, with primarily mild or moderate TRAE. We have exclusive worldwide rights to NC318.</w:t>
      </w:r>
    </w:p>
    <w:p>
      <w:pPr>
        <w:spacing w:after="0" w:line="16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April 2021, Yale University commenced a Phase 2 investigator-initiated clinical trial of NC318 in combination with pembrolizumab in patients with NSCLC.</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S15 Background</w:t>
      </w:r>
    </w:p>
    <w:p>
      <w:pPr>
        <w:spacing w:after="0" w:line="18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S15 is a member of the sialic acid-binding immunoglobulin lectins, or Siglec, family, a distinct subgroup of the immunoglobulin superfamily of proteins. Siglecs are expressed on most white blood cells of the immune system, except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for T-cells. Siglecs recognize and bind to a sugar structure called sialic acid that coats proteins and fatty acids found on the surface of all mammalian cells. This binding can affect T-cell signaling on immune cells. Several Siglecs play key roles in helping immune cells distinguish between self, and non-self and modulating immune responses. S15 is expressed on tumor cells and, importantly, on M2 macrophages, which are highly immunosuppressive in the TME.</w:t>
      </w:r>
    </w:p>
    <w:p>
      <w:pPr>
        <w:spacing w:after="0" w:line="17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S15 molecules on M2 macrophages, as well as on tumors themselves, appear to interact with unidentified receptors on T-cells and inhibit T-cell proliferation and functions, leading to decreased anti-tumor immune response. It also appears that S15 interacts with myeloid cells to promote their survival and differentiation so that they contribute to the overall immunosuppressive tumor environment through production of cytokines, such as IL-6, IL-1β and TNF-α, that are tumor-promoting and immunosuppressive in the context of the TME. As shown in the figure below, the presence of S15 on either tumor cells or M2 macrophages can lead to an immunosuppressive TME, resulting in tumor growth.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S15 is Highly Immunosuppressive in the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5349240" cy="3214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mechanism of action of NC318 prevents immune suppression caused by S15 and promotes anti-tumor activity. As the figure below shows, by targeting M2 macrophages, S15-induced myeloid cells and S15-positive tumors, NC318 is engineered to decrease inflammatory cytokines associated with enhanced tumor growth, promote T-cell proliferation and restore T-cell function, which we believe will reduce and kill tumors.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NC318 is Designed to Block Immunosuppressive Activity Induced by 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5349240" cy="2957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Phase 1/2 Clinical Trial</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October 2018, we initiated the Phase 1 portion of a Phase 1/2 clinical trial to evaluate NC318 as a monotherapy in patients with advanced or metastatic solid tumors. This ongoing trial is an open-label Phase 1/2 clinical trial designed to assess the safety and tolerability of NC318, to define the maximum tolerable dose and/or pharmacologically active dose and to assess preliminary efficacy.</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Phase 1 portion was designed to determine the pharmacologically active dose, defined as the dose that provides a maximal biologic effect, such as an increase in biomarkers of immune activation or a reduction of biomarkers associated with immune suppression, and/or the maximum tolerable dose of NC318, including defining the optimal dose administration schedule and the maximum number of tolerated doses. We completed enrollment of the Phase 1 portion of the trial in August 2019 and dosed 49 patients across seven dose cohorts: 8 mg, 24 mg, 80 mg, 240 mg, 400 mg, 800 mg and 1,600 mg, the last of which was added to the trial because a maximum tolerated dose had not been reached through 800 mg. The most common tumors in the Phase 1 portion of the Phase 1/2 trial were NSCLC (13 patients), ovarian (7 patients), melanoma (7 patients), breast (4 patients) and colorectal (3 patients). Enrolled patients had all been subject to previous cancer treatments, with a median of three prior therapies, and all 13 NSCLC patients were PD-1 refractory and had been treated with a median of four prior therapies.</w:t>
      </w:r>
    </w:p>
    <w:p>
      <w:pPr>
        <w:spacing w:after="0" w:line="18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Preliminary data from the Phase 1 portion were presented in November 2019 at the SITC annual meeting and updated data were announced in December 2020. As of December 17, 2020, NC318 had been well-tolerated in the Phase 1 portion of the trial and only one dose-limiting toxicity, a grade 3 pneumonitis at the highest dose level, had been observed. Treatment-related adverse events experienced by more than 5% of patients as of that date were diarrhea, infusion reactions, fatigue, headaches, pruritis, elevated amylase and elevated lipase. Most treatment-related adverse events were easily manageable, asymptomatic or mild or moderate, with the exception of one case of grade 3 episcleritis/uveitis at the 400 mg dose level that resolved after steroid therapy and two cases of grade 3 pneumonitis (one at the 400 mg dose level and one at the 1,600 mg dose level). We also observed two grade 1 cases of vitiligo (one at the 80 mg dose level and one at the 400 mg dose level) that, along with other immune-related adverse events including diarrhea, elevated amylase and lipase, pruritis, episcleritis/uveitis and pneumonitis, indicate NC318’s activity as a modulator of the immune system.</w:t>
      </w:r>
    </w:p>
    <w:p>
      <w:pPr>
        <w:spacing w:after="0" w:line="16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Data from the Phase 1 portion of the trial indicate activity in multiple tumor types, including durable stable disease in patients with NSCLC, endometrial cell cancer, ovarian cancer, squamous cell carcinoma, Merkel cell cancer, and head and neck cancer. As of December 17, 2020, durable responses observed include one complete response, which remained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ongoing at 104 weeks, and one partial response, which remained ongoing at 78 weeks, both in NSCLC patients, as well as 10 patients with stable disease, which remained ongoing for six months or more. The patient with the complete response had multiple lesions prior to treatment with NC318, including two lesions that were at least 10 mm. Among the 10 patients with stable disease, four patients have NSCLC with stable disease for six months or more.</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began enrolling patients in the Phase 2 portion of the Phase 1/2 clinical trial of NC318 in October 2019. The Phase 2 portion of the trial is an open-label trial designed to detect a relevant efficacy signal, or response rate, for each tumor type at a 400 mg dose administered every two weeks. In this portion, we planned to enroll up to 100 patients with tumor types that have been shown to have elevated S15 expression, including NSCLC, ovarian cancer, HNSCC and TNBC. In the Phase 2 portion, patients were initially selected based on tumors with a PD-L1 TPS of less than 50%. S15 expression was analyzed retrospectively in all pretreatment biopsies successfully obtained from the Phase 2 patients. The primary endpoints for the Phase 2 portion of the trial are safety and tolerability, and secondary endpoints include response rate, progression-free survival, duration of response and overall survival.</w:t>
      </w:r>
    </w:p>
    <w:p>
      <w:pPr>
        <w:spacing w:after="0" w:line="1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July 2020, we reported a confirmed partial response in a HNSCC patient. In addition, we reported that at that time we would not progress the NSCLC and ovarian cancer cohorts to the second stage of the Simon 2-stage trial. In December 2020, we completed a retrospective analysis of S15 expression in biopsy samples collected from the Phase 2 patients at their initial screening. During initial screenings, we did not have an available screening assay to select for patients based on S15-positive biopsies. Therefore, inclusion criterion was based on a TPS PD-L1 score &lt;50%, given the non-overlapping expression of S15 and PD-L1. Of the evaluable biopsies collected, retrospective analysis showed that 13% of the patients enrolled had S15-positive tumors. These biopsies showed that the selection criterion, based on low PD-L1 expression, did not result in enough S15-positive patients for us to effectively evaluate the activity of NC318 in S15-positive tumors.</w:t>
      </w:r>
    </w:p>
    <w:p>
      <w:pPr>
        <w:spacing w:after="0" w:line="19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modified the Phase 2 portion of the trial for S15 selection, whereby clinical sites can select for S15-positive patients through screening biopsies in a CLIA-certified laboratory. In the second quarter of 2021, we resumed enrolling a NSCLC adenocarcinoma cohort in the Phase 2 trial, and we revised the dosing regimen to 800 mg weekly to increase overall drug exposure to NC318. We provided a data update from our NC318 monotherapy trial at the SITC meeting in November 2021. Based on combined Phase 1 and Phase 2 data from the NC318 study, NC318 continued to show early evidence of possible clinical benefit in patients with HNSCC, lung and breast cancer and other advanced/metastatic solid tumors, with dosing once every two weeks during dose escalation and a dose of 400mg selected for the Phase 2 studies. NC318 continued to be well-tolerated in the Phase 2 portion of the trial, with primarily mild or moderate TRAE. The only observed severe or higher-grade TRAE in the Phase 2 portion was a grade 3-4 infusion reaction in one patient. Pharmacokinetic and pharmacodynamic modeling using serum samples from the Phase1/2 trial, predicted that a dose of 800 mg once a week results in nearly ten times greater drug exposure which may impact drug activity and clinical outcomes. This led to the decision to revise the dosing regimen to 800 mg weekly.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Phase 2 Combination Clinical Trial</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April 2021, Yale University commenced a Phase 2 investigator-initiated clinical trial of NC318 in combination with pembrolizumab in patients with NSCLC.</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NC410</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NC410 is a fusion protein of LAIR-2, a naturally occurring soluble version of and decoy protein for LAIR-1 and is designed to block immune suppression mediated by LAIR-1. Multiple preclinical studies support our understanding that eliminating or blocking the binding of LAIR-1 restores normal immune function in multiple immune cells. Our translational work has shown that NC410 blocks the interaction of LAIR-1 with its binding partners, thereby promoting T-cell function and dendritic cell activity to contribute to restoring anti-tumor immune activity. Consistent with our strategy, we believe NC410 has the potential to address the needs of patients who are not adequately addressed by currently available therapies. We have exclusive worldwide rights to NC410.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Background of LAIR Pathway in Cancer</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LAIR-1 is a co-inhibitory receptor expressed on T-cells and several other immune cell subsets, including monocytes, macrophages and dendritic cells. Its binding partners include certain types of collagen and complement component 1q, or C1q.</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Under normal conditions, collagen forms a scaffold to provide strength and structure to tissues. C1q is part of the innate immune system to protect the host from infection and other foreign agents. Both collagen and C1q are highly upregulated and expressed under pathologic conditions, such as in the TME and in the immune organelles close to the tumor site known as lymph nodes, which are important sites for mounting immune responses to the tumor. However, binding of LAIR-1 to collagen or C1q leads to immune suppression. Our preclinical studies have shown that LAIR-1 and LAIR-2 bind to similar ligands, including collagen and C1q. LAIR-2, which is a secreted protein as opposed to a membrane-bound protein like LAIR-1, binds to the same regions of these ligands with stronger affinity than LAIR-1. However, because LAIR-2 does not induce immune suppression when binding to these ligands, LAIR-2 functions as an efficient decoy for LAIR-1.</w:t>
      </w:r>
    </w:p>
    <w:p>
      <w:pPr>
        <w:spacing w:after="0" w:line="19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Under the harsh conditions of the TME, collagen and C1q are overexpressed as a membrane protein on many types of tumor cells and in the ECM surrounding the tumor. This increased expression of collagen and C1q, combined with insufficient levels of natural LAIR-2, leads to increased binding of LAIR-1, resulting in immune suppression, tumor immune evasion and tumor growth.</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NC410 is a novel immunotherapeutic protein that was developed to block LAIR-1-mediated immune suppression by mimicking the natural decoy effects of LAIR-2. Our approach of using NC410 as a therapeutic is intended to take advantage of the natural LAIR-2 regulatory system in humans, which maintains human immune function under normal non-pathologic conditions.</w:t>
      </w:r>
    </w:p>
    <w:p>
      <w:pPr>
        <w:spacing w:after="0" w:line="187"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The mechanism of action of NC410 prevents immune suppression caused by LAIR-1 binding to collagen or C1q and promotes anti-tumor immune activity. As the figure below shows, when LAIR-2 and NC410 are present in the TME, they bind to collagen or C1q preferentially compared to LAIR-1 given their higher binding affinity. This has the effect of blocking the collagen or C1q from binding to LAIR-1, which otherwise would have resulted in an immunosuppressive effect. By blocking this interaction with LAIR-1 and its binding partners, T-cell function and dendritic cell activity is promoted in order to restore anti-tumor immune activity.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NC410 is Designed to Prevent Immune Suppression Caused by LAIR-1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5349240" cy="2606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Clinical Development Plan for NC410</w:t>
      </w:r>
    </w:p>
    <w:p>
      <w:pPr>
        <w:spacing w:after="0" w:line="198" w:lineRule="exact"/>
        <w:rPr>
          <w:sz w:val="20"/>
          <w:szCs w:val="20"/>
          <w:color w:val="auto"/>
        </w:rPr>
      </w:pPr>
    </w:p>
    <w:p>
      <w:pPr>
        <w:jc w:val="both"/>
        <w:ind w:left="60" w:right="79" w:firstLine="648"/>
        <w:spacing w:after="0" w:line="296" w:lineRule="auto"/>
        <w:rPr>
          <w:sz w:val="20"/>
          <w:szCs w:val="20"/>
          <w:color w:val="auto"/>
        </w:rPr>
      </w:pPr>
      <w:r>
        <w:rPr>
          <w:rFonts w:ascii="Arial" w:cs="Arial" w:eastAsia="Arial" w:hAnsi="Arial"/>
          <w:sz w:val="16"/>
          <w:szCs w:val="16"/>
          <w:color w:val="auto"/>
        </w:rPr>
        <w:t>We and others have analyzed genomic and protein databases and observed that LAIR-1 expression levels negatively correlate with survival rates for several cancers, including brain, renal, colorectal, glioma, lung, urothelial and ovarian cancers. These analyses support possible targeting of these tumor types as primary indications for therapeutic treatment with NC410. We have conducted expansive screening efforts on tumor samples from different solid tumor types to identify tumors that express LAIR-1 on immune cells and varying levels of collagen in the TME, to guide our ultimate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selection of patients for the Phase 2 portion of the Phase 1/2 clinical trial. We plan to develop a CLIA-certified assay to select patients for the Phase 2 study.</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June 2020, we initiated a Phase 1/2 clinical trial of NC410 in patients with advanced or metastatic solid tumors after a temporary delay due to the COVID-19 pandemic. The Phase 1 dose-escalation portion of this open-label trial is designed to evaluate the safety and tolerability of NC410 in patients with advanced or metastatic solid tumors and determine its pharmacologically active and/or maximum tolerated dose. After a recommended dose for the Phase 2 portion of the trial is determined, the efficacy of NC410 will be evaluated in select tumor types. In May 2021, at the ASCO Meeting, we reported preclinical data demonstrating that NC410 promoted T-cell mediated anti-tumor immunity, enhanced infiltration and increased localized activity of T-cells in the TME. We provided a data update from the Phase 1 portion of this trial at the SITC Meeting in November 2021. Interim data presented from the Phase 1 dose-escalation study show that NC410 appears to be safe and well-tolerated in patients with advanced tumors and show evidence of immune modulation. Safety, tolerability, efficacy and biomarker analyses are ongoing in higher-dose cohort patients.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NC762</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NC762 is a monoclonal antibody that binds specifically to human B7 homolog 4 protein, or “B7-H4”, a protein expressed on multiple tumor types. We believe NC762 acts by inhibiting tumor cell growth. While the inhibitory effect on tumor growth does not appear to be dependent upon T-cells, we believe NK cells may contribute to enhanced anti-tumor activity mediated by NC762. We have observed in preclinical studies that NC762 inhibits the growth of human melanoma tumors in mice, and we believe that NC762 has the potential to treat multiple tumor types. In July 2021, we initiated a Phase 1/2 clinical trial of NC762 in patients with lung cancer, breast cancer, ovarian cancer, or potentially other tumor types. The Phase 1 dose-escalation portion of this open-label trial is being designed to evaluate the safety and tolerability of NC762 and determine its pharmacologically active and/or maximum tolerated dose. After a recommended dose for the Phase 2 portion of the trial is determined, the efficacy of NC762 will be evaluated in select tumor types. We have exclusive worldwide rights to NC762.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B7-H4 Background</w:t>
      </w:r>
    </w:p>
    <w:p>
      <w:pPr>
        <w:spacing w:after="0" w:line="19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B7-H4 is a cell surface protein expressed on multiple tumor types, including non-small cell lung cancer, ovarian cancer, breast cancer and hepatocellular carcinoma, and on tumor-associated macrophages, and shows limited expression in most normal tissues. B7-H4 was initially discovered in 2003 in the Mayo Clinic lab of our scientific co-founder Dr. Lieping Chen. It is a member of the same family of co-inhibitory checkpoint proteins as B7-H1, known as PD-L1, which was also discovered by Dr. Chen's laboratory (see "Immuno-Oncology Background") B7-H4 has been shown in published articles to negatively regulate T-cell immune response, inhibit cytokine production, suppress antigen-presenting cells, promote immune escape and play a role in tumorigenesis and tumor development. Expression of B7-H4 in tumor cells has been shown in preclinical research and published articles to be correlated with reduced overall survival, and B7-H4 has generally non-overlapping expression with both PD-L1 and S15. Given the low expression of B7-H4 on healthy cells and the results of our preclinical cross-tissue reactivity studies, we believe that anti-B7-H4 treatment is unlikely to inadvertently cause adverse effects of tissues and pathways outside of B7-H4 positive tumors and tumor-associated macrophages.</w:t>
      </w:r>
    </w:p>
    <w:p>
      <w:pPr>
        <w:spacing w:after="0" w:line="17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NC762 is a novel immunotherapeutic protein that binds to B7-H4 on the cell surface of tumors. We believe NC762 acts by inhibiting tumor cell growth and killing tumor cells, including by enhancing immune response. Preclinical research indicates that the primary mechanism of action of NC762 inhibits tumor cell growth independently of immune cell infiltration into the TME. NC762 was also designed to enhance immune response by allowing for enhanced binding to CD16a/FcγRIIIa, a receptor found on the surface of natural killer, or NK cells, in order to increase antibody-dependent T-cell-mediated cytotoxicity, or “ADCC”, activity. ADCC is a process by which effector cells such as NK cells interact with and kill antibody-coated target T-cells such as tumor cells. Extensive in vivo modeling data using human melanoma in mouse models expressing B7-H4 indicate that NC762's anti-tumor effect may be enhanced in the presence of NK cells, but that it has an anti-tumor impact even in the absence of peripheral blood mononuclear cells (comprising several types of white blood cells including NK cells), and that the primary mechanism by which NC762 inhibits tumor growth is therefore ADCC-independent.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692150</wp:posOffset>
            </wp:positionV>
            <wp:extent cx="3669030" cy="1748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6903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 xml:space="preserve">Preclinical studies did not raise any significant safety concerns with NC762. Specifically, dosage of cynomolgus monkeys at doses up to 100 mg/kg did not result in any observed adverse effects. A tissue cross-reactivity study of 37 tissues from three individuals found no signals that NC762 binds to tissues other than tumor tissue, which indicates that NC762 is not expected to bind off target and harm cells, tissues and pathways outside of B7-H4 positive tumors and tumor-associated macrophages. In addition, an analysis of changes in serum cytokines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leads us to believe that treatment with NC762 is unlikely to trigger overactive immune responses known as cytokine storms that can have harmful effects.</w:t>
      </w:r>
    </w:p>
    <w:p>
      <w:pPr>
        <w:spacing w:after="0" w:line="16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developed an IHC assay using a commercially purchased antibody to test tumors for B7-H4 positivity and have performed screening of multiple tumor types. We intend to use this assay to select patients for treatment through patient biopsies, including in the Phase 1 dose expansion portion of our planned Phase 1/2 clinical trial, and have validated the assay for use in clinical trials. We also intend to retroactively use immunophenotyping and serum analysis as part of our clinical trials to determine the types of cells present after treatment in order to identify biomarkers, to look for signs of clinical activity, and to help determine the likelihood of responsiveness to treatment with NC762.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Clinical Development Plan for NC762</w:t>
      </w:r>
    </w:p>
    <w:p>
      <w:pPr>
        <w:spacing w:after="0" w:line="19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and others have observed that B7-H4 is widely expressed on a number of cancers, including non-small cell lung cancer, ovarian cancer, breast cancer and hepatocellular carcinoma. These analyses support possible targeting of these tumor types as primary indications for therapeutic treatment with NC762. Using a B7-H4-specific antibody that we identified and optimized for IHC analyses, we are currently staining various cancer tissues to gain a more comprehensive and definitive understanding of B7-H4 prevalence in both primary and metastatic lesions.</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July 2021, we initiated a Phase 1/2 clinical trial of NC762 in patients with lung cancer, breast cancer, ovarian cancer or potentially other tumor types. The Phase 1 dose-escalation portion of this open-label trial is being designed to evaluate the safety and tolerability of NC762 and determine its pharmacologically active and/or maximum tolerated dose. After a recommended dose for the Phase 2 portion of the trial is determined, the efficacy of NC762 will be evaluated in select tumor types.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NC525</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Our fourth product candidate NC525 is a novel LAIR-1 antibody that selectively targets AML, blast cells and LSCs. Preclinical data show that NC525 kills AML blast cells and LSCs while sparing HSPCs. Preclinical data were presented at the ASH Meeting in December 2021. The data showed that NC525 (i) inhibits colony formation of AML LSCs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(ii) inhibits AML growth in the CDX, animal model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(iii) restricts AML progression in PDX,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 We have exclusive worldwide rights to NC525.</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Research Programs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addition to NC318, NC410, NC762 and NC525, we are also pursuing preclinical evaluation of other potential novel immunomodulatory molecules.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FIND-IO Platform</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FIND-IO platform uses proprietary approaches to functionally assess immune pathways in both primary immune cells and established cell lines from immune lineages, including T-cell subsets, monocytes, macrophage subpopulations, dendritic cells, cancer cell lines, and cells isolated from diseased patients. This platform allows us to identify proteins that can be targeted with novel immunomedicines to repair and maintain anti-tumor immunity. We have identified multiple novel targets using our FIND-IO platform, including those for which certain of our research programs are being designed to target.</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goal of our FIND-IO platform is to sustain a pipeline of novel immunomedicines that restore normal immune function to treat cancer and other immune-related diseases. While we are primarily focused on cancer treatment, we believe that our proprietary technology, our approach, our understanding of biological pathways and the convergence of immunology and inflammation provide us with opportunity to explore novel immunomedicines for other significant unmet medical needs. To maximize the full potential of our platform and expertise, we are expanding the functional screening approach of our FIND-IO platform to the identification of novel targets in autoimmunity and inflammation, as well as in neuro-inflammatory diseases.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Collaboration Agreements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Agreements with Yale University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 with Yale</w:t>
      </w:r>
    </w:p>
    <w:p>
      <w:pPr>
        <w:spacing w:after="0" w:line="185"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We entered into a license agreement with Yale, or the Yale Agreement, in December 2015 pursuant to which we obtained an exclusive, royalty-bearing, sublicensable worldwide license to products that either incorporate certain licensed patents used in the discovery of targets or arise out of research and development of Dr. Chen’s laboratory at Yale, including S15, and subsequently amended the Yale Agreement in January 2020 and October 2021. We are obligated to pay Yale low single-digit royalties on sales of products, including NC318, that are either covered by the patents licensed to us under the Yale Agreement or arise out of Dr. Chen’s laboratory as a result of research under the corporate sponsored research agreement described below, subject to minimum annual royalty payments in the low to mid hundreds of thousands of dollars. Until we are required to pay royalties under the Yale Agreement, we must pay an annual license maintenance fee to Yale in the mid to high tens of thousands of dollars. In addition, with respect to each product covered by licenses under the Yale Agreement, we are obligated to pay Yale milestone payments upon (i) the initiation of each of a Phase 1 clinical trial, Phase 2 clinical trial and Phase 3 clinical trial or a pivotal trial, (ii) first commercial sale in the United States and (iii) first commercial sale in China, Japan or a major European country, in an aggregate amount of up to $2,975,000. The term of the license agreement with Yale runs, on a country-by-country basis, until the later of the expiration of all licensed patents or 10 years from the first commercial sale in such country, unless Yale has cause to terminate earlier for our material breach of the license, bankruptcy or if we or any sublicensee bring a challenge against Yale in relation to the licensed patents. We have the right to terminate the Yale Agreement for Yale’s material breach or at any time during the term with six months’ prior written notice to Yale.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Sponsored Research Agreement with Yale</w:t>
      </w:r>
    </w:p>
    <w:p>
      <w:pPr>
        <w:spacing w:after="0" w:line="19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connection with the Yale Agreement, we also entered into a corporate sponsored research agreement, or “SRA”, with Yale, pursuant to which we had agreed to provide an aggregate of up to $15 million to fund a research program aimed at discovering new targets for immunomedicines. The SRA was subsequently amended in January 2020 and October 2021 and expired on December 31, 2021. We do not intend to renew the SRA.</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Former Research and Development Collaboration with Lilly</w:t>
      </w:r>
    </w:p>
    <w:p>
      <w:pPr>
        <w:spacing w:after="0" w:line="225"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Effective March 3, 2020, Eli Lilly and Company, or Lilly, terminated the multi-year research and development collaboration agreement, or the Lilly Agreement, without cause that we had entered into with Lilly in November 2018 and that focused on the discovery and development of immunomedicines for oncology using our FIND-IO platform. Under the agreement, we had granted Lilly the exclusive option to obtain worldwide exclusive licenses to research, develop, manufacture and commercialize multiple compounds and products directed to oncology targets identified through our research collaboration.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0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a purpose-built, dedicated, state-of-the-art cGMP manufacturing facility that utilizes single-use technology to support our pipeline and advance our product candidates into and through clinical development. The facility has a production capacity of 2,000 liters in order to support multiple product candidates. The investment in our manufacturing facility is a critical element of our ability to quickly identify whether a candidate is likely to be successful and to facilitate an efficient development path. While other companies may need to work with third parties for antibody production, we can do so in our own facility. Compared to working with third-party manufacturers, we believe our facility provides better quality assurance, greater control in scheduling and prioritizing manufacturing activities and enhanced capital efficiency. We are currently manufacturing all of the drug supply for our preclinical studies and our Phase 1/2 clinical trials of NC318, NC410, and NC762 and intend to provide the drug supply for future clinical trials of NC318, NC410, NC762 and NC525. As we advance the development of our growing pipeline of product candidates, we will continue to evaluate the merits of further expanding our internal manufacturing capabilities, including for the production of commercial drug supply, as compared to collaborating with third-party manufacturers.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biotechnology and pharmaceutical industries, and the immuno-oncology subsector, are characterized by rapid evolution of technologies, fierce competition and strong defense of intellectual property. We believe that our programs, platforms, technology, knowledge, experience and scientific resources provide us with competitive advantages, but we also face competition from pharmaceutical and biotechnology companies, academic institutions, governmental agencies and public and private research institutions, among others. Our competitors include larger and better funded biopharmaceutical, biotechnology and therapeutics companies, including companies focused on cancer immunotherapies, such as Amgen, Inc., AstraZeneca plc, Bristol-Myers Squibb Company, or BMS, Genentech, Inc., GlaxoSmithKline PLC, Merck &amp; Co., Inc., Novartis AG, Pfizer Inc., Roche Holding Ltd and Sanofi S.A. Moreover, we may also compete with smaller or earlier-stage companies, universities and other research institutions that have developed, are developing or may be developing current and future cancer therapeutics.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Product candidates that we successfully develop and commercialize will compete with a range of therapies that are currently approved and any new therapies that may become available in the future. Key product features that would affect our ability to effectively compete with other therapeutics include the efficacy, safety and convenience of our products. Currently marketed oncology drugs and therapeutics range from traditional cancer therapies, including chemotherapy, to antibody-drug conjugates, such as Genentech Inc.’s Kadcyla, to immune checkpoint inhibitors targeting CTLA-4, such as BMS’ Yervoy, and PD-1/PD-L1, such as BMS’ Opdivo, Merck &amp; Co.’s Keytruda and Genentech’s Tecentriq, to T-cell-engager immunotherapies, such as Amgen’s Blincyto. In addition to these marketed therapies, numerous compounds are in clinical development for the potential treatment of cancer.</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commercial success depends in part on our ability to obtain and maintain proprietary protection for our products, methods and manufacturing processes, to operate without infringing the proprietary rights of others and to prevent others from infringing our proprietary rights. We rely on a combination of patent applications and trade secrets, as well as contractual protections, to establish and protect our intellectual property rights. We seek to protect our proprietary position by, among other things, filing patent applications in the United States and internationally. Our patent estate includes patent applications with claims relating to our product candidates, methods of use and manufacturing processes, and claims for potential future products and developments. As of December 31, 2021, our intellectual property portfolio includes, on a worldwide basis, 20 pending foreign patent applications relating to NC318, NC410, NC762 and NC525, two pending U.S. patent application relating to NC318, one pending U.S. patent application relating to NC410, two pending U.S. patent applications relating to NC762, one U.S. patent application relating to NC525 and additional pending patent applications for other discovery and research programs. Patents resulting from our patent applications for NC318, NC410 and NC525, if issued, are expected to expire beginning in 2037 absent any patent term adjustments or extensions and for NC762, if issued, are expected to expire beginning in 2039 absent any patent term adjustments or extensions.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as described above, under the Yale Agreement, we have an exclusive, royalty-bearing, sublicensable worldwide license from Yale for an intellectual property portfolio, including among other things patent applications relating to methods of use for S15 that covers the use of NC318 and one allowed patent relating to FIND-IO. Any patents from these patent applications, if issued, are expected to expire no earlier than 2036 absent any patent term adjustments or extensions.</w:t>
      </w:r>
    </w:p>
    <w:p>
      <w:pPr>
        <w:spacing w:after="0" w:line="18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For all patent applications, we determine strategy for claim scope on a case-by-case basis, taking into account advice of counsel and our business model and needs. We file patents containing claims for protection of all useful applications of our proprietary technologies and any products, as well as all new applications and/or uses we discover for existing technologies and products, based on our assessment of their strategic value. We continuously reassess the number and type of patent applications, as well as the pending and issued patent claims to ensure that maximum coverage and value are obtained for our processes and compositions, given existing patent office rules and regulations. Further, claims may be modified during patent prosecution to meet our intellectual property and business needs.</w:t>
      </w:r>
    </w:p>
    <w:p>
      <w:pPr>
        <w:spacing w:after="0" w:line="16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also rely upon trade secrets, know-how and continuing technological innovation to develop and maintain our competitive position, including with respect to our FIND-IO platform. We seek to protect our proprietary technology and processes, in part, by confidentiality and invention assignment agreements with our employees, consultants, scientific advisors and other contractors. In addition, in the ordinary course of our business, we enter into agreements with other third parties for non-exclusive rights to intellectual property directed to other technologies that are ancillary to our business, including laboratory information management software and research and development tools. In addition, we have filed for trademark registration with the U.S. Patent and Trademark Office, or the USPTO, for “NextCure,” our logo and our FIND-IO platform.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biological products. Along with third-party contractors, we will be required to navigate the various preclinical, clinical and commercial approval requirements of the governing regulatory agencies of the countries in which we wish to conduct studies or seek approval or licensure of our product candidates. The processes for obtaining regulatory approvals in the United States and in foreign jurisdictions, along with subsequent compliance with applicable laws and regulations and other regulatory authorities, require the expenditure of substantial time and financial resources.</w:t>
      </w:r>
    </w:p>
    <w:p>
      <w:pPr>
        <w:spacing w:after="0" w:line="18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Government policies may change, and additional government regulations may be enacted, that could prevent or delay further development or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Review and Approval for Licensing Biologics in the United States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United States, the FDA regulates our current product candidates as biological products, or biologics, under the Federal Food, Drug, and Cosmetic Act, or “FDCA”, the Public Health Service Act and associated implementing regulations. Biologics, like other drugs, are used for the treatment, prevention or cure of disease in humans. In contrast to small molecular weight drugs, which have a well-defined structure and can be thoroughly characterized, biologics are generally derived from living material (human, animal, or microorganism) are complex in structure, and thus are usually not fully characterized. Biologics include immunomedicines for cancer and other diseases.</w:t>
      </w:r>
    </w:p>
    <w:p>
      <w:pPr>
        <w:spacing w:after="0" w:line="16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Biologics are also subject to other federal, state and local statutes and regulations. The failure to comply with applicable statutory and regulatory requirements at any time during the product development process, approval process or after approval may subject a sponsor or applicant to administrative or judicial enforcement actions. These actions could include the suspension or termination of clinical trials by the FDA, the FDA’s refusal to approve pending applications or supplemental applications, withdrawal of an approval, Warning Letters or Untitled Letters, product recalls, product seizures, total or partial suspension of production or distribution, import detention, injunctions, fines, refusals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government contracts, restitution, disgorgement of profits, or civil or criminal investigations and penalties brought by the FDA, the Department of Justice, or the DOJ, or other governmental entities.</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An applicant seeking approval to market and distribute a biologic in the United States must typically undertake the following: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performed in accordance with the FDA’s good laboratory practice, or “GLP”, regulations;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manufacture, labeling and distribution of investigational drug in compliance with cGMP;</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clinical trial may be initiated;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the FDA’s current Good Clinical Practices requirements, or “cGCP”, to establish the safety, purity and potency of the proposed biological product candidate for its intended purpose;</w:t>
      </w:r>
    </w:p>
    <w:p>
      <w:pPr>
        <w:spacing w:after="0" w:line="183"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preparation of and submission to the FDA of a biologics license application, or “BLA”, after completion of all pivotal clinical trials requesting marketing approval for one or more proposed indications;</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satisfactory completion of an FDA Advisory Committee review, where appropriate, as may be requested by the FDA to assist with its review;</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proposed product, or certain components thereof, are produced to assess compliance with cGMP and data integrity requirements to assure that the facilities, methods and controls are adequate to preserve the biologic’s identity, safety, quality, purity and potency;</w:t>
      </w:r>
    </w:p>
    <w:p>
      <w:pPr>
        <w:spacing w:after="0" w:line="186"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satisfactory completion of FDA audits of selected clinical investigation sites to assure compliance with cGCP requirements and the integrity of the clinical data;</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 of user fees under the Prescription Drug User Fee Act for the relevant year;</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FDA review and approval of the BLA to permit commercial marketing of the licensed biologic for particular indications for use in the United States; and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post-approval requirements, including the potential requirements to implement a Risk Evaluation and Mitigation Strategy, or “REMS”, adverse event and biological product deviation reporting and to complete any post-approval studies.</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 xml:space="preserve">Before an applicant can begin testing the potential candidate in human subjects, the applicant must first conduct preclinical studies. Preclinical studies include laboratory evaluations of product chemistry, toxicity and formulation,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safety and activity of the drug for initial testing in humans and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establish a rationale for therapeutic use. Preclinical studies are subject to federal regulations and requirements, including GLP regulations. The results of an applicant’s preclinical studies are submitted to the FDA as part of an IND.</w:t>
      </w:r>
    </w:p>
    <w:p>
      <w:pPr>
        <w:spacing w:after="0" w:line="14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An IND is a request for authorization from the FDA to administer an investigational new drug product to humans. An IND is an exemption from the FDCA that allows an unapproved drug to be shipped in interstate commerce for use in an investigational clinical trial. Such authorization must be secured prior to interstate shipment and administration of a biologic that is not subject of an approved BLA. In support of a request for an IND, applicants must submit a protocol for each clinical trial. Any subsequent protocol amendments must be submitted to the FDA as part of the IND.</w:t>
      </w:r>
    </w:p>
    <w:p>
      <w:pPr>
        <w:spacing w:after="0" w:line="16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Human clinical trials may not begin until an IND is effective. The IND automatically becomes effective 30 days after receipt by the FDA, unless the FDA raises safety concerns or questions about the proposed clinical trial within the 30-day time period.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FDA may also place a clinical hold or partial clinical hold on such trial following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8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 regulations,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cGCP regulations in order to use the study as support for an IND or application for marketing approval, including cGCP regulations, including review and approval by an independent ethics committee and informed consent from subjects.</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Some trials also include oversight by an independent group of qualified experts organized by the clinical trial sponsor, known as a data safety monitoring board, or “DSMB”. DSMBs provide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Other grounds for suspension or termination may be made based on evolving business objectives and/or competitive climate. There are also requirements governing the reporting of ongoing clinical trials and clinical trial results to public registries.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purposes of BLA approval, clinical trials are typically conducted in the following sequential phases:</w:t>
      </w:r>
    </w:p>
    <w:p>
      <w:pPr>
        <w:spacing w:after="0" w:line="225" w:lineRule="exact"/>
        <w:rPr>
          <w:sz w:val="20"/>
          <w:szCs w:val="20"/>
          <w:color w:val="auto"/>
        </w:rPr>
      </w:pPr>
    </w:p>
    <w:p>
      <w:pPr>
        <w:jc w:val="both"/>
        <w:ind w:left="1040" w:right="79" w:hanging="315"/>
        <w:spacing w:after="0" w:line="279"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1: The investigational product is initially introduced into healthy human subjects or patients with the target disease or condition. These trials are designed to test the safety, dosage tolerance, absorption, metabolism and distribution of the investigational product in humans and the side effects associated with increasing doses. These trials may also yield early evidence of effectiveness.</w:t>
      </w:r>
    </w:p>
    <w:p>
      <w:pPr>
        <w:spacing w:after="0" w:line="171" w:lineRule="exact"/>
        <w:rPr>
          <w:rFonts w:ascii="Arial" w:cs="Arial" w:eastAsia="Arial" w:hAnsi="Arial"/>
          <w:sz w:val="17"/>
          <w:szCs w:val="17"/>
          <w:color w:val="auto"/>
        </w:rPr>
      </w:pPr>
    </w:p>
    <w:p>
      <w:pPr>
        <w:jc w:val="both"/>
        <w:ind w:left="1040" w:right="79" w:hanging="315"/>
        <w:spacing w:after="0" w:line="279"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1" w:lineRule="exact"/>
        <w:rPr>
          <w:rFonts w:ascii="Arial" w:cs="Arial" w:eastAsia="Arial" w:hAnsi="Arial"/>
          <w:sz w:val="17"/>
          <w:szCs w:val="17"/>
          <w:color w:val="auto"/>
        </w:rPr>
      </w:pPr>
    </w:p>
    <w:p>
      <w:pPr>
        <w:jc w:val="both"/>
        <w:ind w:left="1040" w:right="79" w:hanging="315"/>
        <w:spacing w:after="0" w:line="255"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generate sufficient data to statistically evaluate the efficacy and safety of the product for approval, to establish the overall risk/benefit ratio of the investigational product and to provide an adequate basis for product approval by the FDA.</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phases may overlap or be combined. In some cases, the FDA may require, or companies may voluntarily pursue, additional clinical trials, after a product is approved, to gain more information about the product, referred to as Phase 4 trials. Such post-approval trials, when applicable, are conducted following initial approval, typically to develop additional data and information relating to the biological characteristics of the product and treatment of patients in the intended therapeutic indication.</w:t>
      </w:r>
    </w:p>
    <w:p>
      <w:pPr>
        <w:spacing w:after="0" w:line="18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suspected serious and unexpected adverse reactions; findings from epidemiological studies, pooled analysis of multiple studies,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or other clinical studies, whether or not conducted under an IND, and whether or not conducted by the sponsor, that suggest a significant risk in humans exposed to the drug; and any clinically important increase in the rate of a serious suspected adverse reaction over such rate listed in the protocol or investigator brochure.</w:t>
      </w:r>
    </w:p>
    <w:p>
      <w:pPr>
        <w:spacing w:after="0" w:line="16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planned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cGCP and the integrity of the clinical data submitted.</w:t>
      </w:r>
    </w:p>
    <w:p>
      <w:pPr>
        <w:spacing w:after="0" w:line="16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During clinical development, the sponsor often refines the indication and endpoints on which the BLA will be based. For endpoints based on patient-reported outcomes, or “PROs”, and outcome reported outcomes, or “OROs”, the process typically is an iterative one. The FDA has issued guidance on the framework it uses to evaluate PRO instruments. Although the agency may offer advice on optimizing PRO and ORO instruments during the clinical development process, the FDA usually reserves final judgment until it reviews the BLA.</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Concurrent with clinical trials, companies often complete additional animal studies, and develop additional information about the chemistry and physical characteristics of the drug and finalize a process for manufacturing the product in commercial quantities in accordance with cGMP.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Assuming successful completion of all required clinical testing in accordance with all applicable regulatory requirements, an applicant may submit a BLA requesting licensing to market the biologic for one or more indications in the United States. The BLA must include the results of product development, nonclinical studies and clinical trials; detailed information on the product’s chemistry, manufacture, controls and proposed labeling. Under the Prescription Drug User Fee Amendments, a BLA submission is subject to an application user fee, unless a waiver or exemption applies. The cost of preparing and submitting a BLA is substantial. The submission of most BLAs is additionally subject to a substantial application user fee, currently exceeding $2.8 million for fiscal year 2021, and the manufacturer and sponsor under an approved BLA are also subject to annual program fees, currently $336,432 for each prescription product. These fees are typically increased annually.</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FDA will initially review the BLA for completeness before accepting it for filing. Under the FDA’s procedures, the agency has 60 days from its receipt of a BLA to determine whether the application will be accepted for filing and substantive review. If the agency determines that the application does not meet this initial threshold standard, the FDA may refuse to file the application and request additional information, in which case the application must be resubmitted with the requested information and review of the application delayed.</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With certain exceptions, BLAs must include a pediatric assessment, generally based on clinical trial data, of the safety and effectiveness of the biologic in relevant pediatric populations. Under certain circumstances, the FDA may waive or defer the requirement for a pediatric assessment, either at the sponsor’s request or by the agency’s initiative.</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After the BLA is accepted for filing, the FDA reviews the BLA to determine, among other things, whether a product is safe, pure and potent and if the facility in which it is manufactured, processed, packed or held meets standards designed to assure the product’s continued identity, strength, quality,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In addition, the FDA expects that all data be reliable and accurate and requires sponsors to implement meaningful and effective strategies to manage data integrity risks. Data integrity is an important component of the sponsor’s responsibility to ensure the safety, efficacy and quality of its product or products.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FDA will typically inspect one or more clinical sites to assure compliance with cGCP regulations before approving a BLA.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FDA performance goals generally provide for action on a BLA within 10 months of filing, which (as discussed above) typically occurs within 60 days of submission, but that deadline is extended in certain circumstances. Furthermore, the review process is often significantly extended by the FDA’s requests for additional information or clarification.</w:t>
      </w:r>
    </w:p>
    <w:p>
      <w:pPr>
        <w:spacing w:after="0" w:line="14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FDA may refer applications for novel products or products that present difficult questions of safety or efficacy to an advisory committee. Typically, an advisory committee consists of a panel that includes clinicians and other experts who will review, evaluate and provide a recommendation as to whether the application should be approved and, if so, under what conditions. The FDA is not bound by the recommendations of an advisory committee, but it considers such recommendations carefully when making decisions and usually has followed such recommendations.</w:t>
      </w:r>
    </w:p>
    <w:p>
      <w:pPr>
        <w:spacing w:after="0" w:line="16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components will be produced, the FDA may issue an approval letter or a Complete Response Letter, or “CRL”. An approval letter authorizes commercial marketing of the biologic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If the deficiencies have been addressed to the FDA’s satisfaction in a resubmission of the BLA, the FDA will issue an approval letter. In issuing the CRL, the FDA may recommend actions that the applicant might take to place the BLA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condition for approval, including requests for additional data, information or clarification. The FDA may delay or refuse approval of a BLA if applicable regulatory criteria are not satisfied and may require additional testing or information and/or require post-marketing studies and clinical trials. Even with submission of this additional information, the FDA ultimately may decide that the application does not satisfy the regulatory criteria for approval.</w:t>
      </w:r>
    </w:p>
    <w:p>
      <w:pPr>
        <w:spacing w:after="0" w:line="17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During the approval process, the FDA will determine whether a REMS is necessary to assure the safe use of the biologic.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that a REMS is needed, the BLA sponsor must submit a proposed REMS and the FDA will not approve the BLA without a REMS that the agency has determined is acceptable.</w:t>
      </w:r>
    </w:p>
    <w:p>
      <w:pPr>
        <w:spacing w:after="0" w:line="164"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If the FDA approves a product, it may limit the approved indications for use for the product, or require that contraindications, warnings or precautions be included in the product labeling. The FDA may also require that post-approval studies, including Phase 4 clinical trials, be conducted to further assess the drug’s safety after approval. The FDA may prevent or limit further marketing of a product based on the results of post-market studies or surveillance programs.</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FDA may also require testing and surveillance programs to monitor the product after commercialization. For biologics, such testing may include official lot release, which requires the manufacturer to perform certain tests on each lot of the product before it is released for distribution. The manufacturer then typically must submit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itself, before releasing the lots for distribution by the manufacturer.</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After approval, many types of changes to the approved product, such as adding new indications, manufacturing changes and additional labeling claims, are often subject to further testing requirements and FDA review and approval, depending on the nature of the post-approval change. The FDA may withdraw the product approval if compliance with pre-and post-marketing requirements is not maintained or if problems occur after the product reaches the marketplace.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Any products manufactured or distributed pursuant to FDA approvals are subject to pervasive and continuing regulation by the FDA, including, among other things, requirements relating to recordkeeping, periodic reporting, reporting of certain deviations and adverse experiences, product sampling and distribution and advertising and promotion of the product. After approval, most changes to the approved product, such as adding new indications or other labeling claims, are subject to FDA review and approval. Biologic manufacturers and their third-party contractors are required to register their facilities with the FDA and certain state agencies. These facilities are subject to routine and periodic unannounced inspections by the FDA and certain state agencies for compliance with cGMP, post-marketing safety reporting and data integrity requirements, which impose certain procedural and documentation requirements to assure quality of manufacturing and product. FDA has increasingly observed cGMP violations involving data integrity during site inspections and is a significant focus of its oversight. Requirements with respect to data integrity include, among other things, controls to ensure data are complete and secure; activities documented at the time of performance; audit trail functionality; authorized access and limitations; validated computer systems; and review of records for accuracy, completeness and compliance with established standards.</w:t>
      </w:r>
    </w:p>
    <w:p>
      <w:pPr>
        <w:spacing w:after="0" w:line="18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Post-approval changes to the manufacturing process are strictly regulated, and, depending on the significance of the change, may require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data integrity, pharmacovigilance and other aspects of regulatory compliance.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post-approval studies or clinical trials to assess new safety risks; or imposition of distribution or other restrictions under a REMS. Other potential consequences include, among other things:</w:t>
      </w:r>
    </w:p>
    <w:p>
      <w:pPr>
        <w:spacing w:after="0" w:line="178" w:lineRule="exact"/>
        <w:rPr>
          <w:sz w:val="20"/>
          <w:szCs w:val="20"/>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Warning Letters, Untitled Letters or holds on post-approval clinical studies;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 Import Alert; or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FDA strictly regulates the marketing, labeling, advertising and promotion of prescription drug and biological products placed on the market. A company can make only those claims relating to safety and efficacy, purity and potency that are approved by the FDA and in accordance with the provisions of the approved label. The FDA’s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relating to a product’s safety or effectiveness are prohibited before the drug is approved. After approval, a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DOJ or the Office of the Inspector General of the Department of Health and Human Services, or “HHS”, as well as other federal and state authorities. This could subject a company to a range of penalties that could have a significant commercial impact, including civil, administrative, and criminal fines, penalties, and agreements that materially restrict the manner in which a company promotes or distributes products. The federal government has levied large civil, administrative, and criminal fines and penalties against companies for alleged improper promotion and has also requested that companies enter into consent decrees and permanent injunctions under which specified promotional conduct is changed or curtailed.</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distribution of prescription drug and biological products are subject to the Drug Supply Chain Security Act, or “DSCSA”, which requires manufacturers and other stakeholders to comply with product identification, tracing, verification, detection and response, notification and licensing requirements. In addition, the Prescription Drug Marketing Act and its implementing regulations and state laws limit the distribution of prescription pharmaceutical product samples, and the DSCSA imposes requirements to ensure accountability in distribution and to identify and remove prescription drug and biological products that may be counterfeit, stolen, contaminated, or otherwise harmful from the market.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After approval, owners of relevant drug or biological product patents may apply for up to a five-year patent extension to restore a portion of patent term lost during product development and FDA review of a BLA if approval of the application is the first permitted commercial marketing or use of a biologic containing the active ingredient under the Drug Price Competition and Patent Term Restoration Act of 1984, referred to as the Hatch-Waxman Act. The allowable patent term extension is calculated as one-half of the product’s testing phase, which is the time between IND and BLA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submission, and all of the review phase, which is the time between BLA submission and approval, up to a maximum of five years. The time can be shortened if the FDA determines that the applicant did not pursue approval with due diligence. The total patent term after the extension may not exceed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product candidate covered by the patent for which a patent extension is being sought is likely. Interim patent extensions are not available for a product candidate for which a BLA has not been submitted.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Biosimilars and Marketing Exclusivities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Biologics Price Competition and Innovation Act, or “BPCIA”, created an abbreviated approval pathway for biological product candidates shown to be highly similar to or interchangeable with an FDA licensed biological product. A biological product on which another biological product candidate’s BLA relies to establish biosimilarity is known as a reference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at least one clinical trial, unless the Secretary of HHS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Complexities associated with the larger, and often more complex, structures of biologics, as well as the process by which such products are manufactured, pose significant hurdles to implementation of the abbreviated approval pathway that are still being worked out by the FDA.</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reference biologic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w:t>
      </w:r>
    </w:p>
    <w:p>
      <w:pPr>
        <w:spacing w:after="0" w:line="2" w:lineRule="exact"/>
        <w:rPr>
          <w:sz w:val="20"/>
          <w:szCs w:val="20"/>
          <w:color w:val="auto"/>
        </w:rPr>
      </w:pPr>
    </w:p>
    <w:p>
      <w:pPr>
        <w:jc w:val="both"/>
        <w:ind w:left="60" w:right="59" w:hanging="10"/>
        <w:spacing w:after="0" w:line="281" w:lineRule="auto"/>
        <w:tabs>
          <w:tab w:leader="none" w:pos="3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18 months after the first interchangeable biosimilar is approved if there is no patent challenge, (iii) 18 months after resolution of a lawsuit over the patents of the reference biologic in favor of the first interchangeable biosimilar applicant, or</w:t>
      </w:r>
    </w:p>
    <w:p>
      <w:pPr>
        <w:spacing w:after="0" w:line="1" w:lineRule="exact"/>
        <w:rPr>
          <w:rFonts w:ascii="Arial" w:cs="Arial" w:eastAsia="Arial" w:hAnsi="Arial"/>
          <w:sz w:val="16"/>
          <w:szCs w:val="16"/>
          <w:color w:val="auto"/>
        </w:rPr>
      </w:pPr>
    </w:p>
    <w:p>
      <w:pPr>
        <w:jc w:val="both"/>
        <w:ind w:left="60" w:right="59" w:hanging="10"/>
        <w:spacing w:after="0" w:line="277" w:lineRule="auto"/>
        <w:tabs>
          <w:tab w:leader="none" w:pos="389" w:val="left"/>
        </w:tabs>
        <w:numPr>
          <w:ilvl w:val="0"/>
          <w:numId w:val="20"/>
        </w:numPr>
        <w:rPr>
          <w:rFonts w:ascii="Arial" w:cs="Arial" w:eastAsia="Arial" w:hAnsi="Arial"/>
          <w:sz w:val="17"/>
          <w:szCs w:val="17"/>
          <w:color w:val="auto"/>
        </w:rPr>
      </w:pPr>
      <w:r>
        <w:rPr>
          <w:rFonts w:ascii="Arial" w:cs="Arial" w:eastAsia="Arial" w:hAnsi="Arial"/>
          <w:sz w:val="17"/>
          <w:szCs w:val="17"/>
          <w:color w:val="auto"/>
        </w:rPr>
        <w:t>42 months after the first interchangeable biosimilar’s application has been approved if a patent lawsuit is ongoing within the 42 month period. At this time, it is unclear whether products deemed “interchangeable” by the FDA will, in fact, be readily substituted by pharmacies, which are governed by state pharmacy laws and regulations.</w:t>
      </w:r>
    </w:p>
    <w:p>
      <w:pPr>
        <w:spacing w:after="0" w:line="173"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If a biologic is designated and approved for an orphan indication, it will be granted seven years of orphan drug exclusivity. An orphan indication is granted to biological products and drugs designated and approved to treat diseases or conditions affecting fewer than 200,000 individuals in the United States, or if there is no reasonable expectation that the sponsor will be able to recover the costs of developing and marketing the drug or biological product in the United States. A biosimilar may not be licensed by FDA for the protected orphan indication until after the expiration of the seven-year orphan drug exclusivity period or the 12-year reference product exclusivity, whichever is later.</w:t>
      </w:r>
    </w:p>
    <w:p>
      <w:pPr>
        <w:spacing w:after="0" w:line="16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Pediatric exclusivity adds an additional six-month exclusivity period to any marketing exclusivities and patents that a biological product has obtained. In order to obtain pediatric exclusivity, a BLA sponsor must conduct pediatric studies as requested by the FDA in a Written Request.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While pediatric exclusivity is not an actual extension on a patent term, it effectively extends the preclusive effect of the patent on FDA’s authority to approve another application that relies on the product with pediatric exclusivity.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BPCIA is complex and continues to be interpreted and implemented by the FDA. On December 20, 2019, President Trump signed into law H.R. 1865, the Further Consolidated Appropriations Act of 2020. The law includes significant provisions related to the Trump Administration’s biosimilars policy framework and FDA’s implementation of the BPCIA, such as clarifying that “chemically synthesized polypeptides” are no longer excluded from being regulated as biologics, while “peptides” (polymers composed of 40 or fewer amino acids) will continue to be regulated as drugs unless they otherwise meet the statutory definition of biological products. In addition, the Further Consolidated Appropriations Act of 2020 clarifies exclusivity and procedural issues related to certain biologics approved as drugs pursuant to new drug applications, or “NDAs”, to be the subject of an approved BLA, or transition biological products. The law also incorporates provisions intended to reduce price and increase competitiveness in the pharmaceutical industry. The law amends the FDCA to create a private right of action against NDA or BLA holders that refuse to provide sufficient quantities of samples of an approved reference product to generic and biosimilar developers. In July 2018, the FDA released its Biosimilars Action Plan to improve the efficiency of the biosimilar and interchangeable product development and approval process. The Further Consolidated Appropriations Act of 2020 is consistent with FDA guidance documents issued in December 2018 that were intended to advance the agency’s biosimilars policy framework. The implementation of the Further Consolidated Appropriations Act of 2020 and the ultimate impact of the agency’s Biosimilars Action Plan are uncertain and may evolve over time through future laws and regulations and guidance provided by regulatory and governing bodies. In addition, other aspects of the BPCIA, some of which may impact the BPCIA exclusivity provisions, have been the subject of recent litigation.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Companion Diagnostics and Laboratory Developed Tests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 xml:space="preserve">A companion diagnostic is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that can: identify the patients most likely to benefit from a particular therapeutic product; identify those likely to be at an increased risk for serious side effects; or monitor responses to treatment with a particular therapeutic product for the purpose of adjusting treatment to achieve improved safety or effectiveness. Under the FDCA,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are generally regulated as medical devices. The FDA has generally classified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high-risk, Class III devices, which require FDA approval of a premarket approval application, or “PMA”, but recognizes the possibility of a moderate-risk IVD companion diagnostic (</w:t>
      </w:r>
      <w:r>
        <w:rPr>
          <w:rFonts w:ascii="Arial" w:cs="Arial" w:eastAsia="Arial" w:hAnsi="Arial"/>
          <w:sz w:val="17"/>
          <w:szCs w:val="17"/>
          <w:i w:val="1"/>
          <w:iCs w:val="1"/>
          <w:color w:val="auto"/>
        </w:rPr>
        <w:t>i.e</w:t>
      </w:r>
      <w:r>
        <w:rPr>
          <w:rFonts w:ascii="Arial" w:cs="Arial" w:eastAsia="Arial" w:hAnsi="Arial"/>
          <w:sz w:val="17"/>
          <w:szCs w:val="17"/>
          <w:color w:val="auto"/>
        </w:rPr>
        <w:t xml:space="preserve">., Class II device), which would require clearance of a 510(k) premarket notification or grant of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Approval or clearance of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will ensure that the device has been adequately evaluated and has adequate performance characteristics in the intended population.</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 xml:space="preserve">For those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that require PMA approval, the process involves gathering and submitting clinical and preclinical data on the device for review by the FDA. It involves a rigorous premarket review, during which the applicant must provide the FDA with reasonable assurance of the device’s safety and effectiveness, as well as information regarding the device’s design, manufacturing and labeling. In addition, the FDA will typically inspect the device manufacturer’s facilities for compliance with the Quality System Regulation, which imposes testing, control, documentation and other quality assurance requirements.</w:t>
      </w:r>
    </w:p>
    <w:p>
      <w:pPr>
        <w:spacing w:after="0" w:line="19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 xml:space="preserve">The FDA has issued guidance on the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devices. According to the FDA’s guidance, for novel therapeutic products including biologics,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 and its corresponding therapeutic should be approved or cleared contemporaneously by the FDA for the use indicated in the therapeutic product’s labeling.</w:t>
      </w:r>
    </w:p>
    <w:p>
      <w:pPr>
        <w:spacing w:after="0" w:line="18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 xml:space="preserve">In some cases, information from a diagnostic test may be useful to a prescriber, but not necessary for the safe and effective administration of the therapeutic product. In those cases, health care providers may employ information derived from a complementary diagnostic test such as a laboratory developed test, or “LDT”, when administering a therapeutic product. An LDT is a type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test that is designed, manufactured and used within a single laboratory. LDTs can be used to measure or detect a wide variety of analytes (substances such as proteins, chemical compounds like glucose or cholesterol, or DNA), in a sample taken from a human body.</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Centers for Medicare and Medicaid Services, or “CMS”, regulates LDTs and the laboratories that develop them, and enforces the Clinical Laboratories Improvement Amendments, or “CLIA”. CMS evaluates whether there is clinical utility for each specific test, and also performs post-market oversight of laboratory operational processes. CMS’s oversight through the CLIA program is designed to confirm that a lab assesses analytical validity but does not confirm whether it had results from an analytical validity assessment that were sufficient to support the claimed intended use of the test.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Historically, the FDA has generally not enforced premarket review and other FDA requirements on LDTs because LDTs were relatively simple lab tests and generally available on a limited basis. Due to advances in technology, however, some LDTs are now much more complex, have a nationwide reach and present higher risks, such as detection of risk for breast cancer and Alzheimer’s disease, which are similar to those of other IV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that have undergone premarket review.</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FDA has announced that in the future it intends to assert jurisdiction over LDTs and proposed increasing regulatory requirements for LDTs through a risk-based framework. The FDA received considerable resistance to its proposal, and to date generally exercises enforcement discretion with respect to LDTs, leaving responsibility to CMS.</w:t>
      </w:r>
    </w:p>
    <w:p>
      <w:pPr>
        <w:spacing w:after="0" w:line="16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 xml:space="preserve">New laws, regulations or changes to existing laws, regulations and policies may result in changes to the requirements for LDTs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and to the FDA’s compliance and enforcement policies.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Regulation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Pharmaceutical Coverage and Reimbursement</w:t>
      </w:r>
    </w:p>
    <w:p>
      <w:pPr>
        <w:spacing w:after="0" w:line="19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ability to successfully commercialize any of our product candidates for which we may receive regulatory approval will depend in significant part on the availability of coverage and reimbursement from third-party payors, including governmental healthcare programs such as the Medicare and Medicaid programs in the U.S.; private health insurers; managed care organizations; and other entities. Though we expect our initial product offering to be covered under Medicare Part B and thus not subject to Medicare Part D formulary requirements, private third-party payors establish the coverage and reimbursement policies for pharmaceutical products, and the marketability of any products for which we may receive regulatory approval for commercial sale depends on those payors’ coverage policies and reimbursement rates. Third-party payors may limit coverage to specific products on an approved list, or formulary, which might not include one or more of our product candidates. Third-party payors, together with regulators and others, are increasingly challenging the prices charged for pharmaceutical products and related services, in addition to their cost-effectiveness, safety and efficacy.</w:t>
      </w:r>
    </w:p>
    <w:p>
      <w:pPr>
        <w:spacing w:after="0" w:line="16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no uniform policy for coverage and reimbursement exists in the United States. Third-party payors often rely upon Medicare coverage policy and payment limitations in setting their own coverage and reimbursement policies, but also have their own methods and approval processes apart from Medicare determinations. Therefore, coverage and reimbursement rates can vary significantly from payor to payor.</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Moreover,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candidates will be considered cost-effective by third-party payors. This process could delay the market acceptance of any product candidates for which we may receive approval and could have a negative effect on our future revenues and operating results.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U.S. Healthcare Laws and Compliance Requirements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the United States, our business is subject to healthcare fraud and abuse regulation and enforcement by both the federal government and the states in which we conduct our business, particularly once third-party reimbursement becomes available for one or more of our products. The healthcare fraud and abuse laws and regulations that may affect our ability to operate include but are not limited to:</w:t>
      </w:r>
    </w:p>
    <w:p>
      <w:pPr>
        <w:spacing w:after="0" w:line="187" w:lineRule="exact"/>
        <w:rPr>
          <w:sz w:val="20"/>
          <w:szCs w:val="20"/>
          <w:color w:val="auto"/>
        </w:rPr>
      </w:pPr>
    </w:p>
    <w:p>
      <w:pPr>
        <w:jc w:val="both"/>
        <w:ind w:left="1040" w:right="79" w:hanging="315"/>
        <w:spacing w:after="0" w:line="289"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or bribe), directly or indirectly, overtly or covertly, in cash or in kind, to induce, or in return for, either the referral of an individual, or the purchase, lease, order, arranging for or recommending the purchase, lease, or order of any item or service for which payment may be made, in whole or in part, under federal healthcare programs like Medicare or Medicaid.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including, for example, consulting/speaking arrangements, discount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84" w:lineRule="auto"/>
        <w:rPr>
          <w:sz w:val="20"/>
          <w:szCs w:val="20"/>
          <w:color w:val="auto"/>
        </w:rPr>
      </w:pPr>
      <w:r>
        <w:rPr>
          <w:rFonts w:ascii="Arial" w:cs="Arial" w:eastAsia="Arial" w:hAnsi="Arial"/>
          <w:sz w:val="16"/>
          <w:szCs w:val="16"/>
          <w:color w:val="auto"/>
        </w:rPr>
        <w:t>rebate offers, grants, charitable contributions, and patient support offerings, among others. A conviction for violation of the federal Anti-Kickback Statute can result in criminal fines and/or imprisonment and requires mandatory exclusion from participation in federal health care programs. Exclusion may also be imposed if the government determines that an entity has committed acts that are prohibited by the federal Anti-Kickback Statute.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 Anti-Kickback Statute safe harbors have been the subject of recent regulatory reforms. In late 2020, the U.S. Department of Health and Human Services Office of Inspector General issued two final rules finalizing significant safe harbor modifications related to (1) value-based and coordinated care arrangements and (2) certain point-of-sale discounts and the existing discount safe harbor, or the “Rebate Rule”. Implementation of the Rebate Rule is uncertain due, at least in part, to ongoing litigation and a Congress-passed moratorium on implementation before January 1, 2026. We cannot predict the future of the Rebate Rule, the full impact of the Rebate Rule, if implemented, or subsequent regulatory actions on our operations. As a general matter, however,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180" w:lineRule="exact"/>
        <w:rPr>
          <w:sz w:val="20"/>
          <w:szCs w:val="20"/>
          <w:color w:val="auto"/>
        </w:rPr>
      </w:pPr>
    </w:p>
    <w:p>
      <w:pPr>
        <w:jc w:val="both"/>
        <w:ind w:left="1040" w:right="79" w:hanging="315"/>
        <w:spacing w:after="0" w:line="267"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including the civil False Claims Act, or “FCA”, which prohibits, among other things: (i) knowingly presenting, or causing to be presented, claims for payment of government funds that are false or fraudulent; (ii) knowingly making, or using or causing to be made or used, a false record or statement material to a false or fraudulent claim; (iii) knowingly making, using or causing to made or used a false record or statement material to an obligation to pay money to the government; or (iv) knowingly concealing or knowingly and improperly avoiding, decreasing, or concealing an obligation to pay money to the federal government. Private individuals, commonly known as “whistleblowers,” can bring FCA qui tam actions, on behalf of the government and may share in amounts paid by the entity to the government in recovery or settlement. Pharmaceutical companies have been investigated and/or subject to government enforcement actions asserting liability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Anti-Kickback Statute constitutes a false or fraudulent claim for purposes of the FCA. Moreover, manufacturers can be held liable under the FCA even when they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Such per-claim penalties are currently set at $11,665 to $23,331 per false claim or statement for penalties assessed after June 19, 2020, with respect to violations occurring after November 2, 2015. Criminal penalties, including imprisonment and criminal fines, are also possible for making or presenting a false, fictitious or fraudulent claim to the federal government;</w:t>
      </w:r>
    </w:p>
    <w:p>
      <w:pPr>
        <w:spacing w:after="0" w:line="182" w:lineRule="exact"/>
        <w:rPr>
          <w:rFonts w:ascii="Arial" w:cs="Arial" w:eastAsia="Arial" w:hAnsi="Arial"/>
          <w:sz w:val="17"/>
          <w:szCs w:val="17"/>
          <w:color w:val="auto"/>
        </w:rPr>
      </w:pPr>
    </w:p>
    <w:p>
      <w:pPr>
        <w:jc w:val="both"/>
        <w:ind w:left="1040" w:right="79" w:hanging="315"/>
        <w:spacing w:after="0" w:line="25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among other things, prohibits knowingly and willfully executing, or attempting to execute, a scheme to defraud any healthcare benefit program, including private third-party payors, and prohibits (i) knowingly and willfully falsifying, concealing or covering up a material fact or making any materially false, fictitious or fraudulent statement or representation and (ii)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 or specific intent to violate it;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7"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HIPAA, the Health Information Technology for Economic and Clinical Health Act, or “HITECH Act”, and implementing regulations, impose requirements relating to the privacy, security and transmission of individually identifiable health information held by covered entities, including health plans, healthcare clearinghouses and certain healthcare providers, and their business associates, individuals or entities that perform certain services on behalf of a covered entity that involve the use or disclosure of individually identifiable health information. HIPAA includes several tiers of civil monetary penalties as well as criminal penalties. In addition, state attorneys general have authority to file civil actions for damages or injunctions in federal courts to enforce HIPAA and seek attorneys’ fees and costs associated with pursuing federal civil actions. Research institutions that we collaborate with and healthcare providers who may prescribe our products, once commercialized, are subject to privacy and security requirements under HIPAA.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w:t>
      </w:r>
    </w:p>
    <w:p>
      <w:pPr>
        <w:spacing w:after="0" w:line="189" w:lineRule="exact"/>
        <w:rPr>
          <w:rFonts w:ascii="Arial" w:cs="Arial" w:eastAsia="Arial" w:hAnsi="Arial"/>
          <w:sz w:val="17"/>
          <w:szCs w:val="17"/>
          <w:color w:val="auto"/>
        </w:rPr>
      </w:pPr>
    </w:p>
    <w:p>
      <w:pPr>
        <w:jc w:val="both"/>
        <w:ind w:left="1040" w:right="79" w:hanging="315"/>
        <w:spacing w:after="0" w:line="283"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Numerous other federal and state laws and regulations that also govern the privacy and security of individually identifiable health information, including state data breach notification laws, state health information or genetic privacy laws, and federal and state consumer protection laws such as Section 5 of the Federal Trade Commission, or “FTC”, Act and the California Consumer Privacy Act, or “CCPA”.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certain exemptions for personal information subject to HIPAA and personal data collected in a clinical trial context, and the CCPA’s implementation standards and enforcement practices may increase our compliance costs and potential liability. Additionally, a California ballot initiative, the California Privacy Rights Act, or “CPRA”, passed in November 2020, and the majority of the provisions will take effect on January 1, 2023. The CPRA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Laws similar to the California laws have passed in Virginia and Colorado, and comparable laws have been proposed in other states and at the federal level that may ultimately have conflicting requirements that would further complicate compliance. Meanwhile, the FTC has promulgated standards for fair information practices, which concern consumer notice, choice, security and access, and also require notice of certain health information breaches outside the HIPAA context. Consumer protection laws require us to publish statements that describe how we handle personal information and choices individuals may have about the way we handle their personal information. Violating consumers’ privacy rights, publishing untrue information about security practices, or failing to take appropriate steps to keep consumers’ personal information secure may constitute unfair or deceptive acts or practices in violation of Section 5 of the FTC Act. Federal regulators, state attorneys general and plaintiffs’ attorneys have been and will likely continue to be active in this space, and if we do not comply with existing or new laws and regulations related to patient health information, we could be subject to criminal or civil sanctions.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left="1040" w:right="79" w:hanging="315"/>
        <w:spacing w:after="0" w:line="296"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addition, some countries are considering or have passed legislation implementing data protection requirements or requiring local storage and processing of data or similar requirements that could increase the cost and complexity of research activities. These laws and regulations, as well as any associated claims, inquiries, investigations or any other government actions may lead to unfavorable outcomes including increased compliance costs, delays or impediments in the development of new products, negative publicity,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308" w:lineRule="auto"/>
        <w:rPr>
          <w:sz w:val="20"/>
          <w:szCs w:val="20"/>
          <w:color w:val="auto"/>
        </w:rPr>
      </w:pPr>
      <w:r>
        <w:rPr>
          <w:rFonts w:ascii="Arial" w:cs="Arial" w:eastAsia="Arial" w:hAnsi="Arial"/>
          <w:sz w:val="17"/>
          <w:szCs w:val="17"/>
          <w:color w:val="auto"/>
        </w:rPr>
        <w:t>increased operating costs, diversion of management time and attention and remedies that harm our business, including fines or demands or orders that we modify or cease existing business practices.</w:t>
      </w:r>
    </w:p>
    <w:p>
      <w:pPr>
        <w:spacing w:after="0" w:line="146" w:lineRule="exact"/>
        <w:rPr>
          <w:sz w:val="20"/>
          <w:szCs w:val="20"/>
          <w:color w:val="auto"/>
        </w:rPr>
      </w:pPr>
    </w:p>
    <w:p>
      <w:pPr>
        <w:jc w:val="both"/>
        <w:ind w:left="1040" w:right="79" w:hanging="315"/>
        <w:spacing w:after="0" w:line="290"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federal Physician Payments Sunshine Act,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65" w:lineRule="exact"/>
        <w:rPr>
          <w:rFonts w:ascii="Arial" w:cs="Arial" w:eastAsia="Arial" w:hAnsi="Arial"/>
          <w:sz w:val="16"/>
          <w:szCs w:val="16"/>
          <w:color w:val="auto"/>
        </w:rPr>
      </w:pPr>
    </w:p>
    <w:p>
      <w:pPr>
        <w:jc w:val="both"/>
        <w:ind w:left="1040" w:right="79" w:hanging="315"/>
        <w:spacing w:after="0" w:line="26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8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will be required to spend substantial time and money to ensure that our business arrangements with third parties comply with applicable healthcare laws and regulations. Even then, governmental authorities may conclude that our business practices do not comply with current or future statutes, regulations or case law involving applicable fraud and abuse or other healthcare laws and regulations. If governmental authorities find that our operations violate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and additional reporting obligations and oversight if we become subject to a corporate integrity agreement or other agreement to resolve allegations of non-compliance with these laws, and we may be required to curtail or restructure our operations. Moreover, we expect that there will continue to be federal and state laws and regulations, proposed and implemented, that could impact our operations and business. In addition, the approval and commercialization of any product candidate we develop outside the United States will also likely subject us to foreign equivalents of the healthcare laws mentioned above, among other foreign laws. The extent to which future legislation or regulations, if any, relating to health care fraud and abuse laws or enforcement, may be enacted or what effect such legislation or regulation would have on our business remains uncertain.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Healthcare Reform</w:t>
      </w:r>
    </w:p>
    <w:p>
      <w:pPr>
        <w:spacing w:after="0" w:line="19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the United States there have been and continue to be a number of healthcare-related legislative and regulatory initiatives and reforms that have significantly affected the pharmaceutical industry. For example, the Patient Protection and Affordable Care Act, as amended by the Health Care and Education Reconciliation Act of 2010, or collectively, the “ACA”, was passed in March 2010, and substantially changed the way healthcare is financed by both governmental and private insurers and significantly impacted the U.S. pharmaceutical industry. Among other things, the ACA: subjects biologics to potential competition by lower-cost biosimilars; addresses a methodology through which rebates owed by manufacturers under the Medicaid Drug Rebate Program, or “MDRP”, are calculated for covered outpatient drugs that are inhaled, infused, instilled, implanted or injected; increases the minimum Medicaid rebates owed by manufacturers under the MDRP and extends the rebate program to individuals enrolled in Medicaid managed care organizations; establishes annual fees and taxes on manufacturers of certain branded prescription drugs; and creates a Medicare Part D coverage gap discount program in which, as a condition of coverage of its products under Medicare Part D, manufacturers must agree to offer point-of-sale discounts off negotiated prices of applicable brand drugs to eligible beneficiaries during their coverage gap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The ACA and certain of its provisions have been subject to judicial challenges as well as legislative and regulatory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Cuts and Jobs Act of 2017, or the “Tax Act”, includes a provision that repealed the tax-based shared responsibility payment imposed by the ACA on certain individuals who fail to maintain qualifying health coverage for all or part of a year, commonly referred to as the “individual mandate.” The Bipartisan Budget Act of 2018, among other things, amended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to be covered under Medicare Part D. CMS rules issued in 2018 permit further collections and payments to and from certain ACA-qualified health plans and health insurance issuers under the ACA risk adjustment program. The Further Consolidated Appropriations Act of 2020 fully repealed the ACA’s “Cadillac Tax” on certain high-cost employer-sponsored insurance plans and, effective in 2021, the annual fee imposed on certain health insurance providers based on market share. On January 28, 2021,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policies that create barriers to obtaining access to health insurance coverage through the ACA marketplaces. Most recently, 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will no longer be capped, potentially resulting in a manufacturer paying more in MDRP rebates than it receives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products.</w:t>
      </w:r>
    </w:p>
    <w:p>
      <w:pPr>
        <w:spacing w:after="0" w:line="200" w:lineRule="exact"/>
        <w:rPr>
          <w:sz w:val="20"/>
          <w:szCs w:val="20"/>
          <w:color w:val="auto"/>
        </w:rPr>
      </w:pPr>
    </w:p>
    <w:p>
      <w:pPr>
        <w:spacing w:after="0" w:line="20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December 2018, the United States District Court for the Northern District of Texas ruled that the individual mandate is (i) unconstitutional as a result of the associated tax penalty being repealed by Congress as part of the Tax Act and (ii) not severable from the rest of the ACA, and that as a result the entire ACA is invalid. On December 18, 2019, the U.S. Court of Appeals for the Fifth Circuit affirmed the district court’s decision that the individual mandate is unconstitutional but remanded the case to the district court to reconsider the severability question. The Supreme Court of the United States granted certiorari on March 2, 2020 and heard oral argument on November 10, 2020. On June 17, 2021, the Supreme Court dismissed the lawsuit without ruling on the merits of the states’ constitutionality arguments.</w:t>
      </w:r>
    </w:p>
    <w:p>
      <w:pPr>
        <w:spacing w:after="0" w:line="16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several recent U.S. Congressional inquiries and proposed and enacted pieces of federal and state legislation and regulation have been designed to, among other things: bring more transparency to drug pricing; reduce the cost of prescription drugs under government payor programs; review the relationship between pricing and manufacturer patient programs; and reform government program reimbursement methodologies for drugs. For example,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Policymakers have also indicated that they will continue to seek legislative and administrative measures to control drug costs. For example, on July 9, 2021, President Biden issued an Executive Order to promote competition in the U.S. economy that included several initiatives addressing prescription drugs. Among other provisions, the Executive Order stated that the Biden administration will “support aggressive legislative reforms that would lower prescription drugs, including by allowing Medicare to negotiate drug prices, by imposing inflation caps, and through other related reforms.” In response to the Executive Order, on September 9, 2021, the Department of Health and Human Services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Moreover, in May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success depends upon our ability to retain and attract highly qualified management and technical personnel. As of December 31, 2021, we had 87 full-time employees, with 61% male and 39% female. Our workforce represents diverse racial and ethnic backgrounds with the following self-identified groups among our employees: 46% White, 25% Asian, 20% Black/African American and 9% Hispanic/Latino.</w:t>
      </w:r>
    </w:p>
    <w:p>
      <w:pPr>
        <w:spacing w:after="0" w:line="18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consider the intellectual capital of our employees to be an essential driver of our business and key to our future prospects. Recruiting and retaining qualified employees, consultants and advisors for our business, including scientific and technical personnel, is critical to our success, and competition for skilled personnel is intense and the turnover rate can be high in our industry. We have historically addressed the turnover we have encountered and grown our headcount in support of our expanding pipeline of research programs and product candidates, but we continue to monitor our turnover rate and the overall supply of skilled labor in the market. We also monitor our compensation programs closely and provide what we consider to be a competitive mix of compensation and benefits for our employees, as well as participation in our equity programs. None of our employees are subject to a collective bargaining agreement or represented by a trade or labor union.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 and Access to SEC Reports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 xml:space="preserve">We were incorporated in Delaware in September 2015. Our primary executive offices are located at 9000 Virginia Manor Road, Suite 200, Beltsville, Maryland 20705 and our telephone number is (240) 399-4900. We make available, free of charge, on our website at </w:t>
      </w:r>
      <w:r>
        <w:rPr>
          <w:rFonts w:ascii="Arial" w:cs="Arial" w:eastAsia="Arial" w:hAnsi="Arial"/>
          <w:sz w:val="18"/>
          <w:szCs w:val="18"/>
          <w:i w:val="1"/>
          <w:iCs w:val="1"/>
          <w:color w:val="auto"/>
        </w:rPr>
        <w:t>www.nextcure.com</w:t>
      </w:r>
      <w:r>
        <w:rPr>
          <w:rFonts w:ascii="Arial" w:cs="Arial" w:eastAsia="Arial" w:hAnsi="Arial"/>
          <w:sz w:val="18"/>
          <w:szCs w:val="18"/>
          <w:color w:val="auto"/>
        </w:rPr>
        <w:t>, our annual reports on Form 10-K, quarterly reports on Form 10-Q, current reports on Form 8-K and any amendments to such reports as soon as reasonably practicable after such reports are electronically filed with, or furnished to, the SEC. The contents of our website are not incorporated into this Annual Report.</w:t>
      </w:r>
    </w:p>
    <w:p>
      <w:pPr>
        <w:spacing w:after="0" w:line="2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together with all of the other information in this Annual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02"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a clinical-stage biopharmaceutical company with a limited operating history. Since our founding in 2015, we have incurred significant net losses. Our net losses were $69.4 million and $36.6 million for the years ended December 31, 2021 and 2020, respectively. As of December 31, 2021, we had an accumulated deficit of $187.0 million. We have funded our operations to date primarily with proceeds from public offerings of our common stock, private placements of our preferred stock and upfront fees received under the Lilly Agreement, which was terminated effective March 2020. Since commencing operations,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our discovery programs and our FIND-IO platform.</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We expect that it will be several years, if ever, before we have a commercialized product. We expect to continue to incur significant expenses and operating losses for the foreseeable future. The net losses we incur may fluctuate significantly from year to year. We anticipate that our expenses will increase substantially if, and as, we:</w:t>
      </w:r>
    </w:p>
    <w:p>
      <w:pPr>
        <w:spacing w:after="0" w:line="165" w:lineRule="exact"/>
        <w:rPr>
          <w:sz w:val="20"/>
          <w:szCs w:val="20"/>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existing product candidates and our research programs;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leverage our FIND-IO platform to advance additional product candidates into preclinical and clinical development;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cGMP manufacturing capacity, including to provide drug supply for future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clinical, quality control, regulatory, scientific and administrative personnel;</w:t>
      </w:r>
    </w:p>
    <w:p>
      <w:pPr>
        <w:spacing w:after="0" w:line="225"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including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marketing, sales, distribution and medical affairs infrastructure to commercialize any products for which we may obtain marketing approval and commercialize, whether on our own or jointly with a partner;</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technologies or engage in strategic partnerships;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To become and remain profitable, we, whether on our own or jointly with any potential future collaborator,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potential future collaborators’, success in:</w:t>
      </w:r>
    </w:p>
    <w:p>
      <w:pPr>
        <w:spacing w:after="0" w:line="188" w:lineRule="exact"/>
        <w:rPr>
          <w:sz w:val="20"/>
          <w:szCs w:val="20"/>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completing preclinical studies and clinical trials of our product candidates, including our ongoing Phase 1/2 clinical trials for NC318, NC410 and NC762;</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seeking and obtaining marketing approvals for any product candidates that we or our collaborators develop;</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receiving acceptance of INDs for future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identifying and developing new product candidates;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manufacturing cGMP supply of our product candidates for clinical trials and, if approved, commercial sales;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obtaining market acceptance of product candidates, if approved, that we develop as viable treatment options;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88"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b w:val="1"/>
          <w:bCs w:val="1"/>
          <w:i w:val="1"/>
          <w:iCs w:val="1"/>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4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including NC318, NC410, NC762 or NC525, we will require significant additional amounts of cash in order to launch and commercialize such product candidates. In addition, other unanticipated costs may arise. Because the designs and outcomes of our planned and anticipated clinical trials are highly uncertain, we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cannot reasonably estimate the actual amounts necessary to successfully complete the development of and commercialize any product candidate we develop.</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jc w:val="both"/>
        <w:ind w:left="1040" w:right="79" w:hanging="315"/>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timing, results and costs of researching and developing NC318, NC410, NC762, NC525 and our other product candidates, including targets identified through our FIND-IO platform, and of conducting preclinical studies and clinical trials;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 for NC318, NC410, NC762, NC525 and any future product candidates we develop, if clinical trials are successful;</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of manufacturing NC318, NC410, NC762, NC525 and any future product candidates for preclinical studies and clinical trials and in preparation for marketing approval and commercialization;</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marketing, sales and distribution costs, for NC318, NC410, NC762, NC525 and any future product candidates we develop, whether alone or with a collaborator, if any of these product candidates are approved for sale;</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on favorable terms, if at all;</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competing therapies and other developments in the oncology market.</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Until we can generate sufficient product and royalty revenue to finance our cash requirements, which we may never do, we expect to finance our future cash needs through a combination of public or private equity offerings, debt financings, marketing and distribution arrangements, other collaborations, strategic alliances and licensing arrangements. As of December 31, 2021, we had $219.6 million in cash, cash equivalents (excluding restricted cash) and marketable securities. Based on our research and development plans, we expect that our existing cash, cash equivalents and marketable securities will enable us to fund our operating expenses and capital expenditure requirements into the first quarter of 2024. This estimate is based on assumptions that may prove to be wrong, and we could use our available capital resources sooner than we expect. Changes may occur that are within or beyond our control that would cause us to consume our available capital before that time, including changes in and progress of our development activities, acquisitions of additional product candidates and changes in regulation.</w:t>
      </w:r>
    </w:p>
    <w:p>
      <w:pPr>
        <w:spacing w:after="0" w:line="18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research programs or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02" w:lineRule="exact"/>
        <w:rPr>
          <w:sz w:val="20"/>
          <w:szCs w:val="20"/>
          <w:color w:val="auto"/>
        </w:rPr>
      </w:pPr>
    </w:p>
    <w:p>
      <w:pPr>
        <w:ind w:left="60" w:right="279"/>
        <w:spacing w:after="0" w:line="327" w:lineRule="auto"/>
        <w:rPr>
          <w:sz w:val="20"/>
          <w:szCs w:val="20"/>
          <w:color w:val="auto"/>
        </w:rPr>
      </w:pPr>
      <w:r>
        <w:rPr>
          <w:rFonts w:ascii="Arial" w:cs="Arial" w:eastAsia="Arial" w:hAnsi="Arial"/>
          <w:sz w:val="15"/>
          <w:szCs w:val="15"/>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4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For example, in December 2020, we announced that the initial selection criterion for our Phase 1/2 trial in NC318 did not result in enough S15-positive patients for us to effectively evaluate the activity of NC318 in S15-positive tumors, and that as a result we are modifying the Phase 2 portion of the trial for S15 selection. Also, in our NC318 trial, we are continuing to evaluate alternate doses and dose administration schedules depending on pharmacokinetics, pharmacodynamics, biomarker data, safety results and feedback from investigators. A clinical trial that is not well designed may delay or prevent initiation or completion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If we select an incorrect dose or dose administration schedule, that could negatively impact the results of the trial, including if we select doses that are too low to be effective or administer doses too infrequently based on the half-life of the active ingredient. We also expect to continue to rely on third parties to conduct our pivotal clinical trials (see “Risks Related to Reliance on Third Parties”). We rely, or will rely, on third parties to help conduct our ongoing and planned preclinical studies and clinical trials for NC318, NC410, NC762, NC525 and any future product candidates we develop. If these third parties do not successfully carry out their contractual duties, comply with regulatory requirements or meet expected deadlines, we may not be able to obtain marketing approval for or commercialize NC318, NC410, NC762, NC525 and any future product candidates we develop, and our business could be materially harmed. Consequently, we may be unable to successfully and efficiently execute and complete clinical trials that are required for BLA submission and FDA approval of NC318, NC410, NC762, NC525 or future product candidates. We may require more time and incur greater costs than our competitors and may not succeed in obtaining regulatory approvals of product candidates that we develop.</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impacts of the COVID-19 pandemic could continue to adversely affect our business.</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March 2020, the World Health Organization declared the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The impacts of COVID-19 initially placed significant strain on our clinical trial sites, raised concerns around monitoring patient safety, slowed patient enrollment and caused delays in our clinical trials and issuance of results. Any rise of COVID-19 infection rates, especially in the United States, could continue to negatively affect our clinical trial going forward. We are continuing to work closely with our clinical partners and have taken steps as necessary to adjust our protocols and timelines due to the impact of the COVID-19 pandemic. The impacts of the COVID-19 pandemic could adversely affect our clinical trials and operations in other ways as well. For example, challenges may arise as a result of patients, members of the clinical team, or our employees becoming infected with COVID-19 or otherwise unable or unwilling to participate in trials or come to work,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the “Risk Factors” section of this Annual Report,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COVID-19 pandemic and its impacts continue to evolve, including the emergence of variant strains of the COVID-19 virus. Although vaccines are now available are being distributed globally, we cannot predict the full scope, duration and severity of disruptions resulting from COVID-19 or their impacts on us.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 which the COVID-19 pandemic may impact our business and financial performance will depend on future developments, which are highly uncertain and cannot be predicted with confidence, including the scope and duration of the pandemic and the extent and effectiveness of government restrictions, relief measures and other actions implemented to address the impact of the pandemic, and resulting economic impacts.</w:t>
      </w:r>
    </w:p>
    <w:p>
      <w:pPr>
        <w:spacing w:after="0" w:line="18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early in our development efforts. We initiated our first clinical trial for NC318, our lead product candidate, in October 2018, our first clinical trial for our second product candidate, NC410, in June 2020, and our third product candidate, NC762, in July 2021. Our ability to generate product revenues, which we do not expect will occur for several years, if ever, will depend heavily on the successful development and eventual commercialization of NC318, NC410, NC762 and any future product 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8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clinical and commercial success of our current and future product candidates will depend on several factors, including the following:</w:t>
      </w:r>
    </w:p>
    <w:p>
      <w:pPr>
        <w:spacing w:after="0" w:line="170"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and our clinical trials;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INDs for any future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patient populations;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on a timely basis or to establish agreements with third-party manufacturers, if needed;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our proposed indications and the primary endpoint assessments evaluated in the clinical trials of our product candidates by the FDA and comparable foreign regulatory authorities;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and maintenance of timely marketing approvals from applicable regulatory authorities;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if approved;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acceptance of the benefits and uses of our product candidates, if approved, by patients, the medical community and third-party payors;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 candidates following approval;</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compliance with any post-approval requirements imposed on our products, such as post-marketing studies, a REMS or additional requirements that might limit the promotion, advertising, distribution or sales of our products or make the products cost-prohibitive;</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 from third-party payors;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identify targets and immunomedicines, whether through our FIND-IO platform, through our relationship with Yale or otherwise;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NC318, NC410, NC762, NC525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192"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biological product in the United States until we or the future collaborator receives regulatory approval of a BLA from the FDA. It is possible that none of our current or future product candidates will ever obtain regulatory approval from the FDA or comparable foreign regulatory authorities.</w:t>
      </w:r>
    </w:p>
    <w:p>
      <w:pPr>
        <w:spacing w:after="0" w:line="17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clinical trials or preclinical studies;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to the FDA or regulatory submissions to comparable regulatory authorities to obtain regulatory approval in such jurisdiction; and</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current or future clinical trials of our product candidates are promising, such data may not be sufficient to support approval by the FDA or any other regulatory authority.</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In addition, even if we were to obtain approval, the FDA may approve any of our product candidates for fewer or more limited indications, or a more limited patient population, than we request, may grant approval contingent on the performance of costly clinical trials, development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or other post-marketing requirements, or may approve a product candidate with a label that does not include the labeling claims we believe are necessary or desirable for the successful commercialization of such product candidates.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w:t>
      </w:r>
    </w:p>
    <w:p>
      <w:pPr>
        <w:spacing w:after="0" w:line="19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experience delays in completing our clinical trials or preclinical studies and initiating or completing our planned clinical trials and development efforts. Additionally, we cannot be certain the ongoing and planned preclinical studies or clinical trials for NC318, NC410, NC762, NC525 or any future product candidates will begin on time, not require redesign, enroll an adequate number of subjects on time or be completed on schedule, if at all. For example, we have modified the Phase 2 portion of our ongoing Phase 1/2 clinical trial of NC318 for S15 selection, and clinical sites can select for S15-positive patients through screening biopsies in a Clinical Laboratory Improvement Amendments (“CLIA”)-certified laboratory, which we anticipate will allow us to assess response rates in patients selected for S15. We may also experience numerous unforeseen events during our clinical trials that could delay or prevent our ability to receive marketing approval or commercialize the product candidates we develop, including:</w:t>
      </w:r>
    </w:p>
    <w:p>
      <w:pPr>
        <w:spacing w:after="0" w:line="186" w:lineRule="exact"/>
        <w:rPr>
          <w:sz w:val="20"/>
          <w:szCs w:val="20"/>
          <w:color w:val="auto"/>
        </w:rPr>
      </w:pPr>
    </w:p>
    <w:p>
      <w:pPr>
        <w:ind w:left="1040" w:right="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from preclinical studies or clinical trials may not be predictive of results from later clinical trials of any product candidate;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or other regulatory authorities, IRBs or independent ethics committees may not authorize us or our investigators to commence a clinical trial or conduct a clinical trial at a prospective trial site;</w:t>
      </w:r>
    </w:p>
    <w:p>
      <w:pPr>
        <w:spacing w:after="0" w:line="146" w:lineRule="exact"/>
        <w:rPr>
          <w:rFonts w:ascii="Arial" w:cs="Arial" w:eastAsia="Arial" w:hAnsi="Arial"/>
          <w:sz w:val="17"/>
          <w:szCs w:val="17"/>
          <w:color w:val="auto"/>
        </w:rPr>
      </w:pPr>
    </w:p>
    <w:p>
      <w:pPr>
        <w:ind w:left="1040" w:right="79" w:hanging="315"/>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or other regulatory authorities may require us to submit additional data such as long-term toxicology studies, or impose other requirements on us, before permitting us to initiate a clinical trial;</w:t>
      </w:r>
    </w:p>
    <w:p>
      <w:pPr>
        <w:spacing w:after="0" w:line="146" w:lineRule="exact"/>
        <w:rPr>
          <w:rFonts w:ascii="Arial" w:cs="Arial" w:eastAsia="Arial" w:hAnsi="Arial"/>
          <w:sz w:val="17"/>
          <w:szCs w:val="17"/>
          <w:color w:val="auto"/>
        </w:rPr>
      </w:pPr>
    </w:p>
    <w:p>
      <w:pPr>
        <w:jc w:val="both"/>
        <w:ind w:left="1040" w:right="79" w:hanging="315"/>
        <w:spacing w:after="0" w:line="286"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as the terms of these agreements can be subject to extensive negotiation and vary significantly among different CROs and trial sites;</w:t>
      </w:r>
    </w:p>
    <w:p>
      <w:pPr>
        <w:spacing w:after="0" w:line="165"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186" w:lineRule="exact"/>
        <w:rPr>
          <w:rFonts w:ascii="Arial" w:cs="Arial" w:eastAsia="Arial" w:hAnsi="Arial"/>
          <w:sz w:val="18"/>
          <w:szCs w:val="18"/>
          <w:color w:val="auto"/>
        </w:rPr>
      </w:pPr>
    </w:p>
    <w:p>
      <w:pPr>
        <w:jc w:val="both"/>
        <w:ind w:left="1040" w:right="79" w:hanging="315"/>
        <w:spacing w:after="0" w:line="273"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competition from other clinical trial programs for similar indications and clinical trial subjects and the impact of public health emergencies, such as the COVID-19 pandemic;</w:t>
      </w:r>
    </w:p>
    <w:p>
      <w:pPr>
        <w:spacing w:after="0" w:line="177"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p>
      <w:pPr>
        <w:spacing w:after="0" w:line="183"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65" w:lineRule="exact"/>
        <w:rPr>
          <w:rFonts w:ascii="Arial" w:cs="Arial" w:eastAsia="Arial" w:hAnsi="Arial"/>
          <w:sz w:val="17"/>
          <w:szCs w:val="17"/>
          <w:color w:val="auto"/>
        </w:rPr>
      </w:pPr>
    </w:p>
    <w:p>
      <w:pPr>
        <w:jc w:val="both"/>
        <w:ind w:left="1040" w:right="79" w:hanging="315"/>
        <w:spacing w:after="0" w:line="286"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165" w:lineRule="exact"/>
        <w:rPr>
          <w:rFonts w:ascii="Arial" w:cs="Arial" w:eastAsia="Arial" w:hAnsi="Arial"/>
          <w:sz w:val="17"/>
          <w:szCs w:val="17"/>
          <w:color w:val="auto"/>
        </w:rPr>
      </w:pPr>
    </w:p>
    <w:p>
      <w:pPr>
        <w:ind w:left="1040" w:right="79" w:hanging="315"/>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of our product candidates could cause undesirable side effects that could result in significant negative consequences, including the inability to enter clinical development or receive regulatory approval;</w:t>
      </w:r>
    </w:p>
    <w:p>
      <w:pPr>
        <w:spacing w:after="0" w:line="123"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preclinical or nonclinical testing and studies and clinical trials of any product candidates may be greater than we anticipate;</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p>
      <w:pPr>
        <w:spacing w:after="0" w:line="186"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supply, quality or timeliness of delivery of materials for product candidates we develop or other materials necessary to conduct clinical trials may be insufficient or inadequate; and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third parties on whom we are dependent, may suffer business interruptions resulting from geo-political actions, including war and terrorism, or natural disasters and public health emergencies, such as the COVID-19 pandemic.</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could encounter delays if a clinical trial is suspended or terminated by us, or by the IRBs of the institutions in which such trials are being conducted, ethics committees or the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The FDA or other regulatory authorities may disagree with our clinical trial design and our interpretation of data from clinical trials or may change the requirements for approval even after they have reviewed and commented on the design for our clinical trials. In addition, factors outside our control, such as government shutdowns, natural disasters and public health emergencies such as the COVID-19 pandemic, could disrupt business at the FDA or other regulatory authorities, which could result in delays of reviews, approvals and communications with regulatory authorities related to our clinical trials and product candidates.</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With the exception of NC318, NC410, and NC762, all of our product candidates are still in the preclinical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8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our potential future collaborators over which we have no control. The commencement and rate of completion of preclinical studies and clinical trials for a product candidate may be delayed by many factors, including but not limited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 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not permitting the reliance on preclinical or other data from published scientific literature.</w:t>
      </w:r>
    </w:p>
    <w:p>
      <w:pPr>
        <w:spacing w:after="0" w:line="225"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For example, notwithstanding the durable responses initially observed in our ongoing Phase 1/2 clinical trial of NC318 in NSCLC, we announced in July 2020 that based on additional clinical response data we would not be advancing the NSCLC cohort into the stage 2 portion of the Simon 2-stage trial.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68" w:lineRule="exact"/>
        <w:rPr>
          <w:sz w:val="20"/>
          <w:szCs w:val="20"/>
          <w:color w:val="auto"/>
        </w:rPr>
      </w:pPr>
    </w:p>
    <w:p>
      <w:pPr>
        <w:jc w:val="both"/>
        <w:ind w:left="60" w:right="379"/>
        <w:spacing w:after="0" w:line="263" w:lineRule="auto"/>
        <w:rPr>
          <w:sz w:val="20"/>
          <w:szCs w:val="20"/>
          <w:color w:val="auto"/>
        </w:rPr>
      </w:pPr>
      <w:r>
        <w:rPr>
          <w:rFonts w:ascii="Arial" w:cs="Arial" w:eastAsia="Arial" w:hAnsi="Arial"/>
          <w:sz w:val="18"/>
          <w:szCs w:val="18"/>
          <w:b w:val="1"/>
          <w:bCs w:val="1"/>
          <w:i w:val="1"/>
          <w:iCs w:val="1"/>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8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79" w:lineRule="exact"/>
        <w:rPr>
          <w:sz w:val="20"/>
          <w:szCs w:val="20"/>
          <w:color w:val="auto"/>
        </w:rPr>
      </w:pPr>
    </w:p>
    <w:p>
      <w:pPr>
        <w:ind w:left="60" w:right="419"/>
        <w:spacing w:after="0" w:line="381" w:lineRule="auto"/>
        <w:rPr>
          <w:sz w:val="20"/>
          <w:szCs w:val="20"/>
          <w:color w:val="auto"/>
        </w:rPr>
      </w:pPr>
      <w:r>
        <w:rPr>
          <w:rFonts w:ascii="Arial" w:cs="Arial" w:eastAsia="Arial" w:hAnsi="Arial"/>
          <w:sz w:val="15"/>
          <w:szCs w:val="15"/>
          <w:b w:val="1"/>
          <w:bCs w:val="1"/>
          <w:i w:val="1"/>
          <w:iCs w:val="1"/>
          <w:color w:val="auto"/>
        </w:rPr>
        <w:t>Because the numbers of subjects in our Phase 1/2 clinical trials of NC318, NC410 and NC762 are small, the results from each of these trials, once completed, may be less reliable than results achieved in larger clinical trials.</w:t>
      </w:r>
    </w:p>
    <w:p>
      <w:pPr>
        <w:spacing w:after="0" w:line="10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our ongoing Phase 1/2 clinical trials of NC318, NC410 and NC762, can be disproportionately influenced by the impact the treatment had on a few individuals, which limits the ability to generalize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results across a broader community, thus making the study results less reliable than studies with a larger number of subjects and making it difficult to predict final results from preliminary results. As a result, there may be less certainty that NC318, NC410, and NC762 would achieve a statistically significant effect in any future clinical trials. If we conduct any future clinical trials of NC318, NC410, or NC762, we may not achieve a statistically significant result or the same level of statistical significance seen, if any, in our Phase 1/2 clinical trials. Similarly, if we conduct a clinical trial of any other product candidate we develop with a small sample size, the results of any such trial may be less reliable than results achieved in larger clinical trials and may provide less certainty of achieving statistically significant effects in any future clinical trials.</w:t>
      </w:r>
    </w:p>
    <w:p>
      <w:pPr>
        <w:spacing w:after="0" w:line="19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using our FIND-IO platform is unproven and may not result in marketable products.</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success of our business depends in part upon our ability to identify targets based on our proprietary FIND-IO platform and to develop and commercialize immunomedicines. Our approach to the discovery of targets using the FIND-IO platform is novel. We have not yet initiated or completed a clinical trial of any product candidate developed for a target identified from the FIND-IO platform. The platform may fail to accurately identify targets that modulate the immune system and are appropriate for immunomedicines. Even if we are able to identify targets from the FIND-IO platform and to develop corresponding product candidates, we cannot assure that such product candidates will achieve marketing approval to safely and effectively treat cancer or other disease states.</w:t>
      </w:r>
    </w:p>
    <w:p>
      <w:pPr>
        <w:spacing w:after="0" w:line="17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If we uncover any previously unknown risks related to our FIND-IO platform, or if we experience unanticipated problems or delays in developing our FIND-IO product candidates, we may be unable to achieve our strategy of building an oncology pipeline of novel targets for new immunomedicines focused on non-responders.</w:t>
      </w:r>
    </w:p>
    <w:p>
      <w:pPr>
        <w:spacing w:after="0" w:line="16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18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Treatment-related adverse events experienced by more than 5% of patients in the Phase 1 portion of the Phase 1/2 clinical trial of NC318 as of December 17, 2020 were diarrhea, infusion reactions, fatigue, headaches, pruritis, elevated amylase and elevated lipase. Most treatment-related adverse events in the Phase 1/2 clinical trial were easily manageable, asymptomatic or mild or moderate, with the exception of one case of grade 3 episcleritis/uveitis that resolved after steroid therapy and two cases of grade 3 pneumonitis. In the Phase 2 portion of the trial, the only observed severe or higher-grade TRAE as of that date was a grade 3-4 infusion reaction in one patient. Immune-related adverse events that represent immune effects on normal tissue and can result from misdirected stimulation of the immune system are a common class of toxicity in immunomedicines such as NC318. Immune-related adverse events reported in the Phase 1 portion of the Phase 1/2 clinical trial of NC318 included diarrhea, elevated amylase and lipase, pruritis, episcleritis/uveitis, pneumonitis and vitiligo.</w:t>
      </w:r>
    </w:p>
    <w:p>
      <w:pPr>
        <w:spacing w:after="0" w:line="18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Possible adverse side effects that could occur with treatment with immunomedicines include an immunologic reaction early after administration that, while not necessarily adverse to the patient’s health, could substantially limit the effectiveness of the treatment. In addition to any potential side effects caused by the product or product candidate, the administration process or related procedures also can cause adverse side effects. If unacceptable adverse events occur, our clinical trials or any future marketing authorization could be suspended or terminated.</w:t>
      </w:r>
    </w:p>
    <w:p>
      <w:pPr>
        <w:spacing w:after="0" w:line="1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unacceptable side effects arise in the development of our product candidates,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Immunomedicines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NC318, NC410, NC762, NC525 or any other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8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we are studying NC318 in combination with other therapies and may develop NC410, NC762, NC525 and future product candidates in combination with other therapies, which exposes us to additional risks relating to undesirable side effects or other properties. For example, the other therapies may lead to toxicities that are improperly attributed to our product candidates or the combination of our product candidates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be unavailable for testing or commercial use with any of our approved products. The other therapies we may use in combination with our product candidates may also be supplanted in the market by newer, safer or more efficacious products or combinations of products.</w:t>
      </w:r>
    </w:p>
    <w:p>
      <w:pPr>
        <w:spacing w:after="0" w:line="18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Even if we successfully advance one of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76"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46"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implement a REMS or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and pipeline could be affected, which would also materially harm our business.</w:t>
      </w:r>
    </w:p>
    <w:p>
      <w:pPr>
        <w:spacing w:after="0" w:line="157"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If there are continued difficulties enrolling patients in our clinical trials, our clinical development activities could be delayed or otherwise be adversely affected.</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For example, we experienced a slowdown of enrollment in our ongoing clinical trials as a result of the COVID-19 pandemic. The enrollment of patients depends on many factors, including:</w:t>
      </w:r>
    </w:p>
    <w:p>
      <w:pPr>
        <w:spacing w:after="0" w:line="188"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and size of the patient population required for analysis of the trial’s primary endpoints and the process for identifying patients;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and location of participating clinical sites or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for participation in our clinical trials;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factors outside of our control, including as a result of business interruptions resulting from natural disasters and public health emergencies, such as the COVID-19 pandemic.</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8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Delays from difficulties in patient enrollment in a clinical trial may result in increased costs or affect the timing, outcome or completion of the trial, which could delay or prevent our receipt of regulatory approval of the applicable product candidate or to abandon the trial altogether.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Clinical trials must be conducted in accordance with the FDA’s current cGCP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spacing w:after="0" w:line="178" w:lineRule="exact"/>
        <w:rPr>
          <w:sz w:val="20"/>
          <w:szCs w:val="20"/>
          <w:color w:val="auto"/>
        </w:rPr>
      </w:pPr>
    </w:p>
    <w:p>
      <w:pPr>
        <w:ind w:left="1040" w:right="7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deficiencies in the conduct of the clinical trials, including failure to conduct the clinical trial in accordance with regulatory requirements or study protocols;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deficiencies in the clinical trial operations or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adverse side effects or the emergence of undue risks to study subjects;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deficiencies in the trial design necessary to demonstrate efficacy;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candidate may not appear to offer benefits over current therapies;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may fall below acceptable standards.</w:t>
      </w:r>
    </w:p>
    <w:p>
      <w:pPr>
        <w:spacing w:after="0" w:line="225"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b w:val="1"/>
          <w:bCs w:val="1"/>
          <w:i w:val="1"/>
          <w:iCs w:val="1"/>
          <w:color w:val="auto"/>
        </w:rPr>
        <w:t>We have chosen to prioritize development of NC318, NC410, NC762 and NC525. We may expend our limited resources on product candidates or indications that do not yield a successful product and fail to capitalize on other candidates or indications for which there may be a greater likelihood of success or may be more profitable.</w:t>
      </w:r>
    </w:p>
    <w:p>
      <w:pPr>
        <w:spacing w:after="0" w:line="149"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Because we have limited resources, we have strategically determined to prioritize development of NC318, NC410, NC762 and NC525 rather than other product candidates based, in part, on the significant resources required for developing and manufacturing immunomedicines. To date, no regulatory authority has granted approval for an immunomedicine targeting S15, the LAIR pathway or B7-H4. As a result, we may be foregoing other potentially more profitable immunomedicines or therapies or those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191"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b w:val="1"/>
          <w:bCs w:val="1"/>
          <w:i w:val="1"/>
          <w:iCs w:val="1"/>
          <w:color w:val="auto"/>
        </w:rPr>
        <w:t>We may need to develop, or enter into a collaboration or partnership to develop, complementary or companion diagnostics for our current or future product candidates. If we, or our future collaborators, are unable to successfully develop complementary or companion diagnostics, or experience significant delays in doing so, we may not realize the full commercial potential of our current or future product candidates.</w:t>
      </w:r>
    </w:p>
    <w:p>
      <w:pPr>
        <w:spacing w:after="0" w:line="17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One of the key elements of our product development strategy is to identify cancer patient populations that may derive meaningful benefit from our current or future product candidates. Because predictive biomarkers are being and may be used to identify the right patients for current or future product candidates, we believe that our success may depend, in part, on our ability to develop complementary or companion diagnostics in collaboration with partners.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have limited experience in the development of diagnostics and, as such, we may rely in part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spacing w:after="0" w:line="18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Companion diagnostics are subject to regulation by the FDA and similar comparable foreign regulatory authorities as medical devices and require separate regulatory approval or clearance prior to commercialization. Complementary diagnostics may be subject to regulation by CMS or the FDA and similar comparable foreign regulatory authorities and may require separate regulatory approval or clearance prior to commercialization. Gaining regulatory approval could be time consuming and costly and could delay regulatory approval of the related product candidate.</w:t>
      </w:r>
    </w:p>
    <w:p>
      <w:pPr>
        <w:spacing w:after="0" w:line="16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and our collaborators may encounter difficulties in developing such tests, including issues relating to the selectivity or specificity of the diagnostic, analytical validation, reproducibility or clinical validation. If we, our collaborators, or any third parties that we engage to assist us, are unable to successfully develop complementary or companion diagnostics for our current or future product candidates or experience delays in doing so:</w:t>
      </w:r>
    </w:p>
    <w:p>
      <w:pPr>
        <w:spacing w:after="0" w:line="171" w:lineRule="exact"/>
        <w:rPr>
          <w:sz w:val="20"/>
          <w:szCs w:val="20"/>
          <w:color w:val="auto"/>
        </w:rPr>
      </w:pPr>
    </w:p>
    <w:p>
      <w:pPr>
        <w:ind w:left="720" w:right="79" w:hanging="319"/>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 of our current or future product candidates may be adversely affected if we are unable to appropriately select patients for enrollment in our clinical trials; and</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realize the commercial potential of our current or future product candidates if, among other reasons, we are unable to appropriately identify, or it takes us longer to identify, patients who are likely to benefit from therapy with our products, if approved.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any of these events were to occur, our business could be materially harmed.</w:t>
      </w:r>
    </w:p>
    <w:p>
      <w:pPr>
        <w:spacing w:after="0" w:line="221" w:lineRule="exact"/>
        <w:rPr>
          <w:sz w:val="20"/>
          <w:szCs w:val="20"/>
          <w:color w:val="auto"/>
        </w:rPr>
      </w:pPr>
    </w:p>
    <w:p>
      <w:pPr>
        <w:ind w:left="60" w:right="819"/>
        <w:spacing w:after="0" w:line="282" w:lineRule="auto"/>
        <w:rPr>
          <w:sz w:val="20"/>
          <w:szCs w:val="20"/>
          <w:color w:val="auto"/>
        </w:rPr>
      </w:pPr>
      <w:r>
        <w:rPr>
          <w:rFonts w:ascii="Arial" w:cs="Arial" w:eastAsia="Arial" w:hAnsi="Arial"/>
          <w:sz w:val="18"/>
          <w:szCs w:val="18"/>
          <w:b w:val="1"/>
          <w:bCs w:val="1"/>
          <w:color w:val="auto"/>
        </w:rPr>
        <w:t>Risks Related to the Regulatory Approval and Commercialization of Product Candidates and Other Legal Compliance Matters</w:t>
      </w:r>
    </w:p>
    <w:p>
      <w:pPr>
        <w:spacing w:after="0" w:line="139"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b w:val="1"/>
          <w:bCs w:val="1"/>
          <w:i w:val="1"/>
          <w:iCs w:val="1"/>
          <w:color w:val="auto"/>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To gain approval to market our product candidates in the United States, we must provide the FDA with clinical data that adequately demonstrate the safety, purity and potency, including efficacy, of the product candidate for the proposed indication or indications in a BLA submission.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8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FDA or comparable foreign regulatory authorities can delay, limit or deny approval of our product candidates for many reasons, including: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a comparable foreign regulatory authority that our product candidates are safe and effective for the requested indication;</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disagreement with our trial protocol or the interpretation of data from preclinical studies or clinical trials;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our product candidates outweigh any safety or other perceived risks;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requirement for additional preclinical studies or clinical trials;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non-approval of the formulation, labeling, or specifications of our product candidates;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FDA or a comparable regulatory authority’s failure to approve our manufacturing processes and facilities or the manufacturing processes and facilities of third-party manufacturers upon which we rely; or</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for approval policies or regulations of the FDA or a comparable foreign regulatory authority to significantly change in a manner rendering our clinical data insufficient for approval.</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77"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87"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Our approach to targeting different components of the TME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immunomedicines or our competitors’ products, our products may not be accepted by the general public or the medical community. Future adverse events in immuno-oncology or the biopharmaceutical industry could also result in greater governmental regulation, stricter labeling requirements and potential regulatory delays in the testing or approvals of our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If our current and any future product candidates we develop do not achieve an adequate level of acceptance, we may not generate significant product revenues and we may not become profitable. The degree of market acceptance of our current and any future product candidates, if approved for commercial sale, will depend on a number of factors, including:</w:t>
      </w:r>
    </w:p>
    <w:p>
      <w:pPr>
        <w:spacing w:after="0" w:line="149" w:lineRule="exact"/>
        <w:rPr>
          <w:sz w:val="20"/>
          <w:szCs w:val="20"/>
          <w:color w:val="auto"/>
        </w:rPr>
      </w:pPr>
    </w:p>
    <w:p>
      <w:pPr>
        <w:ind w:left="1040" w:right="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those that are not yet approved;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regulatory approval and adoption of a companion or complementary diagnostic, if needed or advisable;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left="60" w:right="259"/>
        <w:spacing w:after="0" w:line="381" w:lineRule="auto"/>
        <w:rPr>
          <w:sz w:val="20"/>
          <w:szCs w:val="20"/>
          <w:color w:val="auto"/>
        </w:rPr>
      </w:pPr>
      <w:r>
        <w:rPr>
          <w:rFonts w:ascii="Arial" w:cs="Arial" w:eastAsia="Arial" w:hAnsi="Arial"/>
          <w:sz w:val="15"/>
          <w:szCs w:val="15"/>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0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NC318, NC410, NC762, NC525 and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pacing w:after="0" w:line="19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76" w:lineRule="exact"/>
        <w:rPr>
          <w:sz w:val="20"/>
          <w:szCs w:val="20"/>
          <w:color w:val="auto"/>
        </w:rPr>
      </w:pPr>
    </w:p>
    <w:p>
      <w:pPr>
        <w:ind w:left="60" w:right="619"/>
        <w:spacing w:after="0" w:line="381" w:lineRule="auto"/>
        <w:rPr>
          <w:sz w:val="20"/>
          <w:szCs w:val="20"/>
          <w:color w:val="auto"/>
        </w:rPr>
      </w:pPr>
      <w:r>
        <w:rPr>
          <w:rFonts w:ascii="Arial" w:cs="Arial" w:eastAsia="Arial" w:hAnsi="Arial"/>
          <w:sz w:val="15"/>
          <w:szCs w:val="15"/>
          <w:b w:val="1"/>
          <w:bCs w:val="1"/>
          <w:i w:val="1"/>
          <w:iCs w:val="1"/>
          <w:color w:val="auto"/>
        </w:rPr>
        <w:t>We are studying NC318 in combination with other therapies and may develop NC410, NC762, NC525 and future product candidates in combination with other therapies, which exposes us to additional regulatory risks.</w:t>
      </w:r>
    </w:p>
    <w:p>
      <w:pPr>
        <w:spacing w:after="0" w:line="100"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We are studying NC318 in combination with pembrolizumab and may develop NC410, NC762, NC525 and future product candidates in combination with one or more currently approved cancer therapies. These combinations have not been tested before and may, among other things, fail to demonstrate synergistic activity, may fail to achieve superior outcomes relative to the use of single agents or other combination therapies, or may fail to demonstrate sufficient safety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or efficacy traits in clinical trials to enable us to complete those clinical trials or obtain marketing approval for the combination therapy.</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addition, we did not develop or obtain regulatory approval for, and we do not manufacture or sell, any of these approved therapeutics. Therefore,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spacing w:after="0" w:line="16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may also evaluate NC318, NC410, NC762, NC525 or any future product candidate in combination with one or more other cancer therapies that have not yet been approved for marketing by the FDA or comparable foreign regulatory authorities. We will not be able to market and sell NC318, NC410, NC762, NC525 or any product candidate we develop in combination with any such unapproved cancer therapies that do not ultimately obtain marketing approval.</w:t>
      </w:r>
    </w:p>
    <w:p>
      <w:pPr>
        <w:spacing w:after="0" w:line="15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If the FDA or comparable foreign regulatory authorities do not approve these other biological products or revoke their approval of, or if safety, efficacy, manufacturing or supply issues arise with, the biologics we choose to evaluate in combination with NC318, NC410, NC762, NC525 or any product candidate we develop, we may be unable to obtain approval of or market any such product candidate.</w:t>
      </w:r>
    </w:p>
    <w:p>
      <w:pPr>
        <w:spacing w:after="0" w:line="187"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b w:val="1"/>
          <w:bCs w:val="1"/>
          <w:i w:val="1"/>
          <w:iCs w:val="1"/>
          <w:color w:val="auto"/>
        </w:rPr>
        <w:t>Even if we receive marketing approval of a product candidate,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390" w:lineRule="exact"/>
        <w:rPr>
          <w:sz w:val="20"/>
          <w:szCs w:val="20"/>
          <w:color w:val="auto"/>
        </w:rPr>
      </w:pPr>
    </w:p>
    <w:p>
      <w:pPr>
        <w:ind w:left="1040" w:right="7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of, or imposition of restrictions on, the marketing or manufacturing of the product, withdrawal of the product from the market, or product recalls;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 or Untitled Letters, or holds on clinical trials;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 or suspension or revocation of approved biologics licenses;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monetary penalties, refusal to permit the import or export of the product, or placement on Import Alert;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Given the nature of biologics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manufacturing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spacing w:after="0" w:line="18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Moreover, the FDA strictly regulates the promotional claims that may be made about drug and biological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b w:val="1"/>
          <w:bCs w:val="1"/>
          <w:i w:val="1"/>
          <w:iCs w:val="1"/>
          <w:color w:val="auto"/>
        </w:rPr>
        <w:t>We depend on data and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personal information, protected health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If we or our vendors fail to comply with applicable data privacy laws, or if the legal mechanisms we or our vendors rely upon for the transfer of personal data are ever deemed inadequate, or if we or our vendors experience a data breach resulting in exposure of personal data subject to the applicable laws, we could be subject to government enforcement actions and significant penalties against us, criminal and civil liability for us and our officers and directors, private litigation or adverse publicity.</w:t>
      </w:r>
    </w:p>
    <w:p>
      <w:pPr>
        <w:spacing w:after="0" w:line="16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 We and our third party service providers regularly defend against, respond to and mitigate risks from data security incidents. 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ransomware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HIPAA and its implementing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 We may need to expend significant resources and make significant capital investment to protect against security breaches or to mitigate the impact of any such breaches.</w:t>
      </w:r>
    </w:p>
    <w:p>
      <w:pPr>
        <w:spacing w:after="0" w:line="173"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products or procedures using our products by third-party payors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itself or the treatment or procedure in which our product is used may not be available. 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 for and establish reimbursement levels. It is difficult to predict at this time what government authorities and third-party payors will decide with respect to coverage and reimbursement for our current and future product candidates.</w:t>
      </w:r>
    </w:p>
    <w:p>
      <w:pPr>
        <w:spacing w:after="0" w:line="1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spacing w:after="0" w:line="16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There is significant uncertainty related to the insurance coverage and reimbursement of newly-approved products, especially novel products like our immunomedicines. To date, no regulatory authority has granted approval for an immunomedicine targeting S15, the LAIR pathway or B7-H4. The Medicare and Medicaid programs are increasingly used as 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Moreover, eligibility for reimbursement does not imply that any drug will be reimbursed in all cases or at a rate that covers our costs, including research, development, manufacture, sale and distribution. Interim reimbursement levels for new drugs, if applicable, may also not be sufficient to cover our costs and may not be made permanent. We cannot predict at this time what third-party payors will decide with respect to the coverage and reimbursement for our product candidates.</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can change, in some cases on short notice, and we believe that changes in these rules and regulations are likely.</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spacing w:after="0" w:line="19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Moreover, a primary trend in the healthcare industry in the United States and elsewhere is cost containment. Government authorities and third-party payors have attempted to control costs by limiting coverage and the amount of reimbursement for particular medications.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medical products. We cannot be sure that coverage and reimbursement will be available for any drug that we commercialize and, if coverage and reimbursement are available, we cannot be sure as to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1"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7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the ACA substantially changed the way healthcare is financed by both governmental and private insurers, and significantly impacted the U.S. pharmaceutical industry. The ACA, among other things, subjects biologics to potential competition by lower-cost biosimilars, addresses a methodology by which rebates owed by manufacturers under the MDRP are calculated for drugs that are inhaled, infused, instilled, implanted or injected, increases the minimum Medicaid rebates owed by manufacturers under the MDRP and extends the rebate program to individuals enrolled in Medicaid managed care organizations, and establishes annual fees and taxes on manufacturers of certain branded prescription drugs.</w:t>
      </w:r>
    </w:p>
    <w:p>
      <w:pPr>
        <w:spacing w:after="0" w:line="181"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The ACA and certain of its provisions have been subject to judicial challenges as well as legislative and regulatory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Act included a provision that repealed the tax-based shared responsibility payment imposed by the ACA on certain individuals who fail to maintain qualifying health coverage for all or part of a year that is commonly referred to as the “individual mandate.” The Bipartisan Budget Act of 2018, among other things, amended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to be covered under Medicare Part D. Also, in 2018, CMS issued final rules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The Further Consolidated Appropriations Act of 2020 fully repealed the ACA’s “Cadillac Tax” on certain high cost employer-sponsored insurance plans and, effective in 2021, the annual fee imposed on certain health insurance providers based on market share. On January 28, 2021,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policies that create barriers to obtaining access to health insurance coverage through the ACA marketplaces. Most recently, 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will no longer be capped, potentially resulting in a manufacturer paying more in MDRP rebates than it receives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products.</w:t>
      </w:r>
    </w:p>
    <w:p>
      <w:pPr>
        <w:spacing w:after="0" w:line="18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In December 2018, the United States District Court for the Northern District of Texas ruled that the individual mandate is (i) unconstitutional as a result of the associated tax penalty being repealed by Congress as part of the Tax Act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and (ii) not severable from the rest of the ACA, and that as a result the entire ACA is invalid. In December 2019, the U.S. Court of Appeals for the Fifth Circuit affirmed the district court’s decision that the individual mandate is unconstitutional but remanded the case to the district court to reconsider the severability question. The Supreme Court of the United States granted certiorari on March 2, 2020 and heard oral argument on November 10, 2020. On June 17, 2021, the Supreme Court dismissed the lawsuit without ruling on the merits of the states’ constitutionality arguments.</w:t>
      </w:r>
    </w:p>
    <w:p>
      <w:pPr>
        <w:spacing w:after="0" w:line="16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Other healthcare-related legislative and regulatory initiatives and reforms have been proposed and adopted in the United States since the ACA was enacted. In August 2011, the Budget Control Act of 2011, among other things, created measures for automatic spending reductions under certain circumstances. A Joint Select Committee on Deficit Reduction tasked with recommending a targeted deficit reduction of at least $1.2 trillion for the years 2013 through 2021 was unable to reach required goals, thereby triggering the legislation’s automatic reductions. In conjunction with the operation of subsequently enacted law, this has resulted in aggregate reductions of Medicare payments to providers of, on average, 2% per fiscal year into 2031, with the exception of a temporary suspension from May 1, 2020 through March 31, 2022 and a subsequent reduction to 1% from April 1, 2022 until June 30, 2022, unless Congress takes additional action. The American Taxpayer Relief Act of 2012, which was signed into law in January 2013, among other things, further reduced Medicare payments to several types of providers and increased the statute of limitations period for the government to recover overpayments to providers from three to five years.</w:t>
      </w:r>
    </w:p>
    <w:p>
      <w:pPr>
        <w:spacing w:after="0" w:line="18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beginning in 2018, CMS has maintained a reduced rate of payment under the Medicare outpatient prospective payment system and ambulatory surgical center payment system for certain separately payable drugs or biologics acquired under the 340B Drug Pricing Program, and a CMS indicated in a recent rule that it will continue to consider setting an even lower payment rate based on collected hospital survey data.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or companion diagnostics or additional pricing pressures.</w:t>
      </w:r>
    </w:p>
    <w:p>
      <w:pPr>
        <w:spacing w:after="0" w:line="16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and regulation designed to, among other things, bring more transparency to drug pricing, reduce the cost of prescription drugs under government payor programs, and review the relationship between pricing and manufacturer patient programs; and reform government program reimbursement methodologies for drugs. For example, on November 20, 2020, CMS issued an interim final rule that implemented a mandatory “Most Favored Nation” demonstration model to test reimbursement of drugs or biologicals under Medicare Part B based on international reference prices, though the final rule is currently subject to a nationwide preliminary injunction. Additionally,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Policymakers have also indicated that they will continue to seek legislative and administrative measures to control drug costs. For example, on July 9, 2021, President Biden issued an Executive Order to promote competition in the U.S. economy that included several initiatives addressing prescription drugs. Among other provisions, the Executive Order stated that the Biden administration will “support aggressive legislative reforms that would lower prescription drugs, including by allowing Medicare to negotiate drug prices, by imposing inflation caps, and through other related reforms.” In response to the Executive Order, on September 9, 2021, the Department of Health and Human Services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We expect that additional U.S. federal healthcare reform measures will be adopted in the future, any of which could limit the extent to which the U.S. federal government covers particular healthcare products and services and could limit the amounts that the U.S. federal government will pay for healthcare products and services. This could result in reduced demand for our product candidates or additional pricing pressures.</w:t>
      </w:r>
    </w:p>
    <w:p>
      <w:pPr>
        <w:spacing w:after="0" w:line="173"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Legally mandated price controls 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Additionally, in May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8"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4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 those described in “Business—Government Regulation—Healthcare Regulation.”</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17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or “FCPA”.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77"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0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Given our limited operating history, our manufacturing experience as an organization and with our manufacturing facility is limited.</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Manufacturing is a critical component of our approach to developing immunomedicines and we have invested significantly in our manufacturing facility. We currently manufacture our product candidates for preclinical and clinical trials.</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Manufacturing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 regulations and standards in sufficient quantities for clinical trials or for commercial sale, or in a timely or economical manner.</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manufacturing facility requires specialized personnel and is expensive to operate and maintain. Validation is an ongoing process that must be maintained to allow us to manufacture under cGMP guidelines. We cannot guarantee that our facility will remain in compliance with cGMP.</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Manufacturing pharmaceutical products is a highly complex process in which a variety of difficulties may arise from time to time. We are currently the sole manufacturer of NC318, NC410, NC762 and NC525 and if anything were to interfere with our continuing manufacturing operations in our facility, it could materially adversely affect our business and financial condition.</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If we fail to develop sufficient manufacturing capacity and experience, whether internally or with a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trials for NC318, NC410, NC762 or NC525. Any such delays could materially adversely affect our business and financial condition.</w:t>
      </w:r>
    </w:p>
    <w:p>
      <w:pPr>
        <w:spacing w:after="0" w:line="176" w:lineRule="exact"/>
        <w:rPr>
          <w:sz w:val="20"/>
          <w:szCs w:val="20"/>
          <w:color w:val="auto"/>
        </w:rPr>
      </w:pPr>
    </w:p>
    <w:p>
      <w:pPr>
        <w:ind w:left="60" w:right="219"/>
        <w:spacing w:after="0" w:line="381" w:lineRule="auto"/>
        <w:rPr>
          <w:sz w:val="20"/>
          <w:szCs w:val="20"/>
          <w:color w:val="auto"/>
        </w:rPr>
      </w:pPr>
      <w:r>
        <w:rPr>
          <w:rFonts w:ascii="Arial" w:cs="Arial" w:eastAsia="Arial" w:hAnsi="Arial"/>
          <w:sz w:val="15"/>
          <w:szCs w:val="15"/>
          <w:b w:val="1"/>
          <w:bCs w:val="1"/>
          <w:i w:val="1"/>
          <w:iCs w:val="1"/>
          <w:color w:val="auto"/>
        </w:rPr>
        <w:t>We may be unable to successfully scale-up manufacturing of our product candidates in sufficient quality and quantity, which would delay or prevent us from developing and, if approved, commercializing our product candidates</w:t>
      </w:r>
      <w:r>
        <w:rPr>
          <w:rFonts w:ascii="Arial" w:cs="Arial" w:eastAsia="Arial" w:hAnsi="Arial"/>
          <w:sz w:val="15"/>
          <w:szCs w:val="15"/>
          <w:color w:val="auto"/>
        </w:rPr>
        <w:t>.</w:t>
      </w:r>
    </w:p>
    <w:p>
      <w:pPr>
        <w:spacing w:after="0" w:line="1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order to conduct clinical trials of our product candidates, we will need to manufacture them in large quantities. Currently, our product candidates are manufactured in small quantities for use in various preclinical studies and our ongoing Phase 1/2 clinical trials of NC318, NC410 and NC762. We intend to expand our manufacturing capacity, including to provide drug supply of NC318 for future clinical trials, which will require us to incur significant expenses. If one or more of our product candidates progress to late-stage development, we may incur additional significant expenses in the further expansion or construction of manufacturing facilities and increases in personnel in order to manufacture product candidates in sufficient quantities. We cannot assure you that we will be able to successfully manufacture product candidates at a larger scale in a timely or economical manner, or at all. If we are unable to successfully increase our manufacturing scale or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spacing w:after="0" w:line="182"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Although we currently manufacture our product candidates for preclinical and clinical trials, certain elements of manufacturing, including Master Cell Bank manufacturing and fill-finish services, take place at qualified third-party contract manufacturing organizations, or CMOs. If approved, commercial supply of NC318, NC410, NC762, NC525 and any future product candidates may be manufactured at a CMO or CMOs.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manufacturing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manufacturing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the treatment of patients once approved, would be jeopardized.</w:t>
      </w:r>
    </w:p>
    <w:p>
      <w:pPr>
        <w:spacing w:after="0" w:line="18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We are subject to multiple manufacturing risks, any of which could substantially increase our costs and limit supply of our product candidates.</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process of manufacturing immunomedicines, including our product candidates, is complex, time-consuming, highly regulated and subject to several risks, including:</w:t>
      </w:r>
    </w:p>
    <w:p>
      <w:pPr>
        <w:spacing w:after="0" w:line="170" w:lineRule="exact"/>
        <w:rPr>
          <w:sz w:val="20"/>
          <w:szCs w:val="20"/>
          <w:color w:val="auto"/>
        </w:rPr>
      </w:pPr>
    </w:p>
    <w:p>
      <w:pPr>
        <w:jc w:val="both"/>
        <w:ind w:left="1040" w:right="79" w:hanging="315"/>
        <w:spacing w:after="0" w:line="273"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77"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including due to restrictions on the movement of people or goods, natural disasters, public health emergencies, power failures, other business disruptions and numerous other factors; and</w:t>
      </w:r>
    </w:p>
    <w:p>
      <w:pPr>
        <w:spacing w:after="0" w:line="186"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65" w:lineRule="exact"/>
        <w:rPr>
          <w:sz w:val="20"/>
          <w:szCs w:val="20"/>
          <w:color w:val="auto"/>
        </w:rPr>
      </w:pPr>
    </w:p>
    <w:p>
      <w:pPr>
        <w:ind w:left="60" w:right="239"/>
        <w:spacing w:after="0" w:line="308" w:lineRule="auto"/>
        <w:rPr>
          <w:sz w:val="20"/>
          <w:szCs w:val="20"/>
          <w:color w:val="auto"/>
        </w:rPr>
      </w:pPr>
      <w:r>
        <w:rPr>
          <w:rFonts w:ascii="Arial" w:cs="Arial" w:eastAsia="Arial" w:hAnsi="Arial"/>
          <w:sz w:val="17"/>
          <w:szCs w:val="17"/>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4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In addition, COVID-19 has disrupted global supply chains, including pharmaceutical and medical supply chains. We cannot be certain that our suppliers will continue to provide us with the quantities of the raw materials that we require or satisfy our anticipated specifications and quality requirements whether due to our size, COVID-19, or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otherwise.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24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2"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b w:val="1"/>
          <w:bCs w:val="1"/>
          <w:i w:val="1"/>
          <w:iCs w:val="1"/>
          <w:color w:val="auto"/>
        </w:rPr>
        <w:t>We have filed patent applications for our lead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8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We and our licensors have sought, and intend to seek, to protect our proprietary position by filing patent applications in the United States and abroad related to our product candidates and technology that are important to our business. No patent has yet issued from our patent applications.</w:t>
      </w:r>
    </w:p>
    <w:p>
      <w:pPr>
        <w:spacing w:after="0" w:line="15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 their ownership, for example in a derivation proceeding before the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16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b w:val="1"/>
          <w:bCs w:val="1"/>
          <w:i w:val="1"/>
          <w:iCs w:val="1"/>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6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spacing w:after="0" w:line="17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5" w:lineRule="exact"/>
        <w:rPr>
          <w:sz w:val="20"/>
          <w:szCs w:val="20"/>
          <w:color w:val="auto"/>
        </w:rPr>
      </w:pPr>
    </w:p>
    <w:p>
      <w:pPr>
        <w:ind w:left="60" w:right="419"/>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patents or applications will be due to be paid to the USPTO and various government patent agencies outside of the United States over the lifetime of our licensed patents 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were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included a number of significant changes that affected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Additional changes in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6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equivalent proceedings in foreign jurisdictions. Such proceedings could result in the revocation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of or amendment to our patents in such a way that they no longer cover our product candidates. 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3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including portions of our FIND-IO platform. However, trade secrets can be difficult to protect, and some courts inside and outside the United States are less willing or unwilling to protect trade secrets.</w:t>
      </w:r>
    </w:p>
    <w:p>
      <w:pPr>
        <w:spacing w:after="0" w:line="192"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or other forms of compensation to third parties.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18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While we are presently unaware of any claims or assertions by third parties with respect to our patents or other intellectual property, we cannot guarantee that a third party will not assert a claim or an interest in any of such patents or 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1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the value of our technology and products could be adversely affected.</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39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pacing w:after="0" w:line="164"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For example, in 2020, a lawsuit was filed against our Chief Executive Officer alleging that he breached contractual and fiduciary duties to a third party by, among other things, improperly utilizing confidential information to benefit the Company’s business, including with respect to our discovery efforts. While the original complaint was voluntarily dismissed by the plaintiffs, there can be no assurance that the same or similar claims may not be brought against our Chief Executive Officer or us. If we fail in defending claims of misappropriation and similar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1"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4" w:lineRule="exact"/>
        <w:rPr>
          <w:sz w:val="20"/>
          <w:szCs w:val="20"/>
          <w:color w:val="auto"/>
        </w:rPr>
      </w:pPr>
    </w:p>
    <w:p>
      <w:pPr>
        <w:ind w:left="1040" w:right="7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license or may own in the future;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make the inventions covered by the issued patent or pending patent application that we license or may own in the future;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02"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b w:val="1"/>
          <w:bCs w:val="1"/>
          <w:i w:val="1"/>
          <w:iCs w:val="1"/>
          <w:color w:val="auto"/>
        </w:rPr>
        <w:t>We rely or will rely on third parties to help conduct our ongoing and planned preclinical studies and clinical trials for NC318, NC410, NC762, NC525 and any future product candidates we develop. If these third parties do not successfully carry out their contractual duties, comply with regulatory requirements or meet expected deadlines, we may not be able to obtain marketing approval for or commercialize NC318, NC410, NC762, NC525 and any future product candidates we develop, and our business could be materially harmed.</w:t>
      </w:r>
    </w:p>
    <w:p>
      <w:pPr>
        <w:spacing w:after="0" w:line="1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We currently do not have the ability to independently conduct preclinical studies that comply with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spacing w:after="0" w:line="19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including as a result of natural disasters or public health emergencies such as the COVID-19 pandemic,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184" w:lineRule="exact"/>
        <w:rPr>
          <w:sz w:val="20"/>
          <w:szCs w:val="20"/>
          <w:color w:val="auto"/>
        </w:rPr>
      </w:pPr>
    </w:p>
    <w:p>
      <w:pPr>
        <w:ind w:left="60" w:right="379"/>
        <w:spacing w:after="0" w:line="286" w:lineRule="auto"/>
        <w:rPr>
          <w:sz w:val="20"/>
          <w:szCs w:val="20"/>
          <w:color w:val="auto"/>
        </w:rPr>
      </w:pPr>
      <w:r>
        <w:rPr>
          <w:rFonts w:ascii="Arial" w:cs="Arial" w:eastAsia="Arial" w:hAnsi="Arial"/>
          <w:sz w:val="17"/>
          <w:szCs w:val="17"/>
          <w:b w:val="1"/>
          <w:bCs w:val="1"/>
          <w:i w:val="1"/>
          <w:iCs w:val="1"/>
          <w:color w:val="auto"/>
        </w:rPr>
        <w:t>We may depend on Yale or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6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collaborations pose, and potential future collaborations involving our product candidates may pose, the following risks to us:</w:t>
      </w:r>
    </w:p>
    <w:p>
      <w:pPr>
        <w:spacing w:after="0" w:line="170" w:lineRule="exact"/>
        <w:rPr>
          <w:sz w:val="20"/>
          <w:szCs w:val="20"/>
          <w:color w:val="auto"/>
        </w:rPr>
      </w:pPr>
    </w:p>
    <w:p>
      <w:pPr>
        <w:ind w:left="1040" w:right="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186"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83"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products;</w:t>
      </w:r>
    </w:p>
    <w:p>
      <w:pPr>
        <w:spacing w:after="0" w:line="123" w:lineRule="exact"/>
        <w:rPr>
          <w:rFonts w:ascii="Arial" w:cs="Arial" w:eastAsia="Arial" w:hAnsi="Arial"/>
          <w:sz w:val="16"/>
          <w:szCs w:val="16"/>
          <w:color w:val="auto"/>
        </w:rPr>
      </w:pPr>
    </w:p>
    <w:p>
      <w:pPr>
        <w:jc w:val="both"/>
        <w:ind w:left="1040" w:right="79" w:hanging="315"/>
        <w:spacing w:after="0" w:line="263"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present or future collaborator were to be involved in a business combination, the continued pursuit and emphasis on our product development or commercialization program under such collaboration could be delayed, diminished or terminated; and</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6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Effective March 3, 2020, Lilly terminated the Lilly Agreement, which was focused on using our FIND-IO platform to identify novel oncology targets for additional research and drug discovery by ourselves and Lilly. The termination of the Lilly Agreement prevented us from receiving future research and development support payments, option exercise fees, development and regulatory milestone payments, sales milestone payments or royalties under the agreement. In the event a present or future collaborator terminates their agreement with us, we would be prevented from receiving the benefits of any such agreement, which could have a materially adverse effect on our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4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and we do not have “key person” insurance on them. The loss of the services of one or more of our executive officers or of certain members of our SAB could impede the achievement of our research, development and commercialization objectives.</w:t>
      </w:r>
    </w:p>
    <w:p>
      <w:pPr>
        <w:spacing w:after="0" w:line="18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Recruiting and retaining qualified employees, consultants and advisors for our business, including scientific and technical personnel, is critical to our success. We have observed an increasingly competitive labor market. Increased employee turnover and changes in the availability of our workers could result in increased costs.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our FIND-IO platform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19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PD-1/PD-L1, such as BMS’ Opdivo, Merck &amp; Co.’s Keytruda and Genentech’s Tecentriq, to T-cell-engager immunotherapies, such as Amgen’s Blincyto. Companies are also developing treatments targeting the Siglec family of proteins, such as Celldex Therapeutics and Palleon Pharmaceuticals, both of which are currently engaged in preclinical studies. In addition, numerous compounds are in clinical development for cancer treatment. Many of these companies are well-capitalized and have significant clinical experience (see “Business —Competition”).</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9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237"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our development plans and strategies develop, we expect to need additional managerial, operational, marketing, sales, financial and other personnel. Future growth would impose significant added responsibilities on members of management, including:</w:t>
      </w:r>
    </w:p>
    <w:p>
      <w:pPr>
        <w:spacing w:after="0" w:line="184" w:lineRule="exact"/>
        <w:rPr>
          <w:sz w:val="20"/>
          <w:szCs w:val="20"/>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NC318, NC410, NC762 and any future product candidates we develop, while complying with our contractual obligations to contractors and other third parties; and</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future financial performance and our ability to advance development of and, if approved, commercialize NC318, NC410, NC762, NC525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5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NC318, NC410, NC762, NC525 and any future product candidates we develop and, accordingly, may not achieve our research, development and commercialization goals.</w:t>
      </w:r>
    </w:p>
    <w:p>
      <w:pPr>
        <w:spacing w:after="0" w:line="187"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b w:val="1"/>
          <w:bCs w:val="1"/>
          <w:i w:val="1"/>
          <w:iCs w:val="1"/>
          <w:color w:val="auto"/>
        </w:rPr>
        <w:t>If we are unable to establish marketing, sales and distribution capabilities for NC318, NC410, NC762, NC525 or any other product candidate that may receive regulatory approval, we may not be successful in commercializing those product candidates if and when they are approved.</w:t>
      </w:r>
    </w:p>
    <w:p>
      <w:pPr>
        <w:spacing w:after="0" w:line="18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do not have sales or marketing infrastructure. To achieve commercial success for NC318, NC410, NC762, NC525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225" w:lineRule="exact"/>
        <w:rPr>
          <w:sz w:val="20"/>
          <w:szCs w:val="20"/>
          <w:color w:val="auto"/>
        </w:rPr>
      </w:pPr>
    </w:p>
    <w:p>
      <w:pPr>
        <w:ind w:left="1040" w:hanging="315"/>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approved;</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4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our product candidates.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demand for any product candidate we may develop;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8"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2021, we had federal and state net operating loss carryforwards of $160.9 million and $163.4 million, respectively. Certain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spacing w:after="0" w:line="184"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Natural disasters or other unexpected events may disrupt our operations, adversely affect our results of operations and financial condition, and may not be covered by insurance.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occurrence of one or more unexpected events, including fires, tornadoes, tsunamis, hurricanes, earthquakes, floods, and other forms of severe hazards in the United States or in other countries in which we or our suppliers or manufacturers operate or are located could adversely affect our operations and financial performance. These types of unexpected events could result in physical damage to and complete or partial closure of one or more of the manufacturing facilities operated by our contract manufacturers, or the temporary or long-term disruption in the supply of products, and/or disruption of our ability to deliver products to customers. Further,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natural resources, necessary to run our businesses. Existing insurance arrangements may not provide protection for the costs that may arise from such events, particularly if such events are catastrophic in nature or occur in combination. Any long-term disruption in our ability to service our customers from one or more distribution centers or outsourcing facilities could have a material adverse effect on our operations, our business, results of operations and stock price.</w:t>
      </w:r>
    </w:p>
    <w:p>
      <w:pPr>
        <w:spacing w:after="0" w:line="174"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Failure to meet investor and stakeholder expectations regarding environmental, social and corporate governance, or “ESG” matters may damage our reputation.</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investor, customer, consumer, employee or other stakeholders’ evolving expectations and standards for responsible corporate citizenship in areas including environmental stewardship, Board of Directors and employee diversity, human capital management, corporate governance and transparency, our reputation, brand, appeal to investors and employee retention may be negatively impacted, which could have a material adverse effect on our business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 and fluctuate substantially.</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stock price has been and is likely to remain volatile. The stock market in general, and the market for biopharmaceutical companies in particular, have experienced extreme volatility that has often been unrelated to the operating performance or prospects of particular companies. As a result of this volatility, you may not be able to sell your common stock at or above a recently reported price, or at all. The market price for our common stock may be influenced by many factors, including:</w:t>
      </w:r>
    </w:p>
    <w:p>
      <w:pPr>
        <w:spacing w:after="0" w:line="188" w:lineRule="exact"/>
        <w:rPr>
          <w:sz w:val="20"/>
          <w:szCs w:val="20"/>
          <w:color w:val="auto"/>
        </w:rPr>
      </w:pPr>
    </w:p>
    <w:p>
      <w:pPr>
        <w:ind w:left="1040" w:right="7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or future clinical trials, or changes in the development status of our product candidates;</w:t>
      </w:r>
    </w:p>
    <w:p>
      <w:pPr>
        <w:spacing w:after="0" w:line="170"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our product candidates;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size and growth of our target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or product candidates;</w:t>
      </w:r>
    </w:p>
    <w:p>
      <w:pPr>
        <w:spacing w:after="0" w:line="2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applicable to our product candidates, including but not limited to clinical trial requirements for approvals;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w:t>
      </w:r>
    </w:p>
    <w:p>
      <w:pPr>
        <w:spacing w:after="0" w:line="225"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 or publications of research reports about us or our industry;</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annual or quarterly financial results or those of companies that are perceived by investors to be similar to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sales of our common stock by us, our directors, officers or their affiliated funds or our other stockholders;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 or unrelated to our operating performance or prospects.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9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inaccurate or unfavorable research about our business, the price of our stock could decline.</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currently receive only limited coverage by equity research analysts. If additional analysts do not commence coverage of us, the trading price of our stock could decrease. In addition, if one or more of the analysts covering our business issue adverse reports about us or downgrade their evaluations of our stock, the price of our stock could decline. If one or more of these analysts cease to cover our stock or fail to publish reports on us regularly, we could lose visibility in the market for our stock, which, in turn, could cause our stock price to decline.</w:t>
      </w:r>
    </w:p>
    <w:p>
      <w:pPr>
        <w:spacing w:after="0" w:line="164"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 even if our business is doing well.</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significantly.</w:t>
      </w:r>
    </w:p>
    <w:p>
      <w:pPr>
        <w:spacing w:after="0" w:line="17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7"/>
          <w:szCs w:val="17"/>
          <w:color w:val="auto"/>
        </w:rPr>
        <w:t>We have filed registration statements on Form S-8 shares of common stock that are either subject to options or other equity awards issued or reserved for future issuance under our equity incentive plans. The number of shares available for issuance under the 2019 Omnibus Plan is subject to an automatic annual increase on January 1st of each year, continuing until the expiration of the 2019 Omnibus Plan, in an amount equal to four percent (4%) of the total number of shares of Common Stock outstanding on December 31st of the preceding calendar year. The number of shares available for issuance under the 2019 Employee Stock Purchase Plan, or “ESPP”, is subject to an automatic annual increase on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each year, continuing until the expiration of the ESPP, in an amount equal to the least of (i) one percent (1%) of the total number of shares of Common Stock outstanding on December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the preceding calendar year, (ii) 480,000 shares of Common Stock (subject to the capitalization adjustment provisions included in the ESPP) and (iii) a number of shares of Common Stock determined by the administrator of the ESPP. Shares registered under our registration statements on Form S-8 will be available for sale in the public market subject to vesting arrangements and exercise of options and the restrictions of Rule 144 in the case of our affiliates.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the holders of certain shares of our common stock outstanding as of December 31, 2021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these securities, or the perception that they will be sold, could have a material adverse effect on the market price of our common stock.</w:t>
      </w:r>
    </w:p>
    <w:p>
      <w:pPr>
        <w:spacing w:after="0" w:line="18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Our executive officers, directors and current beneficial owners of 5% or more of our common stock and their respective affiliates exercise significant influence over our company, which limits your ability to influence corporate matters and could delay or prevent a change in corporate control.</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in the aggregate, a majority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This concentration of ownership might adversely affect the market price of our common stock by:</w:t>
      </w:r>
    </w:p>
    <w:p>
      <w:pPr>
        <w:spacing w:after="0" w:line="192" w:lineRule="exact"/>
        <w:rPr>
          <w:sz w:val="20"/>
          <w:szCs w:val="20"/>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48"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b w:val="1"/>
          <w:bCs w:val="1"/>
          <w:i w:val="1"/>
          <w:iCs w:val="1"/>
          <w:color w:val="auto"/>
        </w:rPr>
        <w:t>We are now and may in the future be subject to securities litigation, which can be expensive and could divert management’s attention.</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Exchange Act and the Securities Act of 1933, as amended, with respect to statements made regarding our lead product candidate, NC318, and the FIND-IO platform.</w:t>
      </w:r>
    </w:p>
    <w:p>
      <w:pPr>
        <w:spacing w:after="0" w:line="195" w:lineRule="exact"/>
        <w:rPr>
          <w:sz w:val="20"/>
          <w:szCs w:val="20"/>
          <w:color w:val="auto"/>
        </w:rPr>
      </w:pPr>
    </w:p>
    <w:p>
      <w:pPr>
        <w:jc w:val="both"/>
        <w:ind w:left="60" w:right="79" w:firstLine="648"/>
        <w:spacing w:after="0" w:line="273" w:lineRule="auto"/>
        <w:rPr>
          <w:sz w:val="20"/>
          <w:szCs w:val="20"/>
          <w:color w:val="auto"/>
        </w:rPr>
      </w:pPr>
      <w:r>
        <w:rPr>
          <w:rFonts w:ascii="Arial" w:cs="Arial" w:eastAsia="Arial" w:hAnsi="Arial"/>
          <w:sz w:val="17"/>
          <w:szCs w:val="17"/>
          <w:color w:val="auto"/>
        </w:rPr>
        <w:t>On March 24, 2021, a purported shareholder derivative lawsuit was filed in the U.S. District Court for the District of Maryland, Southern Division, styled Zach Liu v. Richman et. al., Case:21-cv-00754,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For more information regarding these proceedings, please refer to Note 10 to the Company’s Financial Statements.</w:t>
      </w:r>
    </w:p>
    <w:p>
      <w:pPr>
        <w:spacing w:after="0" w:line="17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On December 14, 2021, a purported misappropriation of certain trade secrets lawsuit was filed in Federal District Court for the District of Delaware, styled Immunaccel, LLC v. NextCure, Inc., Case No. 1:21-cv-01755-UNA. The lawsuit alleges that the Company misappropriated certain trade secrets belonging to Immunaccel, LLC, or “Immunaccel”, related to a drug discovery and screening platform named IMMUNE 3D. The complaint alleges two causes of action, one under the Delaware Uniform Trade Secrets Act and another under the Federal Defend Trade Secrets Act, and seeks unspecified monetary damages, a permanent injunction and other miscellaneous relief.</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intend to vigorously defend these actions. However, whether or not the claims are successful, litigation is often expensive and can divert management’s attention and resources from other business concerns, which could adversely affect our business. If we are ultimately required to pay significant defense costs, damages or settlement amounts, such payments could adversely affect our operations.</w:t>
      </w:r>
    </w:p>
    <w:p>
      <w:pPr>
        <w:spacing w:after="0" w:line="18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may be the target of similar litigation in the future. The market price of our common stock has experienced and may continue to experience volatility, and in the past, companies that have experienced volatility in the market price of their stock have been subject to securities litigation. Any future litigation could result in substantial costs and divert our management’s attention from other business concerns, which could seriously harm our business. We maintain liability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insurance; however, if any costs or expenses associated with the Ye Zhou action, Liu action, or any other litigation exceed our insurance coverage, we may be forced to bear some or all costs and expenses directly, which could be substantial.</w:t>
      </w:r>
    </w:p>
    <w:p>
      <w:pPr>
        <w:spacing w:after="0" w:line="12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These provisions also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4"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When we lose our status as an “emerging growth company,” our independent registered public accounting firm will be required to attest to the effectiveness of our internal control over financial reporting pursuant to Section 404 of the Sarbanes Oxley Act.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6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do not intend to pay dividends on our common stock, so any returns will be limited to the value of our stock.</w:t>
      </w:r>
    </w:p>
    <w:p>
      <w:pPr>
        <w:spacing w:after="0" w:line="24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significantly increased costs as a result of operating as a public company, and our management will be required to devote substantial time to new compliance initiatives.</w:t>
      </w:r>
    </w:p>
    <w:p>
      <w:pPr>
        <w:spacing w:after="0" w:line="14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As a public company we have incurred, and we expect, particularly after we are no longer an emerging growth company, to continue to incur significant legal, accounting, investor relations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or, if subject matter jurisdiction over the matter that is the subject of such action is vested exclusively in the federal courts, the United States District Court for the District of Delaware will, to the fullest extent permitted by law, be the sole and exclusive forum for (i) any derivative action or proceeding brought on our behalf,</w:t>
      </w:r>
    </w:p>
    <w:p>
      <w:pPr>
        <w:spacing w:after="0" w:line="1" w:lineRule="exact"/>
        <w:rPr>
          <w:sz w:val="20"/>
          <w:szCs w:val="20"/>
          <w:color w:val="auto"/>
        </w:rPr>
      </w:pPr>
    </w:p>
    <w:p>
      <w:pPr>
        <w:jc w:val="both"/>
        <w:ind w:left="60" w:right="59" w:hanging="10"/>
        <w:spacing w:after="0" w:line="266" w:lineRule="auto"/>
        <w:tabs>
          <w:tab w:leader="none" w:pos="33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current or former directors, officers and employees, (iii) 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our bylaws. The choice of forum provision does not apply to any actions arising under the Securities Act or the Exchange Act. The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bylaws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Our corporate headquarters are located in Beltsville, Maryland and consists of approximately 28,500 square feet of office, 20,600 square feet of laboratory and manufacturing and 4,400 square feet of warehouse space. In addition, we have approximately 15,800 square feet of space to be used for future office and laboratory space. The lease terms expire in March 2030. We believe that these facilities are adequate for our current needs and that suitable additional or substitute space will be available in the future if needed.</w:t>
      </w:r>
    </w:p>
    <w:p>
      <w:pPr>
        <w:spacing w:after="0" w:line="4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information set forth under the heading “Legal Proceedings” in Note 8, Commitments and Contingencies, in Notes to Financial Statements in Part II Item 8 of this Annual Report, is incorporated herein by reference.</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4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 and Holders of Record</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common stock trades on the Nasdaq Global Select Market, or “Nasdaq”, under the symbol “NXTC.” As of March 2, 2022 we had 27,724,303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never declared or paid cash dividends on our capital stock, and we do not anticipate paying any cash dividends in the foreseeable future. We currently intend to retain all available funds and any future earnings to support our operations and finance the growth and development of our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 May 13, 2019, we closed our IPO pursuant to which we issued and sold 5,750,000 shares of common stock at a public offering price of $15.00 per share for aggregate gross proceeds of $86.3 million. The offer and sale of the shares was made pursuant to a registration statement on Form S-1 (File No. 333-230837) that the SEC declared effective on May 9, 2019. Morgan Stanley &amp; Co. LLC, Merrill Lynch, Pierce, Fenner &amp; Smith Incorporated and Piper Jaffray &amp; Co. acted as joint book-running managers of our IPO. The net offering proceeds to us were approximately $76.9 million after deducting underwriting discounts and commissions of $6.0 million and offering expenses of approximately $3.4 million. During the period from the closing of our IPO on May 13, 2019 through December 31, 2021, $0.5 million of the net proceeds from our IPO have been used for payment to Yale University in connection with the closing of our IPO, and the remainder has been invested in temporary investments pending other uses.</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None of the offering expenses or net proceeds were paid directly or indirectly to any of our directors or officers (or their associates) or persons owning 10% or more of any class of our equity securities or to any other affiliates. There has been no material change in the planned use of proceeds from our IPO from those disclosed in the final prospectus that forms a part of our Registration Statement on Form S-1 (Reg. No. 333-230837), as filed with the SEC pursuant to Rule 424(b)(4) under the Securities Act of 1933, as amended, on May 9, 2019.</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financial statements and the related notes appearing elsewhere in this Annual Report. This discussion contains forward-looking statements that are based on management’s current expectations, estimates, and projections about our business and operations, and involve risks and uncertainties. Our actual results could differ materially from those discussed in these forward-looking statements. Factors that could cause or contribute to such differences include, but are not limited to, those discussed in the sections entitled “Risk Factors” and “Special Note Regarding Forward-Looking Statements” and elsewhere in this Annual Report. The following discussion and analysis is expected to better allow investors to view the company from management’s perspective.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lead product candidate NC318 is a first-in-class immunomedicine against a novel immunomodulatory protein called Siglec-15, or “S15”. In October 2018, we initiated a Phase 1/2 clinical trial of NC318 in patients with advanced or metastatic solid tumors. We completed enrollment of the Phase 1 portion of this trial in August 2019, and preliminary data from the Phase 1 portion were presented at the Society for Immunotherapy of Cancer annual meeting, or the “SITC Meeting”, in November 2019. Updated data were presented in December 2020 and November 2021.</w:t>
      </w:r>
    </w:p>
    <w:p>
      <w:pPr>
        <w:spacing w:after="0" w:line="16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began enrolling patients in the Phase 2 portion of the Phase 1/2 clinical trial of NC318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or “TNBC”.</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modified the Phase 2 portion of the trial for S15 selection, whereby clinical sites can select for S15-positive patients through screening biopsies in a Clinical Laboratory Improvement Amendments (“CLIA”)-certified laboratory. In the second quarter of 2021, we revised the dosing regimen to 800 mg weekly to increase overall drug exposure to NC318. We provided a data update from our ongoing Phase 2 monotherapy trial of NC318 at the SITC Meeting in November 2021. Based on combined Phase 1 and Phase 2 data from the NC318 study, NC318 continued to show early evidence of possible clinical benefit in patients with HNSCC, lung and breast cancer and other advanced/metastatic solid tumors, with dosing once every two weeks during dose escalation and a dose of 400 mg selected for the Phase 2 studies. NC318 continued to be well-tolerated in the Phase 2 portion of the trial, with primarily mild or moderate treatment-related adverse events, or “TRAE”. We expect to provide further data from the Phase 2 portion of this trial in the fourth quarter of 2022.</w:t>
      </w:r>
    </w:p>
    <w:p>
      <w:pPr>
        <w:spacing w:after="0" w:line="19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April 2021, Yale University commenced a Phase 2 investigator-initiated clinical trial of NC318 in combination with pembrolizumab in patients with NSCLC. Initial data are anticipated in the second half of 2022.</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second product candidate, NC410, is a novel immunomedicine designed to block immune suppression mediated by an immune modulator called Leukocyte-Associated Immunoglobulin-like Receptor, or “LAIR”, -1. In June 2020, we initiated a Phase 1/2 clinical trial of NC410 in patients with advanced or metastatic solid tumors. The Phase 1 dose-escalation portion of this open-label trial is designed to evaluate the safety and tolerability of NC410 and determine its pharmacologically active and/or maximum tolerated dose. Interim data presented from the Phase 1 dose-escalation study shows that NC410 appears to be safe and well-tolerated in patients with advanced tumors and show evidence of immune modulation. We expect to provide further data from the Phase 1 portion of this trial in the second half of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third product candidate, NC762, is an immunomedicine targeting an immunomodulatory molecule called human B7 homolog 4 protein, or “B7-H4”. In July 2021, we initiated a Phase 1/2 clinical trial of NC762 in patients with lung cancer, breast cancer, ovarian cancer or potentially other tumor types. The Phase 1 dose-escalation portion of this open-label trial is being designed to evaluate the safety and tolerability of NC762 and determine its pharmacologically active and/or maximum tolerated dose. We expect to announce initial data from the Phase 1 portion of this trial in the second half of 2022.</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fourth product candidate, NC525, is a novel LAIR-1 antibody that selectively targets Acute Myeloid Leukemia, or “AML”, blast cells and leukemic stem cells, or “LSCs”. Preclinical data show that NC525 kills AML blast cells and LSCs while sparing hematopoietic stem and progenitor cells, or “HSPCs”. Preclinical data were presented at the American Society for Hematology annual meeting, or the “ASH Meeting”, in December 2021. The data showed that NC525 (i) inhibits colony formation of AML LSCs in vitro, (ii) inhibits AML growth in the MV4-11 derived xenografts, or “CDX”, animal model in vivo and (iii) restricts AML progression in patient-derived xenografts, or “PDX”, in vivo. An IND submission is planned for the fourth quarter of 2022.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Overview</w:t>
      </w:r>
    </w:p>
    <w:p>
      <w:pPr>
        <w:spacing w:after="0" w:line="202"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have not generated any revenue from product sales and only limited revenue from other sources. As a result, with the exception of the three months ended March 31, 2020, for which we reported a profit due to recognition of deferred revenue in connection with the termination of our former research and development collaboration agreement with Eli Lilly and Company, or “Lilly”, we have never been profitable and have incurred net losses since the commencement of our operations. Our net losses for the years ended December 31, 2021 and 2020 were $69.4 million and $36.6 million, respectively. As of December 31, 2021, we had an accumulated deficit of $187.0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18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have funded our operations to date primarily with proceeds from public offerings of our common stock, with private placements of our preferred stock and with upfront fees received under our former research collaboration and development agreement with Lilly, or the “Lilly Agreement,” which was terminated in March 2020. From our inception through December 31, 2021, we received gross proceeds of $164.4 million through private placements of preferred stock.</w:t>
      </w:r>
    </w:p>
    <w:p>
      <w:pPr>
        <w:spacing w:after="0" w:line="15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 See Note 1 to our audited financial statements included elsewhere in this Annual Report for more information.</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76"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As of December 31, 2021, we had cash, cash equivalents and marketable securities, excluding restricted cash, of $219.6 million. We believe that our existing cash, cash equivalents and marketable securities will be sufficient to fund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planned operations into the first quarter of 2024. We have based this estimate on assumptions that may prove to be incorrect, and we could exhaust our available capital resources sooner than we currently expect.</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ongoing Phase 1/2 clinical trial of NC410, our ongoing Phase 1/2 clinical trial for NC762, and other research and development activities. We expect to incur significantly increased costs as a result of operating as a public company, including significant legal, accounting, investor relations and other expenses.</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For the fiscal year ended December 31, 2020, we recognized deferred revenue related to the terminated Lilly Agreement of $22.4 million. Through December 31, 2021, we have not generated any revenue from product sales.</w:t>
      </w:r>
    </w:p>
    <w:p>
      <w:pPr>
        <w:spacing w:after="0" w:line="14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additional information about our revenue recognition policy, see Note 2 to our audited financial statements included elsewhere in this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agreements with third parties that conduct research, preclinical activities or clinical trials on our behalf, such as our license agreement with Yale University, or “Yale”;</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and as we utilize our current good manufacturing practice, or “cGMP”, manufacturing capacity, including to provide drug supply of NC318, NC410, NC762 and NC525 for future clinical trials, and as we expand our pipeline through research and development activities, including through our FIND-IO platform and discovery programs.</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cannot determine with certainty the duration and costs of future clinical trials of NC318, NC410, NC762, NC525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NC762, NC525 and any other product candidate we may develop will depend on a variety of factors, including:</w:t>
      </w:r>
    </w:p>
    <w:p>
      <w:pPr>
        <w:spacing w:after="0" w:line="192" w:lineRule="exact"/>
        <w:rPr>
          <w:sz w:val="20"/>
          <w:szCs w:val="20"/>
          <w:color w:val="auto"/>
        </w:rPr>
      </w:pPr>
    </w:p>
    <w:p>
      <w:pPr>
        <w:jc w:val="both"/>
        <w:ind w:left="1040" w:right="79" w:hanging="315"/>
        <w:spacing w:after="0" w:line="342"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scope, progress, results and costs of clinical trials of NC318, NC410 and NC762, as well as of any future clinical trials of other product candidates and other research and development activities that we may conduct;</w:t>
      </w:r>
    </w:p>
    <w:p>
      <w:pPr>
        <w:spacing w:after="0" w:line="123"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including as a result of expected staff expansion, additional occupancy costs, higher legal and accounting fees, investor relations costs, higher insurance premiums and other compliance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Other income, net consists primarily of interest income earned on marketable securities and payment of interest on our term loan with a commercial bank, or the “Term Loan”, which was paid in full and closed in August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w w:val="98"/>
              </w:rPr>
              <w:t>Revenue from former research and development arrangement</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22,378</w:t>
            </w:r>
          </w:p>
        </w:tc>
        <w:tc>
          <w:tcPr>
            <w:tcW w:w="22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(22,378)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(70,765)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(41,225)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(29,540)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(69,389)</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(36,603)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(32,786)</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Research and Development Arrangement</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Revenue was $0 and $22.4 million for the years ended December 31, 2021 and 2020, respectively. The 2020 revenue exclusively relates to the recognition of all of the remaining deferred revenue under the Lilly Agreement as of the Lilly Termination Date. Effective with the termination of the Lilly Agreement, no further quarterly research and development support payments are payable to us.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our research and development expenses by product candidate for the periods indicated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External research and development 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NC318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5,603</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9,455</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NC410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8"/>
                <w:szCs w:val="18"/>
                <w:color w:val="auto"/>
              </w:rPr>
              <w:t>NC762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Programs in discovery and preclinical development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15,063</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Total external research and development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27,909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internal research and development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50,192</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spacing w:after="0" w:line="16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Research and development expenses for the year ended December 31, 2021 increased by $3.6 million to $50.2 million compared to $46.6 million for the year ending December 31, 2020. The increase was driven primarily by $2.3 million in clinical-related and $2.1 million in personnel-related expenses, offset by a $1.6 million decrease in contract manufacturing expenses. Another $0.8 million of increased expense was due to other items, primarily depreciation.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General and administrative expenses for the year ended December 31, 2021 increased by $3.5 million to $20.5 million as compared to $17.0 million for the year ending December 31, 2020. The increase was driven primarily by $2.7 million in personnel-related costs. Another $0.8 million of increased expense was due to other items, including professional services and insurance.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Other income, net for the year ended December 31, 2021 decreased by $3.2 million to $1.4 million from $4.6 million for the year ended December 31, 2020 due to lower investment balances and a reduction in interest rates.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with private placements of our preferred stock and with upfront fees received under the Lilly Agreement. On May 13, 2019, we closed our IPO in which we sold 5,750,000 shares of common stock, at a public offering price of $15.00 per share, for aggregate gross proceeds of $86.3 million. The net offering proceeds to us were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the public offering price of $36.75 per share. The total gross proceeds to us were $172.2 million and the total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equivalents are held in money market funds.</w:t>
      </w:r>
    </w:p>
    <w:p>
      <w:pPr>
        <w:spacing w:after="0" w:line="16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6, 2021, the Company entered into a sales agreement, or the “Sales Agreement”, with SVB Leerink LLC, or the “Agent”, pursuant to which the Company may sell, from time to time, up to an aggregate sales price of $75 million of its common stock through the Agent in negotiated transactions that are deemed to be an “at the market offering.” The Agent will be entitled to compensation equal to 3.0% of the gross proceeds from the sale of all shares of common stock sold through it as Agent under the Sales Agreement.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We have not yet sold any shares of our common stock pursuant to the Sales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December 31, 2021, we had cash, cash equivalents and marketable securities, excluding restricted cash, of $219.6 million. We believe that our existing cash, cash equivalents and marketable securities will be sufficient to fund our planned operations into the first quarter of 2024.</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In April 2016, we entered into the Term Loan to finance laboratory equipment purchases. In January 2019, we amended the Term Loan to increase our borrowing capacity from $1.0 million to $5.0 million. In August 2021, we fully paid the remaining principal on the Term Loan, and there are no outstanding payments due from us.</w:t>
      </w:r>
    </w:p>
    <w:p>
      <w:pPr>
        <w:spacing w:after="0" w:line="16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including as a result of the impact of the COVID-19 pandemic. If we fail to raise capital or enter into such agreements as and when needed, we may have to significantly delay, scale back or discontinue the development of our product candidates or delay our efforts to expand our pipeline of product candidates. Our need to raise additional capital will depend on many factors, including:</w:t>
      </w:r>
    </w:p>
    <w:p>
      <w:pPr>
        <w:spacing w:after="0" w:line="164" w:lineRule="exact"/>
        <w:rPr>
          <w:sz w:val="20"/>
          <w:szCs w:val="20"/>
          <w:color w:val="auto"/>
        </w:rPr>
      </w:pPr>
    </w:p>
    <w:p>
      <w:pPr>
        <w:jc w:val="both"/>
        <w:ind w:left="720" w:right="79" w:hanging="319"/>
        <w:spacing w:after="0" w:line="263"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NC318, NC410, NC762, NC525 and our other programs, including targets identified through our FIND-IO platform, and of conducting preclinical studies and clinical trials;</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NC318, NC410, NC762, NC525 and any future product candidates we develop, if clinical trials are successful;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308" w:lineRule="auto"/>
        <w:tabs>
          <w:tab w:leader="none" w:pos="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costs of manufacturing NC318, NC410, NC762, NC525 and any future product candidates we develop for preclinical studies and clinical trials in preparation for marketing approval and commercialization;</w:t>
      </w:r>
    </w:p>
    <w:p>
      <w:pPr>
        <w:spacing w:after="0" w:line="146" w:lineRule="exact"/>
        <w:rPr>
          <w:rFonts w:ascii="Arial" w:cs="Arial" w:eastAsia="Arial" w:hAnsi="Arial"/>
          <w:sz w:val="17"/>
          <w:szCs w:val="17"/>
          <w:color w:val="auto"/>
        </w:rPr>
      </w:pPr>
    </w:p>
    <w:p>
      <w:pPr>
        <w:jc w:val="both"/>
        <w:ind w:left="720" w:right="79" w:hanging="319"/>
        <w:spacing w:after="0" w:line="286" w:lineRule="auto"/>
        <w:tabs>
          <w:tab w:leader="none" w:pos="7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costs of commercialization activities, including marketing, sales and distribution costs, for NC318, NC410, NC762, NC525 and any future product candidates we develop, whether alone or with a collaborator, if any such product candidates are approved for sale, including marketing, sales and distribution costs;</w:t>
      </w:r>
    </w:p>
    <w:p>
      <w:pPr>
        <w:spacing w:after="0" w:line="165"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licenses or other arrangements on favorable terms, if at all;</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Adequate additional financing may not be available to us on acceptable terms, or at all.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raise additional funds through government or private grants, collaborations, strategic alliances or marketing, distribution or licensing arrangements with third parties, we may be required to relinquish valuable rights to our future revenue streams, product candidates or research programs or to grant licenses on terms that may not be favorable to us.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retain for ourselves. See the section entitled “Risk Factors” for additional risks associated with our substantial capital requirements.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40"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Year Ended</w:t>
      </w:r>
    </w:p>
    <w:p>
      <w:pP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(57,244)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(44,954)</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43,523</w:t>
            </w: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(23,908)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19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was $57.2 million for the year ended December 31, 2021, which was primarily due to our net loss of $69.4 million. Net cash used in operating activities was $45.0 million for the year ended December 31, 2020, which was primarily due to our net loss of $36.6 million, inclusive of our recognition of deferred revenue related to the terminated Lilly Agreement of $22.4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9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Cash provided by investing activities for the year ended December 31, 2021 was $36.6 million, which was primarily due to net proceeds from marketable securities of $39.0 million, partially offset by purchases of property and equipment of $2.4 million. Cash provided by investing activities for the year ended December 31, 2020 was $43.5 million, which was primarily due to net proceeds from marketable securities of $50.6 million, partially offset by purchases of property and equipment of $7.1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Financing Activities</w:t>
      </w:r>
    </w:p>
    <w:p>
      <w:pPr>
        <w:spacing w:after="0" w:line="18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Cash used in financing activities was $3.3 million for the year ended December 31, 2021, which consisted primarily of payments related to the closure of the Term Loan. Cash used in financing activities was $1.4 million for the year ended December 31, 2020, which consisted primarily of payments related to the Term Loan.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In February 2016, we entered into a non-cancelable facilities operating sublease, or the 2016 Sublease, for our current headquarters that expires in August 2025. The base rent under the 2016 Sublease is $32,254 per month, plus our prorated share of the sublandlord’s operating expense and is subject to annual rent increases of 3%.</w:t>
      </w:r>
    </w:p>
    <w:p>
      <w:pPr>
        <w:spacing w:after="0" w:line="1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January 2019, we entered into a new lease to be used for office and laboratory space, or the 2019 Lease, that expires in March 2030. Upon expiration of the 2016 Sublease, the 2019 Lease will also cover the space we are currently subleasing under the 2016 Sublease. The base rent under the 2019 Lease is $37,824 per month, subject to annual rent increases of 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Term Loan</w:t>
      </w:r>
    </w:p>
    <w:p>
      <w:pPr>
        <w:spacing w:after="0" w:line="20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April 2016, we entered into a $1.0 million term loan, or the Term Loan. In January 2019, we amended the Term Loan to increase our borrowing capacity to $5.0 million, secured by our certificates of deposit, money market account, investment property and deposit or investment accounts. In August 2021, we fully paid the remaining principal balance of $2.4 million of the Term Loan. Interest expense under the Term Loan was approximately $77,000 and $183,000 for the years ended December 31, 2021 and 2020, respectively. The outstanding balance on the Term Loan totaled $0 and $3.5 million as of December 31, 2021 and 2020, respectively.</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also have potential contingent payment obligations upon the achievement by us of clinical, regulatory, and commercial events, as applicable, or royalty payments that we may be required to make under license agreements we have entered into with various entities pursuant to which we have in-licensed intellectual property, including our license agreement with Yale. The timing and amount (if any) of any such payments cannot be reasonably estimated at this time. See “Business—Our Collaboration Agreements” for additional information.</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clinical trials, non-clinical studies and testing, manufacturing and other services and products for operating purposes. These contracts generally provide for termination following a certain period after notice, and therefore we believe that our non-cancelable obligations under these agreements are not material.</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8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While our significant accounting policies are described in the notes to our financial statements, we believe that the following critical accounting policies are most important to understanding and evaluating our reported financial results, as these policies relate to the more significant areas involving management’s judgments and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 Including Clinical Trial Accruals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Research costs consist of employee-related costs, contractor expenses, laboratory supplies and facility costs, for research and development of product candidates are expensed as incurred. Development costs, including clinical trial-related expenses, incurred by third parties, such as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we analyze progress of the studies, including the phase or completion of events, invoices received and contracted costs. For further discussion of research and development expenses, including clinical trial accruals, see Note 2 to our audited financial statements included elsewhere in this Annual Report.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account for revenue in accordance with ASC Topic 606, Revenue from Contracts with Customers (“ASC 606”). Under ASC 606, an entity recognizes revenue when its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2" w:lineRule="exact"/>
        <w:rPr>
          <w:sz w:val="20"/>
          <w:szCs w:val="20"/>
          <w:color w:val="auto"/>
        </w:rPr>
      </w:pPr>
    </w:p>
    <w:p>
      <w:pPr>
        <w:jc w:val="both"/>
        <w:ind w:left="60" w:right="59" w:hanging="10"/>
        <w:spacing w:after="0" w:line="295" w:lineRule="auto"/>
        <w:tabs>
          <w:tab w:leader="none" w:pos="39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and (v) recognition of revenue when (or as) we satisfy each performance obligation. We only apply the five-step model to contracts when it is probable that we will collect consideration to which we are entitled in exchange for the goods or services we transfer to the customer. For further discussion of revenue recognition, see Note 2 to our audited financial statements included elsewhere in this Annual Report.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account for stock-based compensation, including stock options and restricted stock units, based on the fair value of the award as of the grant date. We utilize the Black-Scholes option-pricing model as the method for estimating the fair value of our stock option grants. The Black-Scholes option-pricing model requires the use of highly subjective and complex assumptions, including the options’ expected term and the price volatility of the underlying stock. The fair value of the portion of the award that is ultimately expected to vest is recognized as compensation expense over the award’s requisite service period. We recognize stock-based compensation to expense using the straight-line method and recognize forfeitures as they occur. If there are any modifications or cancelations of stock-based awards, we may be required to accelerate, increase, or decrease any remaining unrecognized stock-based compensation expense.</w:t>
      </w:r>
    </w:p>
    <w:p>
      <w:pPr>
        <w:spacing w:after="0" w:line="16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Before our IPO, there was no public market for our common stock to date and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by the American Institute of Certified Public Accountants.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Accounting and Valuation Guide,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Our common stock valuations were prepared using an option pricing method, or “OPM”, which used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the closing of our IPO, we have determined the fair value of our common stock based on the closing price of our common stock on the Nasdaq Global Select Market as reported on the date of grant.</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For further discussion of our accounting for stock-based compensation, see Note 2 to our audited financial statements included elsewhere in this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Securities and Exchange Commission.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8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We have elected to take advantage of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We will remain an emerging growth company until the earliest of (i) December 31, 2024,</w:t>
      </w:r>
    </w:p>
    <w:p>
      <w:pPr>
        <w:spacing w:after="0" w:line="1" w:lineRule="exact"/>
        <w:rPr>
          <w:sz w:val="20"/>
          <w:szCs w:val="20"/>
          <w:color w:val="auto"/>
        </w:rPr>
      </w:pPr>
    </w:p>
    <w:p>
      <w:pPr>
        <w:jc w:val="both"/>
        <w:ind w:left="60" w:right="59" w:hanging="10"/>
        <w:spacing w:after="0" w:line="225" w:lineRule="auto"/>
        <w:tabs>
          <w:tab w:leader="none" w:pos="3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last day of the first fiscal year in which we have total annual gross revenues of at least $1.07 billion, (iii) the last day of the first fiscal year in which the market value of our common stock that is held by non-affiliates exceeds $700.0 million on June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and (iv) the date on which we have issued more than $1.0 billion in non-convertible debt securities during the prior three-year period.</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See Note 2 to our audited financial statements included elsewhere in this Annual Report for a discussion of recent accounting pronouncements that have impacted or may impact our financial position and results of operations.</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40" w:type="dxa"/>
            <w:vAlign w:val="bottom"/>
            <w:gridSpan w:val="7"/>
            <w:vMerge w:val="restart"/>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40" w:type="dxa"/>
            <w:vAlign w:val="bottom"/>
            <w:gridSpan w:val="7"/>
            <w:vMerge w:val="continue"/>
          </w:tcPr>
          <w:p>
            <w:pPr>
              <w:spacing w:after="0"/>
              <w:rPr>
                <w:sz w:val="13"/>
                <w:szCs w:val="13"/>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9"/>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Balance Sheets as of December 31, 2021 and 2020</w:t>
              </w:r>
            </w:hyperlink>
          </w:p>
        </w:tc>
        <w:tc>
          <w:tcPr>
            <w:tcW w:w="412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Statements of Operations and Comprehensive Loss for the Years Ended December 31, 2021 and 2020</w:t>
              </w:r>
            </w:hyperlink>
          </w:p>
        </w:tc>
        <w:tc>
          <w:tcPr>
            <w:tcW w:w="10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8340" w:type="dxa"/>
            <w:vAlign w:val="bottom"/>
            <w:gridSpan w:val="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Statements of Stockholders’ Equity for the Years Ended December 31, 2021 and 2020</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6180" w:type="dxa"/>
            <w:vAlign w:val="bottom"/>
            <w:tcBorders>
              <w:top w:val="single" w:sz="8" w:color="0000EE"/>
            </w:tcBorders>
            <w:gridSpan w:val="5"/>
          </w:tcPr>
          <w:p>
            <w:pPr>
              <w:spacing w:after="0" w:line="196" w:lineRule="exact"/>
              <w:rPr>
                <w:rFonts w:ascii="Arial" w:cs="Arial" w:eastAsia="Arial" w:hAnsi="Arial"/>
                <w:sz w:val="18"/>
                <w:szCs w:val="18"/>
                <w:color w:val="0000EE"/>
                <w:w w:val="99"/>
              </w:rPr>
            </w:pPr>
            <w:hyperlink w:anchor="page95">
              <w:r>
                <w:rPr>
                  <w:rFonts w:ascii="Arial" w:cs="Arial" w:eastAsia="Arial" w:hAnsi="Arial"/>
                  <w:sz w:val="18"/>
                  <w:szCs w:val="18"/>
                  <w:color w:val="0000EE"/>
                  <w:w w:val="99"/>
                </w:rPr>
                <w:t>Statements of Cash Flows for the Years Ended December 31, 2021 and 2020</w:t>
              </w:r>
            </w:hyperlink>
          </w:p>
        </w:tc>
        <w:tc>
          <w:tcPr>
            <w:tcW w:w="21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5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Notes to Financial Statements</w:t>
              </w:r>
            </w:hyperlink>
          </w:p>
        </w:tc>
        <w:tc>
          <w:tcPr>
            <w:tcW w:w="28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NextCure,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audited the accompanying balance sheets of NextCure, Inc. (the “Company”) as of December 31, 2021 and 2020, the related statements of operations and comprehensive loss, stockholders’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Baltimore, MD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196"/>
        </w:trPr>
        <w:tc>
          <w:tcPr>
            <w:tcW w:w="6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4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12,337</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32,772</w:t>
            </w:r>
          </w:p>
        </w:tc>
      </w:tr>
      <w:tr>
        <w:trPr>
          <w:trHeight w:val="203"/>
        </w:trPr>
        <w:tc>
          <w:tcPr>
            <w:tcW w:w="664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207,254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250,676</w:t>
            </w:r>
          </w:p>
        </w:tc>
      </w:tr>
      <w:tr>
        <w:trPr>
          <w:trHeight w:val="203"/>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03"/>
        </w:trPr>
        <w:tc>
          <w:tcPr>
            <w:tcW w:w="66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w:t>
            </w:r>
          </w:p>
        </w:tc>
      </w:tr>
      <w:tr>
        <w:trPr>
          <w:trHeight w:val="19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227,817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287,978</w:t>
            </w:r>
          </w:p>
        </w:tc>
      </w:tr>
      <w:tr>
        <w:trPr>
          <w:trHeight w:val="203"/>
        </w:trPr>
        <w:tc>
          <w:tcPr>
            <w:tcW w:w="6640" w:type="dxa"/>
            <w:vAlign w:val="bottom"/>
          </w:tcPr>
          <w:p>
            <w:pPr>
              <w:ind w:left="10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15,809</w:t>
            </w:r>
          </w:p>
        </w:tc>
      </w:tr>
      <w:tr>
        <w:trPr>
          <w:trHeight w:val="203"/>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r>
      <w:tr>
        <w:trPr>
          <w:trHeight w:val="236"/>
        </w:trPr>
        <w:tc>
          <w:tcPr>
            <w:tcW w:w="6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242,386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306,644</w:t>
            </w:r>
          </w:p>
        </w:tc>
      </w:tr>
      <w:tr>
        <w:trPr>
          <w:trHeight w:val="183"/>
        </w:trPr>
        <w:tc>
          <w:tcPr>
            <w:tcW w:w="664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4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2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r>
      <w:tr>
        <w:trPr>
          <w:trHeight w:val="203"/>
        </w:trPr>
        <w:tc>
          <w:tcPr>
            <w:tcW w:w="664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4,449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4,627</w:t>
            </w:r>
          </w:p>
        </w:tc>
      </w:tr>
      <w:tr>
        <w:trPr>
          <w:trHeight w:val="203"/>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current portion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6640" w:type="dxa"/>
            <w:vAlign w:val="bottom"/>
          </w:tcPr>
          <w:p>
            <w:pPr>
              <w:ind w:left="100"/>
              <w:spacing w:after="0"/>
              <w:rPr>
                <w:sz w:val="20"/>
                <w:szCs w:val="20"/>
                <w:color w:val="auto"/>
              </w:rPr>
            </w:pPr>
            <w:r>
              <w:rPr>
                <w:rFonts w:ascii="Arial" w:cs="Arial" w:eastAsia="Arial" w:hAnsi="Arial"/>
                <w:sz w:val="16"/>
                <w:szCs w:val="16"/>
                <w:color w:val="auto"/>
              </w:rPr>
              <w:t>Term loan, current portion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1,667</w:t>
            </w:r>
          </w:p>
        </w:tc>
      </w:tr>
      <w:tr>
        <w:trPr>
          <w:trHeight w:val="19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6,608</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10,325</w:t>
            </w:r>
          </w:p>
        </w:tc>
      </w:tr>
      <w:tr>
        <w:trPr>
          <w:trHeight w:val="203"/>
        </w:trPr>
        <w:tc>
          <w:tcPr>
            <w:tcW w:w="6640" w:type="dxa"/>
            <w:vAlign w:val="bottom"/>
          </w:tcPr>
          <w:p>
            <w:pPr>
              <w:ind w:left="100"/>
              <w:spacing w:after="0"/>
              <w:rPr>
                <w:sz w:val="20"/>
                <w:szCs w:val="20"/>
                <w:color w:val="auto"/>
              </w:rPr>
            </w:pPr>
            <w:r>
              <w:rPr>
                <w:rFonts w:ascii="Arial" w:cs="Arial" w:eastAsia="Arial" w:hAnsi="Arial"/>
                <w:sz w:val="16"/>
                <w:szCs w:val="16"/>
                <w:color w:val="auto"/>
              </w:rPr>
              <w:t>Deferred rent, net of current portion</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03"/>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net of current portion</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r>
      <w:tr>
        <w:trPr>
          <w:trHeight w:val="196"/>
        </w:trPr>
        <w:tc>
          <w:tcPr>
            <w:tcW w:w="6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12,923</w:t>
            </w:r>
          </w:p>
        </w:tc>
      </w:tr>
      <w:tr>
        <w:trPr>
          <w:trHeight w:val="19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3"/>
        </w:trPr>
        <w:tc>
          <w:tcPr>
            <w:tcW w:w="6640" w:type="dxa"/>
            <w:vAlign w:val="bottom"/>
          </w:tcPr>
          <w:p>
            <w:pPr>
              <w:ind w:left="100"/>
              <w:spacing w:after="0"/>
              <w:rPr>
                <w:sz w:val="20"/>
                <w:szCs w:val="20"/>
                <w:color w:val="auto"/>
              </w:rPr>
            </w:pPr>
            <w:r>
              <w:rPr>
                <w:rFonts w:ascii="Arial" w:cs="Arial" w:eastAsia="Arial" w:hAnsi="Arial"/>
                <w:sz w:val="16"/>
                <w:szCs w:val="16"/>
                <w:color w:val="auto"/>
                <w:w w:val="91"/>
              </w:rPr>
              <w:t>Preferred stock, par value of $0.001 per share; 10,000,000 shares authorized at December 31, 2021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9"/>
        </w:trPr>
        <w:tc>
          <w:tcPr>
            <w:tcW w:w="6640" w:type="dxa"/>
            <w:vAlign w:val="bottom"/>
          </w:tcPr>
          <w:p>
            <w:pPr>
              <w:ind w:left="100"/>
              <w:spacing w:after="0"/>
              <w:rPr>
                <w:sz w:val="20"/>
                <w:szCs w:val="20"/>
                <w:color w:val="auto"/>
              </w:rPr>
            </w:pPr>
            <w:r>
              <w:rPr>
                <w:rFonts w:ascii="Arial" w:cs="Arial" w:eastAsia="Arial" w:hAnsi="Arial"/>
                <w:sz w:val="16"/>
                <w:szCs w:val="16"/>
                <w:color w:val="auto"/>
              </w:rPr>
              <w:t>and 2020. No shares issued and outstanding at December 31, 2021 and 2020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par value of $0.001 per share; 100,000,000 shares authorized at December</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31, 2021 and 2020. 27,680,997 and 27,568,802 shares issued and outstanding at December</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2"/>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31, 2021 and 2020, respectively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664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421,047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410,551</w:t>
            </w:r>
          </w:p>
        </w:tc>
      </w:tr>
      <w:tr>
        <w:trPr>
          <w:trHeight w:val="203"/>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 income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03"/>
        </w:trPr>
        <w:tc>
          <w:tcPr>
            <w:tcW w:w="66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(187,026)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(117,637)</w:t>
            </w:r>
          </w:p>
        </w:tc>
      </w:tr>
      <w:tr>
        <w:trPr>
          <w:trHeight w:val="19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233,386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293,721</w:t>
            </w:r>
          </w:p>
        </w:tc>
      </w:tr>
      <w:tr>
        <w:trPr>
          <w:trHeight w:val="196"/>
        </w:trPr>
        <w:tc>
          <w:tcPr>
            <w:tcW w:w="66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242,386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306,644</w:t>
            </w: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Year Ended</w:t>
      </w:r>
    </w:p>
    <w:p>
      <w:pPr>
        <w:ind w:left="7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Revenue from former research and development arrangement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22,378</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46,554</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70,765</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63,603</w:t>
            </w:r>
          </w:p>
        </w:tc>
        <w:tc>
          <w:tcPr>
            <w:tcW w:w="20" w:type="dxa"/>
            <w:vAlign w:val="bottom"/>
          </w:tcPr>
          <w:p>
            <w:pPr>
              <w:spacing w:after="0"/>
              <w:rPr>
                <w:sz w:val="18"/>
                <w:szCs w:val="18"/>
                <w:color w:val="auto"/>
              </w:rPr>
            </w:pP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20" w:type="dxa"/>
            <w:vAlign w:val="bottom"/>
          </w:tcPr>
          <w:p>
            <w:pPr>
              <w:spacing w:after="0"/>
              <w:rPr>
                <w:sz w:val="18"/>
                <w:szCs w:val="18"/>
                <w:color w:val="auto"/>
              </w:rPr>
            </w:pPr>
          </w:p>
        </w:tc>
      </w:tr>
      <w:tr>
        <w:trPr>
          <w:trHeight w:val="216"/>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20" w:type="dxa"/>
            <w:vAlign w:val="bottom"/>
          </w:tcPr>
          <w:p>
            <w:pPr>
              <w:spacing w:after="0"/>
              <w:rPr>
                <w:sz w:val="18"/>
                <w:szCs w:val="18"/>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(69,389)</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(36,603)</w:t>
            </w:r>
          </w:p>
        </w:tc>
        <w:tc>
          <w:tcPr>
            <w:tcW w:w="2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per common share - basic and 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09"/>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Weighted average shares outstanding - basic and diluted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27,615,977</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27,532,177</w:t>
            </w:r>
          </w:p>
        </w:tc>
        <w:tc>
          <w:tcPr>
            <w:tcW w:w="20" w:type="dxa"/>
            <w:vAlign w:val="bottom"/>
          </w:tcPr>
          <w:p>
            <w:pPr>
              <w:spacing w:after="0"/>
              <w:rPr>
                <w:sz w:val="18"/>
                <w:szCs w:val="18"/>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(69,389)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(36,603)</w:t>
            </w:r>
          </w:p>
        </w:tc>
        <w:tc>
          <w:tcPr>
            <w:tcW w:w="20" w:type="dxa"/>
            <w:vAlign w:val="bottom"/>
          </w:tcPr>
          <w:p>
            <w:pPr>
              <w:spacing w:after="0"/>
              <w:rPr>
                <w:sz w:val="19"/>
                <w:szCs w:val="19"/>
                <w:color w:val="auto"/>
              </w:rPr>
            </w:pPr>
          </w:p>
        </w:tc>
      </w:tr>
      <w:tr>
        <w:trPr>
          <w:trHeight w:val="229"/>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marketable securities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19"/>
                <w:szCs w:val="19"/>
                <w:color w:val="auto"/>
              </w:rPr>
            </w:pPr>
          </w:p>
        </w:tc>
      </w:tr>
      <w:tr>
        <w:trPr>
          <w:trHeight w:val="210"/>
        </w:trPr>
        <w:tc>
          <w:tcPr>
            <w:tcW w:w="60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(70,831)</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(35,824)</w:t>
            </w:r>
          </w:p>
        </w:tc>
        <w:tc>
          <w:tcPr>
            <w:tcW w:w="20" w:type="dxa"/>
            <w:vAlign w:val="bottom"/>
            <w:tcBorders>
              <w:bottom w:val="single" w:sz="8" w:color="auto"/>
            </w:tcBorders>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1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10"/>
        </w:trPr>
        <w:tc>
          <w:tcPr>
            <w:tcW w:w="3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260" w:type="dxa"/>
            <w:vAlign w:val="bottom"/>
            <w:gridSpan w:val="3"/>
          </w:tcPr>
          <w:p>
            <w:pPr>
              <w:jc w:val="center"/>
              <w:ind w:right="120"/>
              <w:spacing w:after="0" w:line="110" w:lineRule="exact"/>
              <w:rPr>
                <w:sz w:val="20"/>
                <w:szCs w:val="20"/>
                <w:color w:val="auto"/>
              </w:rPr>
            </w:pPr>
            <w:r>
              <w:rPr>
                <w:rFonts w:ascii="Arial" w:cs="Arial" w:eastAsia="Arial" w:hAnsi="Arial"/>
                <w:sz w:val="12"/>
                <w:szCs w:val="12"/>
                <w:b w:val="1"/>
                <w:bCs w:val="1"/>
                <w:color w:val="auto"/>
                <w:w w:val="95"/>
              </w:rPr>
              <w:t>Accumulated Other</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53"/>
        </w:trPr>
        <w:tc>
          <w:tcPr>
            <w:tcW w:w="312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Stockholders’</w:t>
            </w:r>
          </w:p>
        </w:tc>
      </w:tr>
      <w:tr>
        <w:trPr>
          <w:trHeight w:val="128"/>
        </w:trPr>
        <w:tc>
          <w:tcPr>
            <w:tcW w:w="3120" w:type="dxa"/>
            <w:vAlign w:val="bottom"/>
          </w:tcPr>
          <w:p>
            <w:pPr>
              <w:spacing w:after="0"/>
              <w:rPr>
                <w:sz w:val="11"/>
                <w:szCs w:val="11"/>
                <w:color w:val="auto"/>
              </w:rPr>
            </w:pPr>
          </w:p>
        </w:tc>
        <w:tc>
          <w:tcPr>
            <w:tcW w:w="78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120" w:type="dxa"/>
            <w:vAlign w:val="bottom"/>
          </w:tcPr>
          <w:p>
            <w:pPr>
              <w:spacing w:after="0"/>
              <w:rPr>
                <w:sz w:val="11"/>
                <w:szCs w:val="11"/>
                <w:color w:val="auto"/>
              </w:rPr>
            </w:pPr>
          </w:p>
        </w:tc>
        <w:tc>
          <w:tcPr>
            <w:tcW w:w="1020" w:type="dxa"/>
            <w:vAlign w:val="bottom"/>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920" w:type="dxa"/>
            <w:vAlign w:val="bottom"/>
          </w:tcPr>
          <w:p>
            <w:pPr>
              <w:jc w:val="right"/>
              <w:ind w:right="257"/>
              <w:spacing w:after="0" w:line="129" w:lineRule="exact"/>
              <w:rPr>
                <w:sz w:val="20"/>
                <w:szCs w:val="20"/>
                <w:color w:val="auto"/>
              </w:rPr>
            </w:pPr>
            <w:r>
              <w:rPr>
                <w:rFonts w:ascii="Arial" w:cs="Arial" w:eastAsia="Arial" w:hAnsi="Arial"/>
                <w:sz w:val="13"/>
                <w:szCs w:val="13"/>
                <w:b w:val="1"/>
                <w:bCs w:val="1"/>
                <w:color w:val="auto"/>
              </w:rPr>
              <w:t>Equity</w:t>
            </w:r>
          </w:p>
        </w:tc>
      </w:tr>
      <w:tr>
        <w:trPr>
          <w:trHeight w:val="128"/>
        </w:trPr>
        <w:tc>
          <w:tcPr>
            <w:tcW w:w="3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2019</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27,499,260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402,529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(81,034)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321,484</w:t>
            </w: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7,911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7,911</w:t>
            </w:r>
          </w:p>
        </w:tc>
      </w:tr>
      <w:tr>
        <w:trPr>
          <w:trHeight w:val="135"/>
        </w:trPr>
        <w:tc>
          <w:tcPr>
            <w:tcW w:w="3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69,542</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w:t>
            </w: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3"/>
                <w:szCs w:val="13"/>
                <w:color w:val="auto"/>
                <w:w w:val="95"/>
              </w:rPr>
              <w:t>Unrealized gain on marketable securities, net of tax $0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817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817</w:t>
            </w:r>
          </w:p>
        </w:tc>
      </w:tr>
      <w:tr>
        <w:trPr>
          <w:trHeight w:val="135"/>
        </w:trPr>
        <w:tc>
          <w:tcPr>
            <w:tcW w:w="3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(36,603)</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(36,603)</w:t>
            </w:r>
          </w:p>
        </w:tc>
      </w:tr>
      <w:tr>
        <w:trPr>
          <w:trHeight w:val="128"/>
        </w:trPr>
        <w:tc>
          <w:tcPr>
            <w:tcW w:w="31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December 31, 2020</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27,568,802</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410,551</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779</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(117,637)</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293,721</w:t>
            </w:r>
          </w:p>
        </w:tc>
      </w:tr>
      <w:tr>
        <w:trPr>
          <w:trHeight w:val="128"/>
        </w:trPr>
        <w:tc>
          <w:tcPr>
            <w:tcW w:w="31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10,288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10,288</w:t>
            </w: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112,195</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208</w:t>
            </w:r>
          </w:p>
        </w:tc>
      </w:tr>
      <w:tr>
        <w:trPr>
          <w:trHeight w:val="135"/>
        </w:trPr>
        <w:tc>
          <w:tcPr>
            <w:tcW w:w="3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6"/>
              </w:rPr>
              <w:t>Unrealized loss on marketable securities, net of tax $0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(1,442)</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(1,442)</w:t>
            </w: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3"/>
                <w:szCs w:val="13"/>
                <w:color w:val="auto"/>
              </w:rPr>
              <w:t>Net loss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(69,389)</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(69,389)</w:t>
            </w:r>
          </w:p>
        </w:tc>
      </w:tr>
      <w:tr>
        <w:trPr>
          <w:trHeight w:val="129"/>
        </w:trPr>
        <w:tc>
          <w:tcPr>
            <w:tcW w:w="31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2021</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27,680,997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421,047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(187,026)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233,386</w:t>
            </w:r>
          </w:p>
        </w:tc>
      </w:tr>
      <w:tr>
        <w:trPr>
          <w:trHeight w:val="20"/>
        </w:trPr>
        <w:tc>
          <w:tcPr>
            <w:tcW w:w="3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w:t>
      </w:r>
    </w:p>
    <w:p>
      <w:pPr>
        <w:ind w:left="7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(69,389)</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Depreciation, amortization and other</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Maturities of marketable securities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195,438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investing activities</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Payments of the term loan</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7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12,376</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Cash paid for income taxes</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4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Public Offerings of Common Stock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the Company closed its initial public offering (“IPO”), in which the Company issued and sold 5,750,000 shares of common stock at a public offering price of $15.00 per share, for net proceeds to the Company of approximately $77.0 million after deducting underwriting discounts and commissions of $6.0 million and offering expenses of $3.4 million.</w:t>
      </w:r>
    </w:p>
    <w:p>
      <w:pPr>
        <w:spacing w:after="0" w:line="187"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In preparation for the IPO, on May 3, 2019, the Company effected a 1-for-8.0338 reverse stock split of its issued and outstanding common stock. The par value and authorized shares of common stock were not adjusted as a result of the reverse stock split. All of the share and per share information presented in the accompanying financial statements has been adjusted to reflect the reverse common stock split on a retroactive basis for all periods and as of all dates presented.</w:t>
      </w:r>
    </w:p>
    <w:p>
      <w:pPr>
        <w:spacing w:after="0" w:line="15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Upon the closing of the IPO, all of the outstanding shares of the Company’s convertible preferred stock automatically converted into 15,560,569 shares of common stock at the applicable conversion ratio then in effect. Subsequent to the closing of the IPO, there were no shares of preferred stock outstanding. Additionally,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6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November 19, 2019, the Company completed an underwritten public offering, in which the Company issued and sold 4,077,192 shares of common stock at a public offering price of $36.75 per share. On December 2, 2019, the underwriters exercised in full their option to purchase an additional 611,578 shares of common stock at the public offering price of $36.75, for total net proceeds to the Company of $160.9 million after deducting underwriting discounts and commissions of $10.3 million and offering expenses of $1.0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has not generated any revenue to date from product sales and does not expect to generate any revenues from product sales in the foreseeable future. Through December 2021, the Company has funded its operations primarily with proceeds from public offerings of its common stock, private placements of its preferred stock and upfront fees received under the Company’s former agreement with Eli Lilly and Company (Note 7). The Company expects to incur additional operating losses and negative operating cash flows for the foreseeable future.</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the issuance date of the financial statements for the year ended December 31, 2021, the Company expects that its cash and cash equivalents will be sufficient to fund its operating expenses and capital expenditure requirements into the first quarter of 2024. The future viability of the Company beyond that date may depend on its ability to raise additional capital to finance its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plans to seek additional funding through public or private equity offerings, debt financings, marketing and distribution arrangements, other collaborations, strategic alliances, licensing arrangements or other methods.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management continues to pursue these funding plans, there is no assurance that the Company will be successful in obtaining sufficient funding on terms acceptable to the Company, if at all, to fund continuing operations past two years from the issuance date of these financial statements.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5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Company is subject to risks common to early-stage companies in the biotechnology industry including, but not limited to: having a limited operating history and no products approved for commercial sale; having a history of significant losses; its need to obtain additional financing; dependence on its ability to advance its current and future product candidates through clinical trials, marketing approval and commercialization; the unproven approach to the discovery and development of product candidates based on the Company’s FIND-IO platform; the lengthy and expensive nature and uncertain outcomes of the clinical development process; the lengthy, time-consuming and unpredictable nature of the regulatory approval process; the results of preclinical studies and early-stage clinical trials that may not be predictive of future results; dependence on its key personnel; its limited manufacturing experience as an organization and with its manufacturing facility; risks related to patent protection and the Company’s pending patent applications; dependence on third-party collaborators for the discovery, development and commercialization of current and future product candidates; and significant competition from other biotechnology and pharmaceutical companies. Pursuit of the Company’s business efforts will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impact of the COVID-19 pandemic (including the impact of emerging variant strains of the COVID-19 virus) on the Company’s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has placed significant strain on the Company’s clinical trial sites, has raised concerns around monitoring patient safety, and has caused enrollment to slow in the Company’s clinical trials. Any rise of COVID-19 infection rates, especially in the United States, could continue to negatively affect enrollment going forward. The Company continues to closely monitor the COVID-19 situation and any potential impact to the Company’s planned activities.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chief operating decision maker views the operations and manage the business in one operating segment that operates exclusively in the United States.</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accompanying financial statements include the accounts of the Company. The Company’s financial statements have been prepared in accordance with United States generally accepted accounting principles (‘‘GAAP’’). Any reference in these notes to applicable guidance is meant to refer to the authoritative GAAP as found in the Accounting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Standards Codification (‘‘ASC’’) and Accounting Standards Update (‘‘ASU’’) of the Financial Accounting Standards Board (‘‘FASB’’).</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financial statements and accompanying notes. These estimates and assumptions affect the reported amounts of assets and liabilities, the disclosure of contingent assets and liabilities at the date of the financial statements and the reported amounts of revenues and expenses for the period presented. Although actual results could differ from those estimates, management does not believe that such differences would be material.</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The Company deposits its cash primarily in checking, sweep account and money market accounts. Cash equivalents are stated at amortized cost, plus accrued interest, which approximates fair value.</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August 2021, the Company fully paid the remaining principal balance of $2.4 million of its $5.0 million term loan (the “Term Loan”). As a result of this payment, the Company has no restricted cash held in support of the Term Loan. The required Term Loan reserve totaled $0 and $3.5 million as of December 31, 2021 and 2020, respectively. These amounts are presented in part as restricted cash and in part as other assets on the accompanying balance sheets.</w:t>
      </w:r>
    </w:p>
    <w:p>
      <w:pPr>
        <w:spacing w:after="0" w:line="11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statement of cash flows: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w w:val="99"/>
              </w:rPr>
              <w:t>Restricted cash (including $0 and $1,806 in other assets as of</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December 31, 2021 and 2020, respectively)</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Marketable securities primarily consist of government debt securities, corporate bonds and agency bonds. These marketable securities are classified as available-for-sale, and as such, are carried at fair value as determined by prices for identical or similar securities at the balance sheet date. Marketable securities consist of Level 2 financial instruments in the fair-value hierarchy. The Company’s policy is to classify all investments with contractual maturities within one year as current. At each reporting date, the Company evaluates the classification of its investments with maturities beyond one year based on the nature of the investment securities and whether the investments are considered available for use in current operations. Investment income is recognized when earned and reported net of investment expenses. Unrealized holding gains and losses are reported within accumulated other comprehensive income (loss) as a separate component of stockholders’ equity. The amortized cost of debt securities is adjusted for amortization of premiums and accretion of discounts to maturity. Such amortization and interest on securities are included in other income, net, on the Company’s statements of operations.</w:t>
      </w:r>
    </w:p>
    <w:p>
      <w:pPr>
        <w:spacing w:after="0" w:line="18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At each balance sheet date, the Company assesses available-for-sale securities in an unrealized loss position to determine whether the unrealized loss is other-than-temporary. If a decline in the fair value of a marketable security below the Company’s cost basis is determined to be other-than-temporary, such marketable security is written down to its estimated fair value as a new cost basis and the amount of the write-down is included in earnings as an impairment charge. The Company considers factors including the significance of the decline in value compared to the cost basis, underlying factors contributing to a decline in the prices of securities in a single asset class, the length of time the market value of the security has been less than its cost basis, the security's relative performance versus its peers, sector or asset class, expected market volatility and the market and economy in general. The Company also evaluates whether it is more likely than not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that it will be required to sell a security prior to recovery of its fair value. The cost of securities sold is based on the specific identification method.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Financial instruments that potentially expose the Company to concentrations of credit risk primarily consist of cash and cash equivalents. The Company maintains its cash and cash equivalents at one accredited financial institution that is federally insured. While balances deposited often exceed federally insured limits, the Company does not believe that it is subject to unusual credit risk beyond the normal credit risk associated with commercial banking relationships. The Company's investment policy limits investments to certain types of debt securities issued by the U.S. government, its agencies and institutions with investment-grade credit ratings and places restrictions on maturities and concentration by type and issuer. The counterparties are various corporations, financial institutions and government agencies of high credit standing.</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 Use of these inputs involves significant and subjective judgments to be made by a reporting entity – e.g., determining an appropriate adjustment to a discount factor for illiquidity associated with a given security.</w:t>
      </w:r>
    </w:p>
    <w:p>
      <w:pPr>
        <w:spacing w:after="0" w:line="18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Property and equipment are valued at cost less accumulated depreciation. Depreciation is recognized on a straight-line basis over the estimated useful lives of the related assets. Leasehold improvements are amortized on a straight-line basis over the shorter of the useful life or term of the lease. Upon retirement or disposal, the cost and related accumulated depreciation are removed from the balance sheet and the resulting gain or loss is recorded to general and administrative expenses in the accompanying statement of operations and comprehensive loss. Routine expenditures for maintenance and repairs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Estimated useful lives for property and equipment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4020" w:type="dxa"/>
            <w:vAlign w:val="bottom"/>
            <w:tcBorders>
              <w:bottom w:val="single" w:sz="8" w:color="auto"/>
            </w:tcBorders>
          </w:tcPr>
          <w:p>
            <w:pPr>
              <w:jc w:val="right"/>
              <w:ind w:right="1254"/>
              <w:spacing w:after="0"/>
              <w:rPr>
                <w:sz w:val="20"/>
                <w:szCs w:val="20"/>
                <w:color w:val="auto"/>
              </w:rPr>
            </w:pPr>
            <w:r>
              <w:rPr>
                <w:rFonts w:ascii="Arial" w:cs="Arial" w:eastAsia="Arial" w:hAnsi="Arial"/>
                <w:sz w:val="14"/>
                <w:szCs w:val="14"/>
                <w:b w:val="1"/>
                <w:bCs w:val="1"/>
                <w:color w:val="auto"/>
              </w:rPr>
              <w:t>Estimated Useful Life</w:t>
            </w: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peripherals</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Equipment</w:t>
            </w:r>
          </w:p>
        </w:tc>
        <w:tc>
          <w:tcPr>
            <w:tcW w:w="40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20" w:type="dxa"/>
            <w:vAlign w:val="bottom"/>
          </w:tcPr>
          <w:p>
            <w:pPr>
              <w:jc w:val="right"/>
              <w:spacing w:after="0"/>
              <w:rPr>
                <w:sz w:val="20"/>
                <w:szCs w:val="20"/>
                <w:color w:val="auto"/>
              </w:rPr>
            </w:pPr>
            <w:r>
              <w:rPr>
                <w:rFonts w:ascii="Arial" w:cs="Arial" w:eastAsia="Arial" w:hAnsi="Arial"/>
                <w:sz w:val="18"/>
                <w:szCs w:val="18"/>
                <w:color w:val="auto"/>
                <w:w w:val="91"/>
              </w:rPr>
              <w:t>Lesser of estimated useful life or remaining lease term</w:t>
            </w:r>
          </w:p>
        </w:tc>
      </w:tr>
    </w:tbl>
    <w:p>
      <w:pPr>
        <w:spacing w:after="0" w:line="5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Company reviews long-lived assets, which primarily consist of property and equipment, for impairment whenever events or changes in circumstances indicate that the carrying amount of an asset or group of assets may not be fully recoverable based on the criteria for accounting for the impairment or disposal of long-lived assets under ASC Topic 360, Property, Plant and Equipment. These events or changes in circumstances may include a significant deterioration of operating results, changes in business plans, or changes in anticipated future cash flows. If an impairment indicator is present, the Company evaluates recoverability by comparing the carrying amount of the assets group to future undiscounted net cash flows expected to be generated by the assets group. Assets are grouped at the lowest level for which there is identifiable cash flows that are largely independent of the cash flows generated by other asset groups. If the total of the expected undiscounted future cash flows is less than the carrying amount of the asset, an impairment loss is recognized for the difference between the fair value and carrying value of assets within the group. Fair value is generally determined by estimates of discounted cash flows. The discount rate used in any estimate of discounted cash flows would be the rate required for a similar investment of like risk. No impairment losses were recognized during the years ended December 31, 2021 or 2020.</w:t>
      </w:r>
    </w:p>
    <w:p>
      <w:pPr>
        <w:spacing w:after="0" w:line="18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Construction in progress (Note 5) is carried at cost and consists of specifically identifiable direct and indirect development and construction costs. While under construction, costs of the property are included in construction in progress until the property is placed in service, at which time costs are transferred to the appropriate property and equipment account including, but not limited to, leasehold improvements or other such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enters into lease agreements for its office and laboratory facilities and accounts for them in accordance with ASC Topic 840, Leases. These leases are classified as operating leases. Rent expense is recognized on a straight-line basis over the term of the lease and, accordingly, the Company records the difference between cash rent payments and the recognition of rent expense as a deferred rent liability. Incentives granted under the Company’s facilities leases, including allowances to fund leasehold improvements, are deferred and are recognized as adjustments to rental expense on a straight-line basis over the term of the lease.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have any outstanding preferred stock as of December 31, 2021 and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 Including Clinical Trial Accruals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Research costs consist of employee-related costs, contractor expenses, laboratory supplies and facility costs, for research and development of product candidates are expensed as incurred. Development costs, including clinical trial-related expenses, incurred by third parties, such as clinical research organizations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the Company analyzes progress of the studies, including the phase or completion of events, invoices received and contracted costs.</w:t>
      </w:r>
    </w:p>
    <w:p>
      <w:pPr>
        <w:spacing w:after="0" w:line="17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Clinical trial expenses are a significant component of research and development expenses, and the Company outsources a significant portion of these costs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from the pattern of costs incurred, and are reflected on the balance sheets as a prepaid asset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statement of operations and comprehensive loss.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 xml:space="preserve">The Company accounts for its stock-based compensation in accordance with ASC Topic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(“ASC 718”). ASC 718 requires all share-based payments to employees, consultants and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grants of incentive stock options, nonqualified stock options, restricted stock awards, unrestricted stock awards or restricted stock units to employees, consultants and directors of the Company,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and the fair value of common stock to determine the fair value of restricted stock.</w:t>
      </w:r>
    </w:p>
    <w:p>
      <w:pPr>
        <w:spacing w:after="0" w:line="16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simplified method also as the basis for the expected term assumption. The risk-free interest rate is based on a treasury instrument whose term is consistent with the expected term of the stock options. The expected dividend yield is assumed to be zero because the Company has never paid dividends and has no current plans to pay any dividends on its common stock. The Company recognizes forfeitures as they occur as allowed by ASU No. 2016-09, </w:t>
      </w:r>
      <w:r>
        <w:rPr>
          <w:rFonts w:ascii="Arial" w:cs="Arial" w:eastAsia="Arial" w:hAnsi="Arial"/>
          <w:sz w:val="16"/>
          <w:szCs w:val="16"/>
          <w:i w:val="1"/>
          <w:iCs w:val="1"/>
          <w:color w:val="auto"/>
        </w:rPr>
        <w:t>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 Share-Based Payment Accounting </w:t>
      </w:r>
      <w:r>
        <w:rPr>
          <w:rFonts w:ascii="Arial" w:cs="Arial" w:eastAsia="Arial" w:hAnsi="Arial"/>
          <w:sz w:val="16"/>
          <w:szCs w:val="16"/>
          <w:color w:val="auto"/>
        </w:rPr>
        <w:t>(“ASU 2016-09”).</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stock, the superior rights and preferences of securities senior to its common stock at the time of a liquidity event, such as the IPO or a sale, and the likelihood of such an event.</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expenses the fair value of its share-based compensation awards on a straight-line basis over the requisite service period, which is generally the vesting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Company uses the asset and liability method of accounting for income taxes. Deferred tax assets and liabilities are recognized for the estimated future tax consequences attributable to temporary differences between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financial statement carrying amounts of existing assets and liabilities and their respective tax base. Deferred tax assets and liabilities, which relate primarily to the carrying amount of the Company’s its net operating loss carryforwards,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when necessary to reduce deferred tax assets where, based upon the available evidence, the Company concludes that it is more-likely-than-not that the deferred tax assets will not be realized. In evaluating its ability to recover deferred tax assets, the Company considers all available positive and negative evidence, including its operating results, ongoing tax planning and forecasts of future taxable income on a jurisdiction-by-jurisdiction basis. Because of the uncertainty of the realization of deferred tax assets, the Company has recorded a full valuation allowance against its deferred tax assets as of December 31, 2021 and 2020.</w:t>
      </w:r>
    </w:p>
    <w:p>
      <w:pPr>
        <w:spacing w:after="0" w:line="16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Reserves are provided for tax benefits for which realization is uncertain. Such benefits are only recognized when the underlying tax position is considered more-likely-than-not to be sustained on examination by a taxing authority, assuming they possess full knowledge of the position and facts. Interest and penalties related to uncertain tax positions are recognized in the provision of income taxes; however, the Company currently has no interest or penalties related to uncertain income tax benefits.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accounts for revenue in accordance with ASC Topic 606, Revenue from Contracts with Customers (“ASC 606”). Under ASC 606, an entity recognizes revenue when its customer obtains control of promised goods or services in an amount that reflects the consideration that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Company will collect consideration to which it is entitled in exchange for the goods or services it transfers to the customer.</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evaluates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to or dependent on other goods or services in the contract.</w:t>
      </w:r>
    </w:p>
    <w:p>
      <w:pPr>
        <w:spacing w:after="0" w:line="1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goods or services promised in the contract. Consideration generally may include fixed consideration or variable consideration. Should an arrangement include variable consideration, the Company will evaluate the amount of potential payments and the likelihood that the payments will be received. The Company will utilize either the most likely amount method or expected amount method to estimate the amount expected to be received based on which method best predicts the amount expected to be received. The amount of variable consideration that is included in the transaction price may be constrained and will be included in the transaction price only to the extent that it is probable that a significant reversal in the amount of the cumulative revenue recognized will not occur in a future period.</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contracts may include development and regulatory milestone payments, which would be assessed under the most likely amount method and constrained if it is probable that a significant revenue reversal would occur. Milestone payments that are not within the Company’s control or the licensee’s control, such as regulatory approvals, will not be considered probable of being achieved until those approvals are received. At the end of each reporting period,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Company re-evaluates the probability of achievement of such development milestones and any related constraint, and if necessary, adjusts its estimate of the overall transaction price. Any such adjustments would be recorded on a cumulative catch-up basis, which would affect collaboration revenues in the period of adjustment.</w:t>
      </w:r>
    </w:p>
    <w:p>
      <w:pPr>
        <w:spacing w:after="0" w:line="1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and (ii) when the performance obligation to which some or all of the royalty has been allocated has been satisfied (or partially satisfied).</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may reference comparable transactions, clinical trial success probabilities and estimates of option exercise likelihood. Variable consideration will be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balance sheets. Amounts not expected to be recognized as revenue within the 12 months following the balance sheet date are classified as deferred revenue, net of current portion. Amounts are recorded as accounts receivable when the Company’s right to consideration is unconditional.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entirely of unrealized gains and losses on available-for-sale marketable securities at December 31, 2021 and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Basic loss per common share is determined by dividing loss attributable to common stockholders by the weighted-average number of common shares outstanding during the period, without consideration of common stock equivalents. Diluted loss per share is computed by dividing the loss attributable to common stockholders by the weighted-average number of common share equivalents outstanding for the period. The treasury stock method is used to determine the dilutive effect of the Company's stock option grants.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which is generally consistent with required adoption dates of private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In February 2016, the Financial Accounting Standards Board (“FASB”) issued ASU 2016-02 (Topic 842), Leases (“ASC 842”). ASC 842 supersedes the lease recognition requirements in ASC 840, Leases. ASC 842 clarifies the definition of a lease and requires lessees to recognize right-of-use assets and lease liabilities for all leases, including those classified as operating leases under previous lease accounting guidance. For public entities, ASC 842 was effective for fiscal years beginning after December 15, 2018, including interim periods within that year. As a result of the Company having elected the extended transition period for complying with new or revised accounting standards pursuant to Section 107(b) of the JOBS Act, ASC 842 will be effective for the Company on January 1, 2022. Originally, entities were required to adopt ASC 842 using a modified retrospective transition method. However, in July 2018, the FASB issued ASU 2018-11 (Topic 842), Leases: Targeted Improvements, which provides entities with an additional transition method. Under ASU 2018-11, entities have the option of initially applying ASC 842 at the adoption date, rather than at the beginning of the earliest period presented and recognizing the cumulative effect of applying the new standard as an adjustment to beginning retained earnings in the year of adoption while continuing to present all prior periods under previous lease accounting guidance. Based on its current lease portfolio, the Company estimates the adoption of ASC842, using the transition method, will result in approximately $5.8 million of right-of-use assets and $7.2 million of lease liabilities for operating leases being reflected on its balance sheet as of January 1, 2022. The difference between these amounts will be comprised of adjustments related to unamortized balances of deferred rent, lease incentives, and prepaid rent existing as of the effective date. The adoption of the standard is not expected to have a material impact on its statements of operations and comprehensive loss.</w:t>
      </w:r>
    </w:p>
    <w:p>
      <w:pPr>
        <w:spacing w:after="0" w:line="19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The Company adopted this standard early, effective January 1, 2021. The adoption of this standard did not have a material impact on the Company’s financial statements.</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Marketable securities consist of the following:</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207,254</w:t>
            </w:r>
          </w:p>
        </w:tc>
        <w:tc>
          <w:tcPr>
            <w:tcW w:w="0" w:type="dxa"/>
            <w:vAlign w:val="bottom"/>
          </w:tcPr>
          <w:p>
            <w:pPr>
              <w:spacing w:after="0"/>
              <w:rPr>
                <w:sz w:val="1"/>
                <w:szCs w:val="1"/>
                <w:color w:val="auto"/>
              </w:rPr>
            </w:pPr>
          </w:p>
        </w:tc>
      </w:tr>
      <w:tr>
        <w:trPr>
          <w:trHeight w:val="210"/>
        </w:trPr>
        <w:tc>
          <w:tcPr>
            <w:tcW w:w="4500" w:type="dxa"/>
            <w:vAlign w:val="bottom"/>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207,254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243,679</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250,676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of December 31, 2021, no marketable securities are considered to be other-than-temporarily impaired. The Company uses the specific identification method when calculating realized gains and losses. For the years ended December 31, 2021 and 2020, respectively, the Company recorded $57 thousand and $70 thousand in realized gains on available-for-sale securities, which is included in other income on the statements of operations and comprehensive loss.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maturities of the Company’s investments available-for-sale as of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97"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118"/>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19"/>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78"/>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3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Maturities:</w:t>
            </w: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Within 1 year</w:t>
            </w:r>
          </w:p>
        </w:tc>
        <w:tc>
          <w:tcPr>
            <w:tcW w:w="1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104,959</w:t>
            </w:r>
          </w:p>
        </w:tc>
        <w:tc>
          <w:tcPr>
            <w:tcW w:w="180" w:type="dxa"/>
            <w:vAlign w:val="bottom"/>
          </w:tcPr>
          <w:p>
            <w:pPr>
              <w:spacing w:after="0"/>
              <w:rPr>
                <w:sz w:val="18"/>
                <w:szCs w:val="18"/>
                <w:color w:val="auto"/>
              </w:rPr>
            </w:pPr>
          </w:p>
        </w:tc>
        <w:tc>
          <w:tcPr>
            <w:tcW w:w="240" w:type="dxa"/>
            <w:vAlign w:val="bottom"/>
            <w:gridSpan w:val="2"/>
          </w:tcPr>
          <w:p>
            <w:pPr>
              <w:jc w:val="center"/>
              <w:ind w:right="8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Between 1 to 2 years</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102,479</w:t>
            </w: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Total investments available for sale</w:t>
            </w:r>
          </w:p>
        </w:tc>
        <w:tc>
          <w:tcPr>
            <w:tcW w:w="11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has classified all of its investments available-for-sale, including those with maturities beyond one year, as current assets on the accompanying balance sheets based on the highly liquid nature of these investment securities and because these investment securities are considered available for use in current operations.</w:t>
      </w: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December 31, 2021 and 2020:</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76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4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2,680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bonds</w:t>
            </w:r>
          </w:p>
        </w:tc>
        <w:tc>
          <w:tcPr>
            <w:tcW w:w="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207,254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207,254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209,934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207,254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0"/>
                <w:szCs w:val="10"/>
                <w:color w:val="auto"/>
              </w:rPr>
            </w:pPr>
          </w:p>
        </w:tc>
        <w:tc>
          <w:tcPr>
            <w:tcW w:w="9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11,155</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243,679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243,679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261,831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250,676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years ended December 31, 2021 and 2020.</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carrying value of financial instruments, including trade receivables, accounts payable and accrued liabilities approximate fair value because of the short-term maturity of these items. The estimated fair values may not represent actual values of the financial instruments that could be realized as of the balance sheet date or that will be realized in the future.</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37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3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equipment</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8,391</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09"/>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Property and equipment, gross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24,369</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r>
      <w:tr>
        <w:trPr>
          <w:trHeight w:val="210"/>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15,809</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Construction in progress at December 31, 2021 and 2020 consists of the costs incurred for research equipment and for the build-out of additional lab and office space.</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Depreciation and amortization expense was $4.3 million and $3.4 million for the years ended December 31, 2021 and 2020, respectively.</w: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Accrued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 of the following:</w:t>
      </w:r>
    </w:p>
    <w:p>
      <w:pPr>
        <w:spacing w:after="0" w:line="9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62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Payroll and related benefits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Clinical trial costs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Sponsored research</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accrued liabilities</w:t>
            </w:r>
          </w:p>
        </w:tc>
        <w:tc>
          <w:tcPr>
            <w:tcW w:w="1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Former Agreement with Eli Lilly and Company</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On November 2, 2018, the Company entered into a multi-year research and development collaboration agreement (the “Lilly Agreement”) with Eli Lilly and Company (“Lilly”), pursuant to which the Company agreed to use its proprietary FIND-IO platform to identify novel oncology targets for additional collaborative research and drug discovery by the Company and Lilly. Effective March 3, 2020, Lilly, terminated the Lilly Agreement without cause.</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recognized revenue under the Lilly Agreement of $0 and $22.4 million for the years ended December 31, 2021 and December 31, 2020, respectively. Effective with the termination of the agreement, no further quarterly research and development support payments are payable to the Company.</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leases primarily comprise real estate for office and manufacturing space.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December 31, 2021, the Company’s minimum obligations under non-cancelable operating leases are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0" w:lineRule="exact"/>
        <w:rPr>
          <w:sz w:val="20"/>
          <w:szCs w:val="20"/>
          <w:color w:val="auto"/>
        </w:rPr>
      </w:pPr>
    </w:p>
    <w:p>
      <w:pPr>
        <w:spacing w:after="0" w:line="236" w:lineRule="exact"/>
        <w:rPr>
          <w:sz w:val="20"/>
          <w:szCs w:val="20"/>
          <w:color w:val="auto"/>
        </w:rPr>
      </w:pPr>
    </w:p>
    <w:p>
      <w:pPr>
        <w:ind w:left="9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3810</wp:posOffset>
            </wp:positionV>
            <wp:extent cx="451739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1739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Year Ending December 31,</w:t>
      </w:r>
    </w:p>
    <w:p>
      <w:pPr>
        <w:spacing w:after="0" w:line="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340" w:type="dxa"/>
            <w:vAlign w:val="bottom"/>
            <w:gridSpan w:val="2"/>
          </w:tcPr>
          <w:p>
            <w:pPr>
              <w:jc w:val="right"/>
              <w:ind w:right="3890"/>
              <w:spacing w:after="0"/>
              <w:rPr>
                <w:sz w:val="20"/>
                <w:szCs w:val="20"/>
                <w:color w:val="auto"/>
              </w:rPr>
            </w:pPr>
            <w:r>
              <w:rPr>
                <w:rFonts w:ascii="Arial" w:cs="Arial" w:eastAsia="Arial" w:hAnsi="Arial"/>
                <w:sz w:val="18"/>
                <w:szCs w:val="18"/>
                <w:color w:val="auto"/>
                <w:w w:val="84"/>
              </w:rPr>
              <w:t>2022</w:t>
            </w:r>
          </w:p>
        </w:tc>
        <w:tc>
          <w:tcPr>
            <w:tcW w:w="21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1,172</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right"/>
              <w:ind w:right="3890"/>
              <w:spacing w:after="0"/>
              <w:rPr>
                <w:sz w:val="20"/>
                <w:szCs w:val="20"/>
                <w:color w:val="auto"/>
              </w:rPr>
            </w:pPr>
            <w:r>
              <w:rPr>
                <w:rFonts w:ascii="Arial" w:cs="Arial" w:eastAsia="Arial" w:hAnsi="Arial"/>
                <w:sz w:val="18"/>
                <w:szCs w:val="18"/>
                <w:color w:val="auto"/>
                <w:w w:val="79"/>
              </w:rPr>
              <w:t>2023</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16"/>
        </w:trPr>
        <w:tc>
          <w:tcPr>
            <w:tcW w:w="20" w:type="dxa"/>
            <w:vAlign w:val="bottom"/>
          </w:tcPr>
          <w:p>
            <w:pPr>
              <w:spacing w:after="0"/>
              <w:rPr>
                <w:sz w:val="18"/>
                <w:szCs w:val="18"/>
                <w:color w:val="auto"/>
              </w:rPr>
            </w:pPr>
          </w:p>
        </w:tc>
        <w:tc>
          <w:tcPr>
            <w:tcW w:w="4320" w:type="dxa"/>
            <w:vAlign w:val="bottom"/>
          </w:tcPr>
          <w:p>
            <w:pPr>
              <w:jc w:val="right"/>
              <w:ind w:right="3890"/>
              <w:spacing w:after="0"/>
              <w:rPr>
                <w:sz w:val="20"/>
                <w:szCs w:val="20"/>
                <w:color w:val="auto"/>
              </w:rPr>
            </w:pPr>
            <w:r>
              <w:rPr>
                <w:rFonts w:ascii="Arial" w:cs="Arial" w:eastAsia="Arial" w:hAnsi="Arial"/>
                <w:sz w:val="18"/>
                <w:szCs w:val="18"/>
                <w:color w:val="auto"/>
                <w:w w:val="79"/>
              </w:rPr>
              <w:t>2024</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jc w:val="right"/>
              <w:ind w:right="3890"/>
              <w:spacing w:after="0"/>
              <w:rPr>
                <w:sz w:val="20"/>
                <w:szCs w:val="20"/>
                <w:color w:val="auto"/>
              </w:rPr>
            </w:pPr>
            <w:r>
              <w:rPr>
                <w:rFonts w:ascii="Arial" w:cs="Arial" w:eastAsia="Arial" w:hAnsi="Arial"/>
                <w:sz w:val="18"/>
                <w:szCs w:val="18"/>
                <w:color w:val="auto"/>
                <w:w w:val="79"/>
              </w:rPr>
              <w:t>2025</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jc w:val="right"/>
              <w:ind w:right="3490"/>
              <w:spacing w:after="0"/>
              <w:rPr>
                <w:sz w:val="20"/>
                <w:szCs w:val="20"/>
                <w:color w:val="auto"/>
              </w:rPr>
            </w:pPr>
            <w:r>
              <w:rPr>
                <w:rFonts w:ascii="Arial" w:cs="Arial" w:eastAsia="Arial" w:hAnsi="Arial"/>
                <w:sz w:val="18"/>
                <w:szCs w:val="18"/>
                <w:color w:val="auto"/>
                <w:w w:val="86"/>
              </w:rPr>
              <w:t>Thereafter</w:t>
            </w:r>
          </w:p>
        </w:tc>
        <w:tc>
          <w:tcPr>
            <w:tcW w:w="1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6,537</w:t>
            </w: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jc w:val="right"/>
              <w:ind w:right="1810"/>
              <w:spacing w:after="0"/>
              <w:rPr>
                <w:sz w:val="20"/>
                <w:szCs w:val="20"/>
                <w:color w:val="auto"/>
              </w:rPr>
            </w:pPr>
            <w:r>
              <w:rPr>
                <w:rFonts w:ascii="Arial" w:cs="Arial" w:eastAsia="Arial" w:hAnsi="Arial"/>
                <w:sz w:val="18"/>
                <w:szCs w:val="18"/>
                <w:color w:val="auto"/>
                <w:w w:val="95"/>
              </w:rPr>
              <w:t>Total future minimum payments</w:t>
            </w:r>
          </w:p>
        </w:tc>
        <w:tc>
          <w:tcPr>
            <w:tcW w:w="1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Rent expense incurred under operating leases was $1 million and $0.9 million for the years ended December 31,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 from time to time, is a party to litigation or legal proceedings arising in the ordinary course of business. The Company is not a party to any litigation or legal proceedings, nor is management aware of any pending or threatened litigation that, in the opinion of the Company’s management, are likely to have a material adverse effect on the Company’s business.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(the “Exchange Act”), and the Securities Act of 1933, as amended, with respect to statements made regarding our lead product candidate, NC318, and the FIND-IO platform. The complaint seeks unspecified damages on behalf of a purported class of purchasers of our securities between May 8, 2019 and July 14, 2020. Defendants filed a motion to dismiss the consolidated amended complaint on April 27, 2021, and discovery is stayed pending resolution of that motion.</w:t>
      </w:r>
    </w:p>
    <w:p>
      <w:pPr>
        <w:spacing w:after="0" w:line="194"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On March 24, 2021, a purported shareholder derivative lawsuit was filed in the U.S. District Court for the District of Maryland, Southern Division, styled Zach Liu v. Richman et. al., Case:21-cv-00754, alleging breaches of fiduciary duty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On May 17, 2021, the Court granted the parties’ joint motion to stay the derivative lawsuit pending resolution of the Ye Zhou action’s motion to dismiss.</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On December 14, 2021, a purported misappropriation of certain trade secrets lawsuit was filed in Federal District Court for the District of Delaware, styled Immunaccel, LLC v. NextCure, Inc., Case No. 1:21-cv-01755-UNA. The lawsuit alleges that the Company misappropriated certain trade secrets belonging to Immunaccel related to a drug discovery and screening platform named IMMUNE 3D. The complaint alleges two causes of action, one under the Delaware Uniform Trade Secrets Act and another under the Federal Defend Trade Secrets Act, and seeks unspecified monetary damages, a permanent injunction and other miscellaneous relief.</w:t>
      </w:r>
    </w:p>
    <w:p>
      <w:pPr>
        <w:spacing w:after="0" w:line="1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intends to vigorously defend the Ye Zhou, Liu and Immunaccel actions. Based on the Company’s assessment of the facts underlying these claims, the uncertainty of litigation, and the preliminary stage of these cases, the Company cannot estimate the reasonably possible loss or range of loss that may result from these actions.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Term Loan</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April 2016, we entered into a $1.0 million term loan, or the “Term Loan”. In January 2019, we amended the Term Loan to increase our borrowing capacity to $5.0 million, which amount remains secured by our certificates of deposit, money market account, investment property and deposit or investment accounts. In August 2021, we fully paid the remaining principal on the Term Loan, and there are no outstanding payments due from us.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December 31, 2021, the Company’s certificate of incorporation, as amended and restated, authorized the Company to issue 10,000,000 shares of $0.001 par value preferred stock, and there were no shares of preferred stock issued or outstanding. The Company can fix the price, rights, preferences, privileges and restrictions of the preferred stock without any further vote or action by its stockholders.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December 31, 2021, the Company’s Certificate of Incorporation, as amended and restated, authorized the Company to issue 100,000,000 shares of $0.001 par value common stock, of which 27,680,997 were issued and outstanding.</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any preferred stock. No dividends have been declared or paid by the Company through December 31, 2021.</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event of any liquidation or dissolution of the Company, the holders of common stock are entitled to the remaining assets of the Company legally available for distribution after the payment of the full liquidation preference for any preferred stock.</w:t>
      </w: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 The 2015 Plan is administered by the board of directors or, at the discretion of the board of directors, by a committee of the board of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7"/>
          <w:szCs w:val="17"/>
          <w:color w:val="auto"/>
        </w:rPr>
        <w:t>On May 3, 2019, the Company’s stockholders approved the NextCure, Inc. 2019 Omnibus Incentive Plan (as amended, the “2019 Plan”), which became effective on May 8, 2019, the date on which the Company’s Registration Statement on Form S-1 (Reg. No. 333-230837)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 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will automatically increase each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during the term of the 2019 Plan by 4% of the number of shares of the Company’s common stock outstanding on December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the preceding calendar year or such lesser number of shares determined by the Board.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2021, 2,313,433 shares were reserved for future issuance under the 2019 Plan.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10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520" w:type="dxa"/>
            <w:vAlign w:val="bottom"/>
            <w:tcBorders>
              <w:bottom w:val="single" w:sz="8" w:color="auto"/>
            </w:tcBorders>
            <w:gridSpan w:val="9"/>
          </w:tcPr>
          <w:p>
            <w:pPr>
              <w:jc w:val="right"/>
              <w:ind w:right="535"/>
              <w:spacing w:after="0"/>
              <w:rPr>
                <w:sz w:val="20"/>
                <w:szCs w:val="20"/>
                <w:color w:val="auto"/>
              </w:rPr>
            </w:pPr>
            <w:r>
              <w:rPr>
                <w:rFonts w:ascii="Arial" w:cs="Arial" w:eastAsia="Arial" w:hAnsi="Arial"/>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6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4"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gridSpan w:val="2"/>
          </w:tcPr>
          <w:p>
            <w:pPr>
              <w:jc w:val="center"/>
              <w:ind w:left="35"/>
              <w:spacing w:after="0" w:line="153"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53"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2,170,212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1,115,720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37.08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Forfeitures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(104,014)</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25.23</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3,112,376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2,020,718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10.89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Pr>
          <w:p>
            <w:pPr>
              <w:jc w:val="right"/>
              <w:spacing w:after="0"/>
              <w:rPr>
                <w:sz w:val="20"/>
                <w:szCs w:val="20"/>
                <w:color w:val="auto"/>
              </w:rPr>
            </w:pPr>
            <w:r>
              <w:rPr>
                <w:rFonts w:ascii="Arial" w:cs="Arial" w:eastAsia="Arial" w:hAnsi="Arial"/>
                <w:sz w:val="18"/>
                <w:szCs w:val="18"/>
                <w:color w:val="auto"/>
              </w:rPr>
              <w:t>(481,569)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21.33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4,545,794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14.15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2021</w:t>
            </w: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12.82</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7.0</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1,915,494</w:t>
            </w:r>
          </w:p>
        </w:tc>
        <w:tc>
          <w:tcPr>
            <w:tcW w:w="24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20" w:right="79" w:hanging="319"/>
        <w:spacing w:after="0" w:line="342" w:lineRule="auto"/>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aggregate intrinsic value is calculated as the difference between the exercise price of the underlying options and the fair value of the common stock for the options that were in the money at December 31, 2021 and 2020.</w:t>
      </w:r>
    </w:p>
    <w:p>
      <w:pPr>
        <w:spacing w:after="0" w:line="124"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weighted average grant date fair value per share of stock options granted during the years ended December 31, 2021 and 2020 was $7.47 and $23.25, respectively. The aggregate intrinsic value of stock options exercised during the years ended December 31, 2021 and 2020 was $469,000 and $633,000, respectively.</w:t>
      </w:r>
    </w:p>
    <w:p>
      <w:pPr>
        <w:spacing w:after="0" w:line="16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aggregate grant date fair value of stock options and restricted stock vested during the year ended December 31, 2021 and 2020 was approximately $13,398,000 and $2,389,000, respectively.</w:t>
      </w:r>
    </w:p>
    <w:p>
      <w:pPr>
        <w:spacing w:after="0" w:line="17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On May 3, 2019, the Company’s stockholders approved the NextCure, Inc. 2019 Employee Stock Purchase Plan (the “ESPP”), which became effective on the Effective Date. The ESPP is intended to qualify as an “employee stock purchase plan” within the meaning of Section 423(b) of the Internal Revenue Code. A total of 240,000 shares of common stock were reserved for issuance under this plan. In addition, the number of shares of common stock that may be issued under the ESPP will automatically increase each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until expiration of the ESPP, in an amount equal to the lesser of (i) 1% of the number of shares of the Company’s common stock outstanding on December 31st of the preceding calendar year, (ii) 480,000 shares of common stock and (iii) a number of shares of common stock determined by the administrator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 the ESPP. As of December 31, 2021, 6,464 shares of common stock had been issued pursuant to the ESPP and 784,216 shares were reserved for future issuance thereunder.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recorded stock-based compensation expense of $10.3 million and $7.9 million during the years ended December 31, 2021 and 2020, respectively. As of December 31, 2021, there was $23.3 million of unrecognized compensation cost related to unvested stock-based compensation arrangements granted under the Plans. This remaining compensation expense is expected to be recognized over a weighted-average period of three years as of December 31, 2021.</w:t>
      </w:r>
    </w:p>
    <w:p>
      <w:pPr>
        <w:spacing w:after="0" w:line="18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Stock-based compensation expense recorded as research and development and general and administrative expenses is as follows:</w:t>
      </w:r>
    </w:p>
    <w:p>
      <w:pPr>
        <w:spacing w:after="0" w:line="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10,288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assumptions used in the Black-Scholes option-pricing model for stock options granted were as follows:</w:t>
      </w:r>
    </w:p>
    <w:p>
      <w:pPr>
        <w:spacing w:after="0" w:line="9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2021</w:t>
            </w:r>
          </w:p>
        </w:tc>
        <w:tc>
          <w:tcPr>
            <w:tcW w:w="1420" w:type="dxa"/>
            <w:vAlign w:val="bottom"/>
            <w:tcBorders>
              <w:top w:val="single" w:sz="8" w:color="auto"/>
            </w:tcBorders>
            <w:gridSpan w:val="2"/>
          </w:tcPr>
          <w:p>
            <w:pPr>
              <w:jc w:val="right"/>
              <w:ind w:right="41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- 6.1 years</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years</w:t>
            </w: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tcPr>
          <w:p>
            <w:pPr>
              <w:jc w:val="right"/>
              <w:ind w:right="199"/>
              <w:spacing w:after="0"/>
              <w:rPr>
                <w:sz w:val="20"/>
                <w:szCs w:val="20"/>
                <w:color w:val="auto"/>
              </w:rPr>
            </w:pPr>
            <w:r>
              <w:rPr>
                <w:rFonts w:ascii="Arial" w:cs="Arial" w:eastAsia="Arial" w:hAnsi="Arial"/>
                <w:sz w:val="18"/>
                <w:szCs w:val="18"/>
                <w:color w:val="auto"/>
              </w:rPr>
              <w:t>79.69 %</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69.7 - 81.1 %</w:t>
            </w:r>
          </w:p>
        </w:tc>
        <w:tc>
          <w:tcPr>
            <w:tcW w:w="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0.8</w:t>
            </w: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4"/>
              </w:rPr>
              <w:t>- 1.4 %</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0.3 - 1.0 %</w:t>
            </w:r>
          </w:p>
        </w:tc>
        <w:tc>
          <w:tcPr>
            <w:tcW w:w="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0"/>
                <w:szCs w:val="20"/>
                <w:color w:val="auto"/>
              </w:rPr>
            </w:pPr>
          </w:p>
        </w:tc>
        <w:tc>
          <w:tcPr>
            <w:tcW w:w="840" w:type="dxa"/>
            <w:vAlign w:val="bottom"/>
          </w:tcPr>
          <w:p>
            <w:pPr>
              <w:jc w:val="right"/>
              <w:ind w:right="199"/>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 %</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Company’s potential dilutive securities, which include common stock options,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264"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6350</wp:posOffset>
            </wp:positionV>
            <wp:extent cx="1174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ind w:left="6520"/>
        <w:spacing w:after="0"/>
        <w:tabs>
          <w:tab w:leader="none" w:pos="75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tbl>
      <w:tblPr>
        <w:tblLayout w:type="fixed"/>
        <w:tblInd w:w="920" w:type="dxa"/>
        <w:tblCellMar>
          <w:top w:w="0" w:type="dxa"/>
          <w:left w:w="0" w:type="dxa"/>
          <w:bottom w:w="0" w:type="dxa"/>
          <w:right w:w="0" w:type="dxa"/>
        </w:tblCellMar>
      </w:tblP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4,545,794</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3,112,376</w:t>
            </w:r>
          </w:p>
        </w:tc>
      </w:tr>
      <w:tr>
        <w:trPr>
          <w:trHeight w:val="210"/>
        </w:trPr>
        <w:tc>
          <w:tcPr>
            <w:tcW w:w="5320" w:type="dxa"/>
            <w:vAlign w:val="bottom"/>
          </w:tcPr>
          <w:p>
            <w:pPr>
              <w:ind w:left="1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4,545,794</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3,112,376</w:t>
            </w: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reconciliation of federal statutory income tax rate to the Company’s effective income tax rate is as follows:</w:t>
      </w:r>
    </w:p>
    <w:p>
      <w:pPr>
        <w:spacing w:after="0" w:line="11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0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benefit at the federal statutory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Non-deductible items</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Prior year provision to return adjustments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principal components of the Company’s deferred tax assets consisted of the following as of December 31, 2021 and 2020:</w:t>
      </w:r>
    </w:p>
    <w:p>
      <w:pPr>
        <w:spacing w:after="0" w:line="25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Federal and state net operating loss carryforwards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44,451</w:t>
            </w:r>
          </w:p>
        </w:tc>
        <w:tc>
          <w:tcPr>
            <w:tcW w:w="16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tax credits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Charitable contribution carryforwards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Share-based compensation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Accruals and other</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deferred tax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valuation allowance</w:t>
            </w: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(57,705)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Unrealized gains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Gross deferred tax liabilities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7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Based on the Company’s history of losses, the Company recorded a full valuation allowance against its deferred tax assets as of December 31, 2021. The Company increased its valuation allowance by approximately $20.2 million for the year ended December 31, 2021. The Company intends to maintain a valuation allowance until sufficient positive evidence exists to support a reversal of the allowance.</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of December 31, 2021, the Company had federal and state net operating loss carryforwards of $160.9 million and $163.4 million, respectively, some of which begin to expire in the year ending December 31, 2036. Approximately $138.2 million of the federal net operating loss carryforwards do not expire. The Company had federal and state research and development tax credit carryforwards of approximately $8.7 million and $0.1 million, respectively, as of December 31, 2021. The federal credits begin to expire in the year ending December 31, 2036, and the state credits begin to expire in the year ending December 31, 2024.</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Under the provisions of Sections 382 and 383 of the Internal Revenue Code (the “IRC”), certain substantial changes in the Company’s ownership may have limited, or may limit in the future, the amount of net operating loss and credit carryforwards that can be used to reduce future income taxes if there has been a significant change in ownership of the Company, as defined by the IRC. Future owner or equity shifts could result in limitations on net operating loss and credit carryforwards.</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files income tax returns in the U.S. federal jurisdiction as well as in Maryland. The tax years 2017 to 2020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As of December 31, 2021, the Company had no unrecognized income tax benefits that would affect the Company’s effective tax rate if recognized.</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Coronavirus Aid, Relief, and Economic Security Act, or “CARES Act”, and the Consolidated Appropriations Act, 2021, or “Stimulus Bill”, signed into law on March 27, 2020 and December 27, 2020, respectively, have resulted in significant changes to the U.S. federal corporate tax law. Several states have also enacted tax legislation changes. We have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considered the applicable tax law changes and determined there was no significant impact to the tax provision of the Company.</w:t>
      </w:r>
    </w:p>
    <w:p>
      <w:pPr>
        <w:spacing w:after="0" w:line="3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Employee Benefit Plan</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sponsors a 401(k) plan which stipulates that eligible employees can elect to contribute to the 401(k) plan, subject to certain limitations, up to the lesser of the statutory maximum or 100% of eligible compensation on a pre-tax basis. For the years ended December 31, 2021 and 2020 the Company did not provide any contributions to this plan.</w:t>
      </w: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On February 4, 2022, the Company entered into a Third Amendment to its original Lease Agreement, dated January 30, 2019, whereby the Company has expanded its leased property by approximately 5,700 square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2021.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Report of Management on Internal Control Over Financial Reporting</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 as of December 31, 2021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2021.</w:t>
      </w:r>
    </w:p>
    <w:p>
      <w:pPr>
        <w:spacing w:after="0" w:line="16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on our internal control over financial reporting due to an exemption established by the JOBS Act for "emerging growth companies."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information required by this Item will be contained under the headings “Proposal No. 1: Election of Class III Directors,” “Corporate Governance and our Board of Directors,” and “Executive Officers” in our definitive proxy statement for our 2022 annual meeting of stockholders, or our “Proxy Statement”, to be filed with the SEC within 120 days of December 31, 2021 and is incorporated herein by reference.</w:t>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headings “Executive Compensation” and “Director Compensation” and is incorporated herein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00" w:right="4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60" w:right="79" w:firstLine="648"/>
        <w:spacing w:after="0" w:line="331" w:lineRule="auto"/>
        <w:rPr>
          <w:sz w:val="20"/>
          <w:szCs w:val="20"/>
          <w:color w:val="auto"/>
        </w:rPr>
      </w:pPr>
      <w:r>
        <w:rPr>
          <w:rFonts w:ascii="Arial" w:cs="Arial" w:eastAsia="Arial" w:hAnsi="Arial"/>
          <w:sz w:val="16"/>
          <w:szCs w:val="16"/>
          <w:color w:val="auto"/>
        </w:rPr>
        <w:t>The information required by this Item will be contained in the Proxy Statement under the headings “Ownership of our Common Stock” and “Equity Compensation Plan Information” and is incorporated herein by reference.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contained in the Proxy Statement under the headings “Certain Relationships and Related Person Transactions” and “Board Leadership and Governance Structure” and is incorporated herein by reference.</w:t>
      </w:r>
    </w:p>
    <w:p>
      <w:pPr>
        <w:spacing w:after="0" w:line="2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information required by this Item will be contained in the Proxy Statement under the heading “Proposal No.</w:t>
      </w:r>
    </w:p>
    <w:p>
      <w:pPr>
        <w:spacing w:after="0" w:line="46" w:lineRule="exact"/>
        <w:rPr>
          <w:sz w:val="20"/>
          <w:szCs w:val="20"/>
          <w:color w:val="auto"/>
        </w:rPr>
      </w:pPr>
    </w:p>
    <w:p>
      <w:pPr>
        <w:ind w:left="60" w:right="59" w:hanging="10"/>
        <w:spacing w:after="0" w:line="260" w:lineRule="auto"/>
        <w:tabs>
          <w:tab w:leader="none" w:pos="2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Ratification of Appointment of Independent Registered Public Accounting Firm” and is incorporated herein by reference.</w:t>
      </w:r>
    </w:p>
    <w:p>
      <w:pPr>
        <w:spacing w:after="0" w:line="4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(1)  Financial Statements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Index to Financial Statements in Part II Item 8 of this Annual Report.</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(2)  Financial Statement Schedules</w:t>
      </w:r>
    </w:p>
    <w:p>
      <w:pPr>
        <w:spacing w:after="0" w:line="23" w:lineRule="exact"/>
        <w:rPr>
          <w:sz w:val="20"/>
          <w:szCs w:val="20"/>
          <w:color w:val="auto"/>
        </w:rPr>
      </w:pPr>
    </w:p>
    <w:p>
      <w:pPr>
        <w:ind w:left="700" w:right="699" w:firstLine="324"/>
        <w:spacing w:after="0" w:line="260"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(3)  Exhibits</w:t>
      </w:r>
    </w:p>
    <w:p>
      <w:pPr>
        <w:spacing w:after="0" w:line="23" w:lineRule="exact"/>
        <w:rPr>
          <w:sz w:val="20"/>
          <w:szCs w:val="20"/>
          <w:color w:val="auto"/>
        </w:rPr>
      </w:pPr>
    </w:p>
    <w:p>
      <w:pPr>
        <w:ind w:left="700" w:right="579" w:firstLine="324"/>
        <w:spacing w:after="0" w:line="323" w:lineRule="auto"/>
        <w:rPr>
          <w:sz w:val="20"/>
          <w:szCs w:val="20"/>
          <w:color w:val="auto"/>
        </w:rPr>
      </w:pPr>
      <w:r>
        <w:rPr>
          <w:rFonts w:ascii="Arial" w:cs="Arial" w:eastAsia="Arial" w:hAnsi="Arial"/>
          <w:sz w:val="16"/>
          <w:szCs w:val="16"/>
          <w:color w:val="auto"/>
        </w:rPr>
        <w:t>The documents listed in the following Exhibit Index are incorporated by reference or are filed with this report, in each case as indicated therein (numbered in accordance with Item 601 of Regulation S-K).</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40" w:type="dxa"/>
            <w:vAlign w:val="bottom"/>
            <w:gridSpan w:val="6"/>
          </w:tcPr>
          <w:p>
            <w:pPr>
              <w:ind w:left="24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7640" w:type="dxa"/>
            <w:vAlign w:val="bottom"/>
            <w:gridSpan w:val="6"/>
            <w:vMerge w:val="restart"/>
          </w:tcPr>
          <w:p>
            <w:pPr>
              <w:ind w:left="32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764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7640" w:type="dxa"/>
            <w:vAlign w:val="bottom"/>
            <w:gridSpan w:val="6"/>
          </w:tcPr>
          <w:p>
            <w:pPr>
              <w:spacing w:after="0"/>
              <w:rPr>
                <w:rFonts w:ascii="Arial" w:cs="Arial" w:eastAsia="Arial" w:hAnsi="Arial"/>
                <w:sz w:val="18"/>
                <w:szCs w:val="18"/>
                <w:color w:val="0000EE"/>
                <w:w w:val="94"/>
              </w:rPr>
            </w:pPr>
            <w:hyperlink r:id="rId135">
              <w:r>
                <w:rPr>
                  <w:rFonts w:ascii="Arial" w:cs="Arial" w:eastAsia="Arial" w:hAnsi="Arial"/>
                  <w:sz w:val="18"/>
                  <w:szCs w:val="18"/>
                  <w:color w:val="0000EE"/>
                  <w:w w:val="94"/>
                </w:rPr>
                <w:t>Amended and Restated Certificate of Incorporation (incorporated by reference to Exhibit 3.1 filed with</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Company’s Current Report on 8-K filed with the Commission on May 13,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7640" w:type="dxa"/>
            <w:vAlign w:val="bottom"/>
            <w:tcBorders>
              <w:bottom w:val="single" w:sz="8" w:color="0000EE"/>
            </w:tcBorders>
            <w:gridSpan w:val="6"/>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Amended and Restated Bylaws (incorporated by reference to Exhibit 3.2 filed with Company’s Current</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6"/>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Report on 8-K filed with the Commission on May 13,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620" w:type="dxa"/>
            <w:vAlign w:val="bottom"/>
            <w:tcBorders>
              <w:bottom w:val="single" w:sz="8" w:color="0000EE"/>
            </w:tcBorders>
            <w:gridSpan w:val="5"/>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Amended and Restated Investors’ Rights Agreement, dated as of November 5, 2018, by and among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6"/>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Company and the investors party thereto (incorporated by reference to Exhibit 4.1 filed with Company’s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Registration Statement on Form S-1 filed with the Commission on April 12, 2019).</w:t>
              </w:r>
            </w:hyperlink>
          </w:p>
        </w:tc>
        <w:tc>
          <w:tcPr>
            <w:tcW w:w="1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7640" w:type="dxa"/>
            <w:vAlign w:val="bottom"/>
            <w:tcBorders>
              <w:bottom w:val="single" w:sz="8" w:color="0000EE"/>
            </w:tcBorders>
            <w:gridSpan w:val="6"/>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Description of Registered Securities (incorporated by reference to Exhibit 4.2 filed with the Company's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6"/>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Annual Report on Form 10-K filed with the Commission on March 12, 2020).</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320" w:right="5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139">
        <w:r>
          <w:rPr>
            <w:rFonts w:ascii="Arial" w:cs="Arial" w:eastAsia="Arial" w:hAnsi="Arial"/>
            <w:sz w:val="18"/>
            <w:szCs w:val="18"/>
            <w:u w:val="single" w:color="auto"/>
            <w:color w:val="0000EE"/>
          </w:rPr>
          <w:t>License Agreement, dated as of December 29, 2015, by and between the Company and Yale University</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(incorporated by reference to Exhibit 10.1 filed with Company’s Registration Statement on Form S-1</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filed with the Commission on April 12, 2019).</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20" w:right="5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 </w:t>
      </w:r>
      <w:hyperlink r:id="rId141">
        <w:r>
          <w:rPr>
            <w:rFonts w:ascii="Arial" w:cs="Arial" w:eastAsia="Arial" w:hAnsi="Arial"/>
            <w:sz w:val="18"/>
            <w:szCs w:val="18"/>
            <w:u w:val="single" w:color="auto"/>
            <w:color w:val="0000EE"/>
          </w:rPr>
          <w:t>Corporate Sponsored Research Agreement, dated as of December 29, 2015, by and between the Company</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EE"/>
          </w:rPr>
          <w:t>and Yale University (incorporated by reference to Exhibit 10.2 filed with Company’s Registration</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Statement on Form S-1 filed with the Commission on April 12, 2019).</w:t>
        </w:r>
      </w:hyperlink>
    </w:p>
    <w:p>
      <w:pPr>
        <w:spacing w:after="0" w:line="184" w:lineRule="exact"/>
        <w:rPr>
          <w:rFonts w:ascii="Arial" w:cs="Arial" w:eastAsia="Arial" w:hAnsi="Arial"/>
          <w:sz w:val="18"/>
          <w:szCs w:val="18"/>
          <w:color w:val="auto"/>
        </w:rPr>
      </w:pPr>
    </w:p>
    <w:p>
      <w:pPr>
        <w:jc w:val="both"/>
        <w:ind w:left="1320" w:right="7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42">
        <w:r>
          <w:rPr>
            <w:rFonts w:ascii="Arial" w:cs="Arial" w:eastAsia="Arial" w:hAnsi="Arial"/>
            <w:sz w:val="18"/>
            <w:szCs w:val="18"/>
            <w:u w:val="single" w:color="auto"/>
            <w:color w:val="0000EE"/>
          </w:rPr>
          <w:t>Amendment to License Agreement and SRA, dated as of April 25, 2020, by and between the Company</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EE"/>
          </w:rPr>
          <w:t>and Yale University (incorporated by reference to Exhibit 10.3 filed with the Company’s Annual Report</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on Form 10-K filed with the SEC on March 4, 2021).</w:t>
        </w:r>
      </w:hyperlink>
    </w:p>
    <w:p>
      <w:pPr>
        <w:spacing w:after="0" w:line="184" w:lineRule="exact"/>
        <w:rPr>
          <w:rFonts w:ascii="Arial" w:cs="Arial" w:eastAsia="Arial" w:hAnsi="Arial"/>
          <w:sz w:val="18"/>
          <w:szCs w:val="18"/>
          <w:color w:val="auto"/>
        </w:rPr>
      </w:pPr>
    </w:p>
    <w:p>
      <w:pPr>
        <w:jc w:val="both"/>
        <w:ind w:left="1320" w:right="79" w:hanging="503"/>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10.4+ </w:t>
      </w:r>
      <w:hyperlink r:id="rId143">
        <w:r>
          <w:rPr>
            <w:rFonts w:ascii="Arial" w:cs="Arial" w:eastAsia="Arial" w:hAnsi="Arial"/>
            <w:sz w:val="16"/>
            <w:szCs w:val="16"/>
            <w:u w:val="single" w:color="auto"/>
            <w:color w:val="0000EE"/>
          </w:rPr>
          <w:t>NextCure, Inc. 2015 Omnibus Incentive Plan, as amended (incorporated by reference to Exhibit 10.6 filed</w:t>
        </w:r>
      </w:hyperlink>
      <w:r>
        <w:rPr>
          <w:rFonts w:ascii="Arial" w:cs="Arial" w:eastAsia="Arial" w:hAnsi="Arial"/>
          <w:sz w:val="16"/>
          <w:szCs w:val="16"/>
          <w:color w:val="auto"/>
        </w:rPr>
        <w:t xml:space="preserve"> </w:t>
      </w:r>
      <w:hyperlink r:id="rId143">
        <w:r>
          <w:rPr>
            <w:rFonts w:ascii="Arial" w:cs="Arial" w:eastAsia="Arial" w:hAnsi="Arial"/>
            <w:sz w:val="16"/>
            <w:szCs w:val="16"/>
            <w:u w:val="single" w:color="auto"/>
            <w:color w:val="0000EE"/>
          </w:rPr>
          <w:t>with Company’s Registration Statement on Form S-1 filed with the Commission on April 12, 2019).</w:t>
        </w:r>
      </w:hyperlink>
    </w:p>
    <w:p>
      <w:pPr>
        <w:spacing w:after="0" w:line="124" w:lineRule="exact"/>
        <w:rPr>
          <w:sz w:val="20"/>
          <w:szCs w:val="20"/>
          <w:color w:val="auto"/>
        </w:rPr>
      </w:pPr>
    </w:p>
    <w:p>
      <w:pPr>
        <w:jc w:val="both"/>
        <w:ind w:left="1320" w:right="7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144">
        <w:r>
          <w:rPr>
            <w:rFonts w:ascii="Arial" w:cs="Arial" w:eastAsia="Arial" w:hAnsi="Arial"/>
            <w:sz w:val="18"/>
            <w:szCs w:val="18"/>
            <w:u w:val="single" w:color="auto"/>
            <w:color w:val="0000EE"/>
          </w:rPr>
          <w:t>Form of Stock Option Agreement under the NextCure, Inc. 2015 Omnibus Incentive Plan (incorporated</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by reference to Exhibit 10.7 filed with Company’s Registration Statement on Form S-1 filed with the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Commission on April 12, 2019).</w:t>
        </w:r>
      </w:hyperlink>
    </w:p>
    <w:p>
      <w:pPr>
        <w:spacing w:after="0" w:line="184" w:lineRule="exact"/>
        <w:rPr>
          <w:rFonts w:ascii="Arial" w:cs="Arial" w:eastAsia="Arial" w:hAnsi="Arial"/>
          <w:sz w:val="18"/>
          <w:szCs w:val="18"/>
          <w:color w:val="auto"/>
        </w:rPr>
      </w:pPr>
    </w:p>
    <w:p>
      <w:pPr>
        <w:jc w:val="both"/>
        <w:ind w:left="1320" w:right="79" w:hanging="503"/>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10.6+ </w:t>
      </w:r>
      <w:hyperlink r:id="rId145">
        <w:r>
          <w:rPr>
            <w:rFonts w:ascii="Arial" w:cs="Arial" w:eastAsia="Arial" w:hAnsi="Arial"/>
            <w:sz w:val="18"/>
            <w:szCs w:val="18"/>
            <w:u w:val="single" w:color="auto"/>
            <w:color w:val="0000EE"/>
          </w:rPr>
          <w:t>NextCure, Inc. 2019 Omnibus Incentive Plan (incorporated by reference to Exhibit 10.8 filed with</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Registration Statement on Form S-1/A filed with the Commission on April 29, 2019).</w:t>
        </w:r>
      </w:hyperlink>
    </w:p>
    <w:p>
      <w:pPr>
        <w:spacing w:after="0" w:line="170" w:lineRule="exact"/>
        <w:rPr>
          <w:sz w:val="20"/>
          <w:szCs w:val="20"/>
          <w:color w:val="auto"/>
        </w:rPr>
      </w:pPr>
    </w:p>
    <w:p>
      <w:pPr>
        <w:jc w:val="both"/>
        <w:ind w:left="1320" w:right="7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 </w:t>
      </w:r>
      <w:hyperlink r:id="rId146">
        <w:r>
          <w:rPr>
            <w:rFonts w:ascii="Arial" w:cs="Arial" w:eastAsia="Arial" w:hAnsi="Arial"/>
            <w:sz w:val="18"/>
            <w:szCs w:val="18"/>
            <w:u w:val="single" w:color="auto"/>
            <w:color w:val="0000EE"/>
          </w:rPr>
          <w:t>Forms of Stock Option Agreement under the NextCure, Inc. 2019 Omnibus Incentive Plan (incorporated</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by reference to Exhibit 10.9 filed with Company’s Registration Statement on Form S-1/A filed with the</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Commission on April 29, 2019).</w:t>
        </w:r>
      </w:hyperlink>
    </w:p>
    <w:p>
      <w:pPr>
        <w:spacing w:after="0" w:line="184" w:lineRule="exact"/>
        <w:rPr>
          <w:rFonts w:ascii="Arial" w:cs="Arial" w:eastAsia="Arial" w:hAnsi="Arial"/>
          <w:sz w:val="18"/>
          <w:szCs w:val="18"/>
          <w:color w:val="auto"/>
        </w:rPr>
      </w:pPr>
    </w:p>
    <w:p>
      <w:pPr>
        <w:jc w:val="both"/>
        <w:ind w:left="1320" w:right="5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147">
        <w:r>
          <w:rPr>
            <w:rFonts w:ascii="Arial" w:cs="Arial" w:eastAsia="Arial" w:hAnsi="Arial"/>
            <w:sz w:val="18"/>
            <w:szCs w:val="18"/>
            <w:u w:val="single" w:color="auto"/>
            <w:color w:val="0000EE"/>
          </w:rPr>
          <w:t>Form of Restricted Stock Agreement under the NextCure, Inc. 2019 Omnibus Incentive Plan</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(incorporated by reference to Exhibit 10.10 filed with Company’s Registration Statement on Form S-1/A</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filed with the Commission on April 29, 2019).</w:t>
        </w:r>
      </w:hyperlink>
    </w:p>
    <w:p>
      <w:pPr>
        <w:spacing w:after="0" w:line="184" w:lineRule="exact"/>
        <w:rPr>
          <w:rFonts w:ascii="Arial" w:cs="Arial" w:eastAsia="Arial" w:hAnsi="Arial"/>
          <w:sz w:val="18"/>
          <w:szCs w:val="18"/>
          <w:color w:val="auto"/>
        </w:rPr>
      </w:pPr>
    </w:p>
    <w:p>
      <w:pPr>
        <w:jc w:val="both"/>
        <w:ind w:left="1320" w:right="7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10.9+ </w:t>
      </w:r>
      <w:hyperlink r:id="rId148">
        <w:r>
          <w:rPr>
            <w:rFonts w:ascii="Arial" w:cs="Arial" w:eastAsia="Arial" w:hAnsi="Arial"/>
            <w:sz w:val="18"/>
            <w:szCs w:val="18"/>
            <w:u w:val="single" w:color="auto"/>
            <w:color w:val="0000EE"/>
          </w:rPr>
          <w:t>Form of Restricted Stock Unit Agreement under the NextCure, Inc. 2019 Omnibus Incentive Plan</w:t>
        </w:r>
      </w:hyperlink>
      <w:r>
        <w:rPr>
          <w:rFonts w:ascii="Arial" w:cs="Arial" w:eastAsia="Arial" w:hAnsi="Arial"/>
          <w:sz w:val="18"/>
          <w:szCs w:val="18"/>
          <w:color w:val="auto"/>
        </w:rPr>
        <w:t xml:space="preserve"> </w:t>
      </w:r>
      <w:hyperlink r:id="rId148">
        <w:r>
          <w:rPr>
            <w:rFonts w:ascii="Arial" w:cs="Arial" w:eastAsia="Arial" w:hAnsi="Arial"/>
            <w:sz w:val="18"/>
            <w:szCs w:val="18"/>
            <w:u w:val="single" w:color="auto"/>
            <w:color w:val="0000EE"/>
          </w:rPr>
          <w:t>(incorporated by reference to Exhibit 10.11 filed with Company’s Registration Statement on Form S-1/A</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filed with the Commission on April 29, 2019).</w:t>
        </w:r>
      </w:hyperlink>
    </w:p>
    <w:p>
      <w:pPr>
        <w:spacing w:after="0" w:line="184" w:lineRule="exact"/>
        <w:rPr>
          <w:rFonts w:ascii="Arial" w:cs="Arial" w:eastAsia="Arial" w:hAnsi="Arial"/>
          <w:sz w:val="18"/>
          <w:szCs w:val="18"/>
          <w:color w:val="auto"/>
        </w:rPr>
      </w:pPr>
    </w:p>
    <w:p>
      <w:pPr>
        <w:jc w:val="both"/>
        <w:ind w:left="1320" w:right="79" w:hanging="593"/>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10.10+ </w:t>
      </w:r>
      <w:hyperlink r:id="rId149">
        <w:r>
          <w:rPr>
            <w:rFonts w:ascii="Arial" w:cs="Arial" w:eastAsia="Arial" w:hAnsi="Arial"/>
            <w:sz w:val="17"/>
            <w:szCs w:val="17"/>
            <w:u w:val="single" w:color="auto"/>
            <w:color w:val="0000EE"/>
          </w:rPr>
          <w:t>NextCure, Inc. 2019 Employee Stock Purchase Plan (incorporated by reference to Exhibit 10.12 filed</w:t>
        </w:r>
      </w:hyperlink>
      <w:r>
        <w:rPr>
          <w:rFonts w:ascii="Arial" w:cs="Arial" w:eastAsia="Arial" w:hAnsi="Arial"/>
          <w:sz w:val="17"/>
          <w:szCs w:val="17"/>
          <w:color w:val="auto"/>
        </w:rPr>
        <w:t xml:space="preserve"> </w:t>
      </w:r>
      <w:hyperlink r:id="rId149">
        <w:r>
          <w:rPr>
            <w:rFonts w:ascii="Arial" w:cs="Arial" w:eastAsia="Arial" w:hAnsi="Arial"/>
            <w:sz w:val="17"/>
            <w:szCs w:val="17"/>
            <w:u w:val="single" w:color="auto"/>
            <w:color w:val="0000EE"/>
          </w:rPr>
          <w:t>with Company’s Registration Statement on Form S-1/A filed with the Commission on April 29, 2019).</w:t>
        </w:r>
      </w:hyperlink>
    </w:p>
    <w:p>
      <w:pPr>
        <w:spacing w:after="0" w:line="146" w:lineRule="exact"/>
        <w:rPr>
          <w:sz w:val="20"/>
          <w:szCs w:val="20"/>
          <w:color w:val="auto"/>
        </w:rPr>
      </w:pPr>
    </w:p>
    <w:p>
      <w:pPr>
        <w:jc w:val="both"/>
        <w:ind w:left="1320" w:right="79" w:hanging="586"/>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10.11+ </w:t>
      </w:r>
      <w:hyperlink r:id="rId150">
        <w:r>
          <w:rPr>
            <w:rFonts w:ascii="Arial" w:cs="Arial" w:eastAsia="Arial" w:hAnsi="Arial"/>
            <w:sz w:val="17"/>
            <w:szCs w:val="17"/>
            <w:u w:val="single" w:color="auto"/>
            <w:color w:val="0000EE"/>
          </w:rPr>
          <w:t>Non-Employee Director Compensation Program (incorporated by reference to Exhibit 10.1 filed with the</w:t>
        </w:r>
      </w:hyperlink>
      <w:r>
        <w:rPr>
          <w:rFonts w:ascii="Arial" w:cs="Arial" w:eastAsia="Arial" w:hAnsi="Arial"/>
          <w:sz w:val="17"/>
          <w:szCs w:val="17"/>
          <w:color w:val="auto"/>
        </w:rPr>
        <w:t xml:space="preserve"> </w:t>
      </w:r>
      <w:hyperlink r:id="rId150">
        <w:r>
          <w:rPr>
            <w:rFonts w:ascii="Arial" w:cs="Arial" w:eastAsia="Arial" w:hAnsi="Arial"/>
            <w:sz w:val="17"/>
            <w:szCs w:val="17"/>
            <w:u w:val="single" w:color="auto"/>
            <w:color w:val="0000EE"/>
          </w:rPr>
          <w:t>Company’s Current Report on Form 8-K filed with the Commission on September 14, 2020).</w:t>
        </w:r>
      </w:hyperlink>
    </w:p>
    <w:p>
      <w:pPr>
        <w:spacing w:after="0" w:line="146" w:lineRule="exact"/>
        <w:rPr>
          <w:sz w:val="20"/>
          <w:szCs w:val="20"/>
          <w:color w:val="auto"/>
        </w:rPr>
      </w:pPr>
    </w:p>
    <w:p>
      <w:pPr>
        <w:jc w:val="both"/>
        <w:ind w:left="1320" w:right="7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10.12+ </w:t>
      </w:r>
      <w:hyperlink r:id="rId151">
        <w:r>
          <w:rPr>
            <w:rFonts w:ascii="Arial" w:cs="Arial" w:eastAsia="Arial" w:hAnsi="Arial"/>
            <w:sz w:val="18"/>
            <w:szCs w:val="18"/>
            <w:u w:val="single" w:color="auto"/>
            <w:color w:val="0000EE"/>
          </w:rPr>
          <w:t>Form of Indemnification Agreement by and between the Company and each of its directors and executive</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officers (incorporated by reference to Exhibit 10.5 filed with Company’s Registration Statement on</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Form S-1 filed with the Commission on April 12, 2019).</w:t>
        </w:r>
      </w:hyperlink>
    </w:p>
    <w:p>
      <w:pPr>
        <w:spacing w:after="0" w:line="184" w:lineRule="exact"/>
        <w:rPr>
          <w:rFonts w:ascii="Arial" w:cs="Arial" w:eastAsia="Arial" w:hAnsi="Arial"/>
          <w:sz w:val="18"/>
          <w:szCs w:val="18"/>
          <w:color w:val="auto"/>
        </w:rPr>
      </w:pPr>
    </w:p>
    <w:p>
      <w:pPr>
        <w:jc w:val="both"/>
        <w:ind w:left="1320" w:right="7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10.14+ </w:t>
      </w:r>
      <w:hyperlink r:id="rId152">
        <w:r>
          <w:rPr>
            <w:rFonts w:ascii="Arial" w:cs="Arial" w:eastAsia="Arial" w:hAnsi="Arial"/>
            <w:sz w:val="18"/>
            <w:szCs w:val="18"/>
            <w:u w:val="single" w:color="auto"/>
            <w:color w:val="0000EE"/>
          </w:rPr>
          <w:t>Employment Agreement, effective as of July 27, 2020, by and between the Company and Michael</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Richman (incorporated by reference to Exhibit 10.1 filed with the Company’s Current Report on Form 8-</w:t>
        </w:r>
      </w:hyperlink>
      <w:hyperlink r:id="rId152">
        <w:r>
          <w:rPr>
            <w:rFonts w:ascii="Arial" w:cs="Arial" w:eastAsia="Arial" w:hAnsi="Arial"/>
            <w:sz w:val="18"/>
            <w:szCs w:val="18"/>
            <w:u w:val="single" w:color="auto"/>
            <w:color w:val="0000EE"/>
          </w:rPr>
          <w:t>K filed with the Commission on July 31, 2020).</w:t>
        </w:r>
      </w:hyperlink>
    </w:p>
    <w:p>
      <w:pPr>
        <w:spacing w:after="0" w:line="184" w:lineRule="exact"/>
        <w:rPr>
          <w:rFonts w:ascii="Arial" w:cs="Arial" w:eastAsia="Arial" w:hAnsi="Arial"/>
          <w:sz w:val="18"/>
          <w:szCs w:val="18"/>
          <w:color w:val="auto"/>
        </w:rPr>
      </w:pPr>
    </w:p>
    <w:p>
      <w:pPr>
        <w:jc w:val="both"/>
        <w:ind w:left="1320" w:right="7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10.15+ </w:t>
      </w:r>
      <w:hyperlink r:id="rId153">
        <w:r>
          <w:rPr>
            <w:rFonts w:ascii="Arial" w:cs="Arial" w:eastAsia="Arial" w:hAnsi="Arial"/>
            <w:sz w:val="18"/>
            <w:szCs w:val="18"/>
            <w:u w:val="single" w:color="auto"/>
            <w:color w:val="0000EE"/>
          </w:rPr>
          <w:t>Employment Agreement, effective as of July 27, 2020, by and between the Company and Steven P.</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EE"/>
          </w:rPr>
          <w:t>Cobourn (incorporated by reference to Exhibit 10.2 filed with the Company’s Current Report on Form 8-</w:t>
        </w:r>
      </w:hyperlink>
      <w:hyperlink r:id="rId153">
        <w:r>
          <w:rPr>
            <w:rFonts w:ascii="Arial" w:cs="Arial" w:eastAsia="Arial" w:hAnsi="Arial"/>
            <w:sz w:val="18"/>
            <w:szCs w:val="18"/>
            <w:u w:val="single" w:color="auto"/>
            <w:color w:val="0000EE"/>
          </w:rPr>
          <w:t>K filed with the Commission on July 31, 2020).</w:t>
        </w:r>
      </w:hyperlink>
    </w:p>
    <w:p>
      <w:pPr>
        <w:spacing w:after="0" w:line="184" w:lineRule="exact"/>
        <w:rPr>
          <w:rFonts w:ascii="Arial" w:cs="Arial" w:eastAsia="Arial" w:hAnsi="Arial"/>
          <w:sz w:val="18"/>
          <w:szCs w:val="18"/>
          <w:color w:val="auto"/>
        </w:rPr>
      </w:pPr>
    </w:p>
    <w:p>
      <w:pPr>
        <w:jc w:val="both"/>
        <w:ind w:left="1320" w:right="5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10.16+ </w:t>
      </w:r>
      <w:hyperlink r:id="rId154">
        <w:r>
          <w:rPr>
            <w:rFonts w:ascii="Arial" w:cs="Arial" w:eastAsia="Arial" w:hAnsi="Arial"/>
            <w:sz w:val="18"/>
            <w:szCs w:val="18"/>
            <w:u w:val="single" w:color="auto"/>
            <w:color w:val="0000EE"/>
          </w:rPr>
          <w:t>Employment Agreement, effective as of July 27, 2020, by and between the Company and Solomon</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EE"/>
          </w:rPr>
          <w:t>Langermann, Ph.D. (incorporated by reference to Exhibit 10.3 filed with the Company’s Current Report</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on Form 8-K filed with the Commission on July 31, 2020).</w:t>
        </w:r>
      </w:hyperlink>
    </w:p>
    <w:p>
      <w:pPr>
        <w:spacing w:after="0" w:line="184" w:lineRule="exact"/>
        <w:rPr>
          <w:rFonts w:ascii="Arial" w:cs="Arial" w:eastAsia="Arial" w:hAnsi="Arial"/>
          <w:sz w:val="18"/>
          <w:szCs w:val="18"/>
          <w:color w:val="auto"/>
        </w:rPr>
      </w:pPr>
    </w:p>
    <w:p>
      <w:pPr>
        <w:jc w:val="both"/>
        <w:ind w:left="1320" w:right="5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10.18† </w:t>
      </w:r>
      <w:hyperlink r:id="rId155">
        <w:r>
          <w:rPr>
            <w:rFonts w:ascii="Arial" w:cs="Arial" w:eastAsia="Arial" w:hAnsi="Arial"/>
            <w:sz w:val="18"/>
            <w:szCs w:val="18"/>
            <w:u w:val="single" w:color="auto"/>
            <w:color w:val="0000EE"/>
          </w:rPr>
          <w:t>Lease Agreement, dated as of January 30, 2019, by and between the Company and ARE-</w:t>
        </w:r>
      </w:hyperlink>
      <w:hyperlink r:id="rId155">
        <w:r>
          <w:rPr>
            <w:rFonts w:ascii="Arial" w:cs="Arial" w:eastAsia="Arial" w:hAnsi="Arial"/>
            <w:sz w:val="18"/>
            <w:szCs w:val="18"/>
            <w:u w:val="single" w:color="auto"/>
            <w:color w:val="0000EE"/>
          </w:rPr>
          <w:t>8000/9000/10000 Virginia Manor, LLC (incorporated by reference to Exhibit 10.14 filed with Company’s</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Registration Statement on Form S-1 filed with the Commission on April 12, 2019).</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20" w:right="7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10.19† </w:t>
      </w:r>
      <w:hyperlink r:id="rId157">
        <w:r>
          <w:rPr>
            <w:rFonts w:ascii="Arial" w:cs="Arial" w:eastAsia="Arial" w:hAnsi="Arial"/>
            <w:sz w:val="18"/>
            <w:szCs w:val="18"/>
            <w:u w:val="single" w:color="auto"/>
            <w:color w:val="0000EE"/>
          </w:rPr>
          <w:t>First Amendment to Lease Agreement, dated August 2, 2019, by and between the Company and ARE-</w:t>
        </w:r>
      </w:hyperlink>
      <w:hyperlink r:id="rId157">
        <w:r>
          <w:rPr>
            <w:rFonts w:ascii="Arial" w:cs="Arial" w:eastAsia="Arial" w:hAnsi="Arial"/>
            <w:sz w:val="18"/>
            <w:szCs w:val="18"/>
            <w:u w:val="single" w:color="auto"/>
            <w:color w:val="0000EE"/>
          </w:rPr>
          <w:t>8000/9000/10000 Virginia Manor, LLC (incorporated by reference to Exhibit 10.1 filed with Company’s</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Quarterly Report on Form 10-Q filed on November 12, 2019).</w:t>
        </w:r>
      </w:hyperlink>
    </w:p>
    <w:p>
      <w:pPr>
        <w:spacing w:after="0" w:line="184" w:lineRule="exact"/>
        <w:rPr>
          <w:rFonts w:ascii="Arial" w:cs="Arial" w:eastAsia="Arial" w:hAnsi="Arial"/>
          <w:sz w:val="18"/>
          <w:szCs w:val="18"/>
          <w:color w:val="auto"/>
        </w:rPr>
      </w:pPr>
    </w:p>
    <w:p>
      <w:pPr>
        <w:jc w:val="both"/>
        <w:ind w:left="1320" w:right="7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10.20+ </w:t>
      </w:r>
      <w:hyperlink r:id="rId158">
        <w:r>
          <w:rPr>
            <w:rFonts w:ascii="Arial" w:cs="Arial" w:eastAsia="Arial" w:hAnsi="Arial"/>
            <w:sz w:val="18"/>
            <w:szCs w:val="18"/>
            <w:u w:val="single" w:color="auto"/>
            <w:color w:val="0000EE"/>
          </w:rPr>
          <w:t>First Amendment to the NextCure, Inc. 2015 Omnibus Incentive Plan dated September 30, 2021</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(incorporated by reference to Exhibit 10.1 filed with Company’s Quarterly Report on Form 10-Q filed on</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November 4, 2021).</w:t>
        </w:r>
      </w:hyperlink>
    </w:p>
    <w:p>
      <w:pPr>
        <w:spacing w:after="0" w:line="184" w:lineRule="exact"/>
        <w:rPr>
          <w:rFonts w:ascii="Arial" w:cs="Arial" w:eastAsia="Arial" w:hAnsi="Arial"/>
          <w:sz w:val="18"/>
          <w:szCs w:val="18"/>
          <w:color w:val="auto"/>
        </w:rPr>
      </w:pPr>
    </w:p>
    <w:p>
      <w:pPr>
        <w:jc w:val="both"/>
        <w:ind w:left="1320" w:right="5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10.21† </w:t>
      </w:r>
      <w:hyperlink r:id="rId159">
        <w:r>
          <w:rPr>
            <w:rFonts w:ascii="Arial" w:cs="Arial" w:eastAsia="Arial" w:hAnsi="Arial"/>
            <w:sz w:val="18"/>
            <w:szCs w:val="18"/>
            <w:u w:val="single" w:color="auto"/>
            <w:color w:val="0000EE"/>
          </w:rPr>
          <w:t>Amended and Restated Sublease Agreement, dated as of March 15, 2019, by and between the Company</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EE"/>
          </w:rPr>
          <w:t>and Lupin, Inc. (incorporated by reference to Exhibit 10.4 filed with Company’s Registration Statement</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on Form S-1 filed with the Commission on April 12, 2019).</w:t>
        </w:r>
      </w:hyperlink>
    </w:p>
    <w:p>
      <w:pPr>
        <w:spacing w:after="0" w:line="184" w:lineRule="exact"/>
        <w:rPr>
          <w:rFonts w:ascii="Arial" w:cs="Arial" w:eastAsia="Arial" w:hAnsi="Arial"/>
          <w:sz w:val="18"/>
          <w:szCs w:val="18"/>
          <w:color w:val="auto"/>
        </w:rPr>
      </w:pPr>
    </w:p>
    <w:p>
      <w:pPr>
        <w:jc w:val="both"/>
        <w:ind w:left="1320" w:right="59" w:hanging="593"/>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10.23* </w:t>
      </w:r>
      <w:hyperlink w:anchor="page119">
        <w:r>
          <w:rPr>
            <w:rFonts w:ascii="Arial" w:cs="Arial" w:eastAsia="Arial" w:hAnsi="Arial"/>
            <w:sz w:val="18"/>
            <w:szCs w:val="18"/>
            <w:u w:val="single" w:color="auto"/>
            <w:color w:val="0000EE"/>
          </w:rPr>
          <w:t>Second Amendment to License Agreement and SRA, dated as of October 20, 2021, by and between the</w:t>
        </w:r>
      </w:hyperlink>
      <w:r>
        <w:rPr>
          <w:rFonts w:ascii="Arial" w:cs="Arial" w:eastAsia="Arial" w:hAnsi="Arial"/>
          <w:sz w:val="18"/>
          <w:szCs w:val="18"/>
          <w:color w:val="auto"/>
        </w:rPr>
        <w:t xml:space="preserve"> </w:t>
      </w:r>
      <w:hyperlink w:anchor="page119">
        <w:r>
          <w:rPr>
            <w:rFonts w:ascii="Arial" w:cs="Arial" w:eastAsia="Arial" w:hAnsi="Arial"/>
            <w:sz w:val="18"/>
            <w:szCs w:val="18"/>
            <w:u w:val="single" w:color="auto"/>
            <w:color w:val="0000EE"/>
          </w:rPr>
          <w:t>Company and Yale University. (**Exhibits and schedules have been omitted pursuant to Item 601 of</w:t>
        </w:r>
      </w:hyperlink>
      <w:r>
        <w:rPr>
          <w:rFonts w:ascii="Arial" w:cs="Arial" w:eastAsia="Arial" w:hAnsi="Arial"/>
          <w:sz w:val="18"/>
          <w:szCs w:val="18"/>
          <w:u w:val="single" w:color="auto"/>
          <w:color w:val="0000EE"/>
        </w:rPr>
        <w:t xml:space="preserve"> </w:t>
      </w:r>
      <w:hyperlink w:anchor="page119">
        <w:r>
          <w:rPr>
            <w:rFonts w:ascii="Arial" w:cs="Arial" w:eastAsia="Arial" w:hAnsi="Arial"/>
            <w:sz w:val="18"/>
            <w:szCs w:val="18"/>
            <w:u w:val="single" w:color="auto"/>
            <w:color w:val="0000EE"/>
          </w:rPr>
          <w:t>Regulation S-K and will be furnished on a supplemental basis to the Securities and Exchange</w:t>
        </w:r>
      </w:hyperlink>
      <w:r>
        <w:rPr>
          <w:rFonts w:ascii="Arial" w:cs="Arial" w:eastAsia="Arial" w:hAnsi="Arial"/>
          <w:sz w:val="18"/>
          <w:szCs w:val="18"/>
          <w:u w:val="single" w:color="auto"/>
          <w:color w:val="0000EE"/>
        </w:rPr>
        <w:t xml:space="preserve"> </w:t>
      </w:r>
      <w:hyperlink w:anchor="page119">
        <w:r>
          <w:rPr>
            <w:rFonts w:ascii="Arial" w:cs="Arial" w:eastAsia="Arial" w:hAnsi="Arial"/>
            <w:sz w:val="18"/>
            <w:szCs w:val="18"/>
            <w:u w:val="single" w:color="auto"/>
            <w:color w:val="0000EE"/>
          </w:rPr>
          <w:t>Commission upon request.**).</w:t>
        </w:r>
      </w:hyperlink>
    </w:p>
    <w:p>
      <w:pPr>
        <w:spacing w:after="0" w:line="187" w:lineRule="exact"/>
        <w:rPr>
          <w:rFonts w:ascii="Arial" w:cs="Arial" w:eastAsia="Arial" w:hAnsi="Arial"/>
          <w:sz w:val="18"/>
          <w:szCs w:val="18"/>
          <w:u w:val="single" w:color="auto"/>
          <w:color w:val="0000EE"/>
        </w:rPr>
      </w:pPr>
    </w:p>
    <w:p>
      <w:pPr>
        <w:jc w:val="both"/>
        <w:ind w:left="1320" w:right="59" w:hanging="593"/>
        <w:spacing w:after="0" w:line="31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10.24* </w:t>
      </w:r>
      <w:hyperlink w:anchor="page129">
        <w:r>
          <w:rPr>
            <w:rFonts w:ascii="Arial" w:cs="Arial" w:eastAsia="Arial" w:hAnsi="Arial"/>
            <w:sz w:val="16"/>
            <w:szCs w:val="16"/>
            <w:u w:val="single" w:color="auto"/>
            <w:color w:val="0000EE"/>
          </w:rPr>
          <w:t>Employment Agreement, effective as of January 11, 2021, by and between the Company and Han Myint,</w:t>
        </w:r>
      </w:hyperlink>
      <w:r>
        <w:rPr>
          <w:rFonts w:ascii="Arial" w:cs="Arial" w:eastAsia="Arial" w:hAnsi="Arial"/>
          <w:sz w:val="16"/>
          <w:szCs w:val="16"/>
          <w:color w:val="auto"/>
        </w:rPr>
        <w:t xml:space="preserve"> </w:t>
      </w:r>
      <w:hyperlink w:anchor="page129">
        <w:r>
          <w:rPr>
            <w:rFonts w:ascii="Arial" w:cs="Arial" w:eastAsia="Arial" w:hAnsi="Arial"/>
            <w:sz w:val="16"/>
            <w:szCs w:val="16"/>
            <w:u w:val="single" w:color="auto"/>
            <w:color w:val="0000EE"/>
          </w:rPr>
          <w:t>M.D. (**Exhibits and schedules have been omitted pursuant to Item 601 of Regulation S-K and will be</w:t>
        </w:r>
      </w:hyperlink>
      <w:r>
        <w:rPr>
          <w:rFonts w:ascii="Arial" w:cs="Arial" w:eastAsia="Arial" w:hAnsi="Arial"/>
          <w:sz w:val="16"/>
          <w:szCs w:val="16"/>
          <w:u w:val="single" w:color="auto"/>
          <w:color w:val="0000EE"/>
        </w:rPr>
        <w:t xml:space="preserve"> </w:t>
      </w:r>
      <w:hyperlink w:anchor="page129">
        <w:r>
          <w:rPr>
            <w:rFonts w:ascii="Arial" w:cs="Arial" w:eastAsia="Arial" w:hAnsi="Arial"/>
            <w:sz w:val="16"/>
            <w:szCs w:val="16"/>
            <w:u w:val="single" w:color="auto"/>
            <w:color w:val="0000EE"/>
          </w:rPr>
          <w:t>furnished on a supplemental basis to the Securities and Exchange Commission upon request**).</w:t>
        </w:r>
      </w:hyperlink>
    </w:p>
    <w:p>
      <w:pPr>
        <w:spacing w:after="0" w:line="149" w:lineRule="exact"/>
        <w:rPr>
          <w:rFonts w:ascii="Arial" w:cs="Arial" w:eastAsia="Arial" w:hAnsi="Arial"/>
          <w:sz w:val="16"/>
          <w:szCs w:val="16"/>
          <w:color w:val="auto"/>
        </w:rPr>
      </w:pPr>
    </w:p>
    <w:p>
      <w:pPr>
        <w:jc w:val="both"/>
        <w:ind w:left="1320" w:right="59" w:hanging="593"/>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10.25* </w:t>
      </w:r>
      <w:hyperlink w:anchor="page137">
        <w:r>
          <w:rPr>
            <w:rFonts w:ascii="Arial" w:cs="Arial" w:eastAsia="Arial" w:hAnsi="Arial"/>
            <w:sz w:val="18"/>
            <w:szCs w:val="18"/>
            <w:u w:val="single" w:color="auto"/>
            <w:color w:val="0000EE"/>
          </w:rPr>
          <w:t>Second Amendment to Lease Agreement, dated February 19, 2020, by and between the Company and</w:t>
        </w:r>
      </w:hyperlink>
      <w:r>
        <w:rPr>
          <w:rFonts w:ascii="Arial" w:cs="Arial" w:eastAsia="Arial" w:hAnsi="Arial"/>
          <w:sz w:val="18"/>
          <w:szCs w:val="18"/>
          <w:color w:val="auto"/>
        </w:rPr>
        <w:t xml:space="preserve"> </w:t>
      </w:r>
      <w:hyperlink w:anchor="page137">
        <w:r>
          <w:rPr>
            <w:rFonts w:ascii="Arial" w:cs="Arial" w:eastAsia="Arial" w:hAnsi="Arial"/>
            <w:sz w:val="18"/>
            <w:szCs w:val="18"/>
            <w:u w:val="single" w:color="auto"/>
            <w:color w:val="0000EE"/>
          </w:rPr>
          <w:t>ARE-8000/9000/10000 Virginia Manor, LLC. (**Exhibits and schedules have been omitted pursuant to</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Item 601 of Regulation S-K and will be furnished on a supplemental basis to the Securities and Exchange</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Commission upon request**).</w:t>
        </w:r>
      </w:hyperlink>
    </w:p>
    <w:p>
      <w:pPr>
        <w:spacing w:after="0" w:line="187" w:lineRule="exact"/>
        <w:rPr>
          <w:rFonts w:ascii="Arial" w:cs="Arial" w:eastAsia="Arial" w:hAnsi="Arial"/>
          <w:sz w:val="18"/>
          <w:szCs w:val="18"/>
          <w:u w:val="single" w:color="auto"/>
          <w:color w:val="0000EE"/>
        </w:rPr>
      </w:pPr>
    </w:p>
    <w:p>
      <w:pPr>
        <w:jc w:val="both"/>
        <w:ind w:left="1320" w:right="59" w:hanging="593"/>
        <w:spacing w:after="0" w:line="25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10.26* </w:t>
      </w:r>
      <w:hyperlink w:anchor="page141">
        <w:r>
          <w:rPr>
            <w:rFonts w:ascii="Arial" w:cs="Arial" w:eastAsia="Arial" w:hAnsi="Arial"/>
            <w:sz w:val="18"/>
            <w:szCs w:val="18"/>
            <w:u w:val="single" w:color="auto"/>
            <w:color w:val="0000EE"/>
          </w:rPr>
          <w:t>Third Amendment to Lease Agreement, dated February 4, 2022, by and between the Company and ARE-</w:t>
        </w:r>
      </w:hyperlink>
      <w:hyperlink w:anchor="page141">
        <w:r>
          <w:rPr>
            <w:rFonts w:ascii="Arial" w:cs="Arial" w:eastAsia="Arial" w:hAnsi="Arial"/>
            <w:sz w:val="18"/>
            <w:szCs w:val="18"/>
            <w:u w:val="single" w:color="auto"/>
            <w:color w:val="0000EE"/>
          </w:rPr>
          <w:t>8000/9000/10000 Virginia Manor, LLC. (**Exhibits and schedules have been omitted pursuant to Item</w:t>
        </w:r>
      </w:hyperlink>
      <w:r>
        <w:rPr>
          <w:rFonts w:ascii="Arial" w:cs="Arial" w:eastAsia="Arial" w:hAnsi="Arial"/>
          <w:sz w:val="18"/>
          <w:szCs w:val="18"/>
          <w:u w:val="single" w:color="auto"/>
          <w:color w:val="0000EE"/>
        </w:rPr>
        <w:t xml:space="preserve"> </w:t>
      </w:r>
      <w:hyperlink w:anchor="page141">
        <w:r>
          <w:rPr>
            <w:rFonts w:ascii="Arial" w:cs="Arial" w:eastAsia="Arial" w:hAnsi="Arial"/>
            <w:sz w:val="18"/>
            <w:szCs w:val="18"/>
            <w:u w:val="single" w:color="auto"/>
            <w:color w:val="0000EE"/>
          </w:rPr>
          <w:t>601 of Regulation S-K and will be furnished on a supplemental basis to the Securities and Exchange</w:t>
        </w:r>
      </w:hyperlink>
      <w:r>
        <w:rPr>
          <w:rFonts w:ascii="Arial" w:cs="Arial" w:eastAsia="Arial" w:hAnsi="Arial"/>
          <w:sz w:val="18"/>
          <w:szCs w:val="18"/>
          <w:u w:val="single" w:color="auto"/>
          <w:color w:val="0000EE"/>
        </w:rPr>
        <w:t xml:space="preserve"> </w:t>
      </w:r>
      <w:hyperlink w:anchor="page141">
        <w:r>
          <w:rPr>
            <w:rFonts w:ascii="Arial" w:cs="Arial" w:eastAsia="Arial" w:hAnsi="Arial"/>
            <w:sz w:val="18"/>
            <w:szCs w:val="18"/>
            <w:u w:val="single" w:color="auto"/>
            <w:color w:val="0000EE"/>
          </w:rPr>
          <w:t>Commission upon request**).</w:t>
        </w:r>
      </w:hyperlink>
    </w:p>
    <w:p>
      <w:pPr>
        <w:spacing w:after="0" w:line="187" w:lineRule="exact"/>
        <w:rPr>
          <w:rFonts w:ascii="Arial" w:cs="Arial" w:eastAsia="Arial" w:hAnsi="Arial"/>
          <w:sz w:val="18"/>
          <w:szCs w:val="18"/>
          <w:u w:val="single" w:color="auto"/>
          <w:color w:val="0000EE"/>
        </w:rPr>
      </w:pPr>
    </w:p>
    <w:p>
      <w:pPr>
        <w:ind w:left="80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51">
        <w:r>
          <w:rPr>
            <w:rFonts w:ascii="Arial" w:cs="Arial" w:eastAsia="Arial" w:hAnsi="Arial"/>
            <w:sz w:val="16"/>
            <w:szCs w:val="16"/>
            <w:u w:val="single" w:color="auto"/>
            <w:color w:val="0000EE"/>
          </w:rPr>
          <w:t>Consent of Ernst &amp; Young LLP, independent registered public accounting firm.</w:t>
        </w:r>
      </w:hyperlink>
    </w:p>
    <w:p>
      <w:pPr>
        <w:spacing w:after="0" w:line="225" w:lineRule="exact"/>
        <w:rPr>
          <w:rFonts w:ascii="Arial" w:cs="Arial" w:eastAsia="Arial" w:hAnsi="Arial"/>
          <w:sz w:val="18"/>
          <w:szCs w:val="18"/>
          <w:u w:val="single" w:color="auto"/>
          <w:color w:val="0000EE"/>
        </w:rPr>
      </w:pPr>
    </w:p>
    <w:p>
      <w:pPr>
        <w:ind w:left="800"/>
        <w:spacing w:after="0"/>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118">
        <w:r>
          <w:rPr>
            <w:rFonts w:ascii="Arial" w:cs="Arial" w:eastAsia="Arial" w:hAnsi="Arial"/>
            <w:sz w:val="16"/>
            <w:szCs w:val="16"/>
            <w:u w:val="single" w:color="auto"/>
            <w:color w:val="0000EE"/>
          </w:rPr>
          <w:t>Power of Attorney (included on the signature page of this Annual Report on Form 10-K).</w:t>
        </w:r>
      </w:hyperlink>
    </w:p>
    <w:p>
      <w:pPr>
        <w:spacing w:after="0" w:line="225" w:lineRule="exact"/>
        <w:rPr>
          <w:rFonts w:ascii="Arial" w:cs="Arial" w:eastAsia="Arial" w:hAnsi="Arial"/>
          <w:sz w:val="18"/>
          <w:szCs w:val="18"/>
          <w:u w:val="single" w:color="auto"/>
          <w:color w:val="0000EE"/>
        </w:rPr>
      </w:pPr>
    </w:p>
    <w:p>
      <w:pPr>
        <w:ind w:left="1320" w:right="59" w:hanging="503"/>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152">
        <w:r>
          <w:rPr>
            <w:rFonts w:ascii="Arial" w:cs="Arial" w:eastAsia="Arial" w:hAnsi="Arial"/>
            <w:sz w:val="18"/>
            <w:szCs w:val="18"/>
            <w:u w:val="single" w:color="auto"/>
            <w:color w:val="0000EE"/>
          </w:rPr>
          <w:t>Certification of Michael Richman pursuant to Rule 13a-14(a) under the Securities Exchange Act of 1934</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as adopted pursuant to Section 302 of the Sarbanes-Oxley Act of 2002.</w:t>
        </w:r>
      </w:hyperlink>
    </w:p>
    <w:p>
      <w:pPr>
        <w:spacing w:after="0" w:line="170" w:lineRule="exact"/>
        <w:rPr>
          <w:sz w:val="20"/>
          <w:szCs w:val="20"/>
          <w:color w:val="auto"/>
        </w:rPr>
      </w:pPr>
    </w:p>
    <w:p>
      <w:pPr>
        <w:ind w:left="1320" w:right="79" w:hanging="503"/>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53">
        <w:r>
          <w:rPr>
            <w:rFonts w:ascii="Arial" w:cs="Arial" w:eastAsia="Arial" w:hAnsi="Arial"/>
            <w:sz w:val="18"/>
            <w:szCs w:val="18"/>
            <w:u w:val="single" w:color="auto"/>
            <w:color w:val="0000EE"/>
          </w:rPr>
          <w:t>Certification of Steven P. Cobourn pursuant to Rule 13a-14(a) under the Securities Exchange Act of 1934</w:t>
        </w:r>
      </w:hyperlink>
      <w:r>
        <w:rPr>
          <w:rFonts w:ascii="Arial" w:cs="Arial" w:eastAsia="Arial" w:hAnsi="Arial"/>
          <w:sz w:val="18"/>
          <w:szCs w:val="18"/>
          <w:u w:val="single" w:color="auto"/>
          <w:color w:val="0000EE"/>
        </w:rPr>
        <w:t xml:space="preserve"> </w:t>
      </w:r>
      <w:hyperlink w:anchor="page153">
        <w:r>
          <w:rPr>
            <w:rFonts w:ascii="Arial" w:cs="Arial" w:eastAsia="Arial" w:hAnsi="Arial"/>
            <w:sz w:val="18"/>
            <w:szCs w:val="18"/>
            <w:u w:val="single" w:color="auto"/>
            <w:color w:val="0000EE"/>
          </w:rPr>
          <w:t>as adopted pursuant to Section 302 of the Sarbanes-Oxley Act of 2002.</w:t>
        </w:r>
      </w:hyperlink>
    </w:p>
    <w:p>
      <w:pPr>
        <w:spacing w:after="0" w:line="170" w:lineRule="exact"/>
        <w:rPr>
          <w:sz w:val="20"/>
          <w:szCs w:val="20"/>
          <w:color w:val="auto"/>
        </w:rPr>
      </w:pPr>
    </w:p>
    <w:p>
      <w:pPr>
        <w:ind w:left="1320" w:right="79" w:hanging="503"/>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54">
        <w:r>
          <w:rPr>
            <w:rFonts w:ascii="Arial" w:cs="Arial" w:eastAsia="Arial" w:hAnsi="Arial"/>
            <w:sz w:val="18"/>
            <w:szCs w:val="18"/>
            <w:u w:val="single" w:color="auto"/>
            <w:color w:val="0000EE"/>
          </w:rPr>
          <w:t>Certification of Michael Richman and Steven P. Cobourn pursuant to 18 U.S.C. Section 1350 as adopted</w:t>
        </w:r>
      </w:hyperlink>
      <w:r>
        <w:rPr>
          <w:rFonts w:ascii="Arial" w:cs="Arial" w:eastAsia="Arial" w:hAnsi="Arial"/>
          <w:sz w:val="18"/>
          <w:szCs w:val="18"/>
          <w:u w:val="single" w:color="auto"/>
          <w:color w:val="0000EE"/>
        </w:rPr>
        <w:t xml:space="preserve"> </w:t>
      </w:r>
      <w:hyperlink w:anchor="page154">
        <w:r>
          <w:rPr>
            <w:rFonts w:ascii="Arial" w:cs="Arial" w:eastAsia="Arial" w:hAnsi="Arial"/>
            <w:sz w:val="18"/>
            <w:szCs w:val="18"/>
            <w:u w:val="single" w:color="auto"/>
            <w:color w:val="0000EE"/>
          </w:rPr>
          <w:t>pursuant to Section 906 of the Sarbanes-Oxley Act of 2002.</w:t>
        </w:r>
      </w:hyperlink>
    </w:p>
    <w:p>
      <w:pPr>
        <w:spacing w:after="0" w:line="170"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18"/>
          <w:szCs w:val="18"/>
          <w:color w:val="auto"/>
        </w:rPr>
        <w:t>EX-101.INS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ind w:left="160"/>
        <w:spacing w:after="0"/>
        <w:tabs>
          <w:tab w:leader="none" w:pos="1300" w:val="left"/>
        </w:tabs>
        <w:rPr>
          <w:sz w:val="20"/>
          <w:szCs w:val="20"/>
          <w:color w:val="auto"/>
        </w:rPr>
      </w:pPr>
      <w:r>
        <w:rPr>
          <w:rFonts w:ascii="Arial" w:cs="Arial" w:eastAsia="Arial" w:hAnsi="Arial"/>
          <w:sz w:val="18"/>
          <w:szCs w:val="18"/>
          <w:color w:val="auto"/>
        </w:rPr>
        <w:t>EX-101.SCH</w:t>
      </w:r>
      <w:r>
        <w:rPr>
          <w:sz w:val="20"/>
          <w:szCs w:val="20"/>
          <w:color w:val="auto"/>
        </w:rPr>
        <w:tab/>
      </w:r>
      <w:r>
        <w:rPr>
          <w:rFonts w:ascii="Arial" w:cs="Arial" w:eastAsia="Arial" w:hAnsi="Arial"/>
          <w:sz w:val="16"/>
          <w:szCs w:val="16"/>
          <w:color w:val="auto"/>
        </w:rPr>
        <w:t>XBRL Taxonomy Extension Schema Document</w:t>
      </w:r>
    </w:p>
    <w:p>
      <w:pPr>
        <w:spacing w:after="0" w:line="225"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color w:val="auto"/>
        </w:rPr>
        <w:t>EX-101.CAL</w:t>
      </w:r>
      <w:r>
        <w:rPr>
          <w:sz w:val="20"/>
          <w:szCs w:val="20"/>
          <w:color w:val="auto"/>
        </w:rPr>
        <w:tab/>
      </w:r>
      <w:r>
        <w:rPr>
          <w:rFonts w:ascii="Arial" w:cs="Arial" w:eastAsia="Arial" w:hAnsi="Arial"/>
          <w:sz w:val="16"/>
          <w:szCs w:val="16"/>
          <w:color w:val="auto"/>
        </w:rPr>
        <w:t>XBRL Taxonomy Extension Calculation Linkbase Document</w:t>
      </w:r>
    </w:p>
    <w:p>
      <w:pPr>
        <w:spacing w:after="0" w:line="225" w:lineRule="exact"/>
        <w:rPr>
          <w:sz w:val="20"/>
          <w:szCs w:val="20"/>
          <w:color w:val="auto"/>
        </w:rPr>
      </w:pPr>
    </w:p>
    <w:p>
      <w:pPr>
        <w:ind w:left="160"/>
        <w:spacing w:after="0"/>
        <w:tabs>
          <w:tab w:leader="none" w:pos="1300" w:val="left"/>
        </w:tabs>
        <w:rPr>
          <w:sz w:val="20"/>
          <w:szCs w:val="20"/>
          <w:color w:val="auto"/>
        </w:rPr>
      </w:pPr>
      <w:r>
        <w:rPr>
          <w:rFonts w:ascii="Arial" w:cs="Arial" w:eastAsia="Arial" w:hAnsi="Arial"/>
          <w:sz w:val="18"/>
          <w:szCs w:val="18"/>
          <w:color w:val="auto"/>
        </w:rPr>
        <w:t>EX-101.DEF</w:t>
      </w:r>
      <w:r>
        <w:rPr>
          <w:sz w:val="20"/>
          <w:szCs w:val="20"/>
          <w:color w:val="auto"/>
        </w:rPr>
        <w:tab/>
      </w:r>
      <w:r>
        <w:rPr>
          <w:rFonts w:ascii="Arial" w:cs="Arial" w:eastAsia="Arial" w:hAnsi="Arial"/>
          <w:sz w:val="16"/>
          <w:szCs w:val="16"/>
          <w:color w:val="auto"/>
        </w:rPr>
        <w:t>XBRL Taxonomy Extension Definition Linkbase Document</w:t>
      </w:r>
    </w:p>
    <w:p>
      <w:pPr>
        <w:spacing w:after="0" w:line="225"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color w:val="auto"/>
        </w:rPr>
        <w:t>EX-101.LAB</w:t>
      </w:r>
      <w:r>
        <w:rPr>
          <w:sz w:val="20"/>
          <w:szCs w:val="20"/>
          <w:color w:val="auto"/>
        </w:rPr>
        <w:tab/>
      </w:r>
      <w:r>
        <w:rPr>
          <w:rFonts w:ascii="Arial" w:cs="Arial" w:eastAsia="Arial" w:hAnsi="Arial"/>
          <w:sz w:val="16"/>
          <w:szCs w:val="16"/>
          <w:color w:val="auto"/>
        </w:rPr>
        <w:t>XBRL Taxonomy Extension Label Linkbase Document</w:t>
      </w:r>
    </w:p>
    <w:p>
      <w:pPr>
        <w:spacing w:after="0" w:line="225"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18"/>
          <w:szCs w:val="18"/>
          <w:color w:val="auto"/>
        </w:rPr>
        <w:t>EX-101.PRE</w:t>
      </w:r>
      <w:r>
        <w:rPr>
          <w:sz w:val="20"/>
          <w:szCs w:val="20"/>
          <w:color w:val="auto"/>
        </w:rPr>
        <w:tab/>
      </w:r>
      <w:r>
        <w:rPr>
          <w:rFonts w:ascii="Arial" w:cs="Arial" w:eastAsia="Arial" w:hAnsi="Arial"/>
          <w:sz w:val="16"/>
          <w:szCs w:val="16"/>
          <w:color w:val="auto"/>
        </w:rPr>
        <w:t>XBRL Taxonomy Extension Presentation Linkbase Document</w:t>
      </w:r>
    </w:p>
    <w:p>
      <w:pPr>
        <w:spacing w:after="0" w:line="225" w:lineRule="exact"/>
        <w:rPr>
          <w:sz w:val="20"/>
          <w:szCs w:val="20"/>
          <w:color w:val="auto"/>
        </w:rPr>
      </w:pPr>
    </w:p>
    <w:p>
      <w:pPr>
        <w:jc w:val="center"/>
        <w:ind w:right="-780"/>
        <w:spacing w:after="0"/>
        <w:tabs>
          <w:tab w:leader="none" w:pos="180" w:val="left"/>
        </w:tabs>
        <w:rPr>
          <w:sz w:val="20"/>
          <w:szCs w:val="20"/>
          <w:color w:val="auto"/>
        </w:rPr>
      </w:pPr>
      <w:r>
        <w:rPr>
          <w:rFonts w:ascii="Arial" w:cs="Arial" w:eastAsia="Arial" w:hAnsi="Arial"/>
          <w:sz w:val="18"/>
          <w:szCs w:val="18"/>
          <w:color w:val="auto"/>
        </w:rPr>
        <w:t>104</w:t>
        <w:tab/>
        <w:t>Coverage Page Interactive Data File (formatted as Inline XBRL and contained in Exhibit 101).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760730</wp:posOffset>
            </wp:positionV>
            <wp:extent cx="14141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Indicates a management contract or compensatory plan.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Portions of this exhibit have been omitted in compliance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40" w:type="dxa"/>
            <w:vAlign w:val="bottom"/>
            <w:gridSpan w:val="2"/>
          </w:tcPr>
          <w:p>
            <w:pPr>
              <w:ind w:left="1480"/>
              <w:spacing w:after="0"/>
              <w:rPr>
                <w:sz w:val="20"/>
                <w:szCs w:val="20"/>
                <w:color w:val="auto"/>
              </w:rPr>
            </w:pPr>
            <w:r>
              <w:rPr>
                <w:rFonts w:ascii="Arial" w:cs="Arial" w:eastAsia="Arial" w:hAnsi="Arial"/>
                <w:sz w:val="18"/>
                <w:szCs w:val="18"/>
                <w:b w:val="1"/>
                <w:bCs w:val="1"/>
                <w:color w:val="auto"/>
              </w:rPr>
              <w:t>NEXTCURE,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March 3, 2022</w:t>
            </w:r>
          </w:p>
        </w:tc>
        <w:tc>
          <w:tcPr>
            <w:tcW w:w="5940" w:type="dxa"/>
            <w:vAlign w:val="bottom"/>
            <w:gridSpan w:val="2"/>
          </w:tcPr>
          <w:p>
            <w:pPr>
              <w:ind w:left="1480"/>
              <w:spacing w:after="0"/>
              <w:rPr>
                <w:sz w:val="20"/>
                <w:szCs w:val="20"/>
                <w:color w:val="auto"/>
              </w:rPr>
            </w:pPr>
            <w:r>
              <w:rPr>
                <w:rFonts w:ascii="Arial" w:cs="Arial" w:eastAsia="Arial" w:hAnsi="Arial"/>
                <w:sz w:val="18"/>
                <w:szCs w:val="18"/>
                <w:color w:val="auto"/>
              </w:rPr>
              <w:t>By:   /s/ Michael Richman</w:t>
            </w:r>
          </w:p>
        </w:tc>
      </w:tr>
      <w:tr>
        <w:trPr>
          <w:trHeight w:val="211"/>
        </w:trPr>
        <w:tc>
          <w:tcPr>
            <w:tcW w:w="2960" w:type="dxa"/>
            <w:vAlign w:val="bottom"/>
          </w:tcPr>
          <w:p>
            <w:pPr>
              <w:spacing w:after="0"/>
              <w:rPr>
                <w:sz w:val="18"/>
                <w:szCs w:val="18"/>
                <w:color w:val="auto"/>
              </w:rPr>
            </w:pPr>
          </w:p>
        </w:tc>
        <w:tc>
          <w:tcPr>
            <w:tcW w:w="2040" w:type="dxa"/>
            <w:vAlign w:val="bottom"/>
          </w:tcPr>
          <w:p>
            <w:pPr>
              <w:ind w:left="1480"/>
              <w:spacing w:after="0"/>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Richman</w:t>
            </w:r>
          </w:p>
        </w:tc>
      </w:tr>
    </w:tbl>
    <w:p>
      <w:pPr>
        <w:ind w:left="5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7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Each person whose signature appears below constitutes and appoints Michael Richman and Steven P. Cobourn and each of them, jointly and severally, his or her attorneys-in-fact, each with full power of substitution, for him or her in any and all capacities, to sign any and all amendments to this Annual Report on Form 10-K, and to file the same, with exhibits thereto and other documents in connection therewith, with the Securities and Exchange Commission.</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6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4"/>
                <w:szCs w:val="14"/>
                <w:color w:val="auto"/>
              </w:rPr>
            </w:pPr>
          </w:p>
        </w:tc>
        <w:tc>
          <w:tcPr>
            <w:tcW w:w="38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5"/>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President, Chief Executive Officer and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Michael Richman</w:t>
            </w:r>
          </w:p>
        </w:tc>
        <w:tc>
          <w:tcPr>
            <w:tcW w:w="4320" w:type="dxa"/>
            <w:vAlign w:val="bottom"/>
            <w:gridSpan w:val="3"/>
          </w:tcPr>
          <w:p>
            <w:pPr>
              <w:ind w:left="200"/>
              <w:spacing w:after="0"/>
              <w:rPr>
                <w:sz w:val="20"/>
                <w:szCs w:val="20"/>
                <w:color w:val="auto"/>
              </w:rPr>
            </w:pPr>
            <w:r>
              <w:rPr>
                <w:rFonts w:ascii="Arial" w:cs="Arial" w:eastAsia="Arial" w:hAnsi="Arial"/>
                <w:sz w:val="18"/>
                <w:szCs w:val="18"/>
                <w:i w:val="1"/>
                <w:iCs w:val="1"/>
                <w:color w:val="auto"/>
              </w:rPr>
              <w:t>(Principal Executive Officer)</w:t>
            </w: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Steven P. Cobourn</w:t>
            </w:r>
          </w:p>
        </w:tc>
        <w:tc>
          <w:tcPr>
            <w:tcW w:w="4320" w:type="dxa"/>
            <w:vAlign w:val="bottom"/>
            <w:gridSpan w:val="3"/>
          </w:tcPr>
          <w:p>
            <w:pPr>
              <w:ind w:left="200"/>
              <w:spacing w:after="0"/>
              <w:rPr>
                <w:sz w:val="20"/>
                <w:szCs w:val="20"/>
                <w:color w:val="auto"/>
              </w:rPr>
            </w:pPr>
            <w:r>
              <w:rPr>
                <w:rFonts w:ascii="Arial" w:cs="Arial" w:eastAsia="Arial" w:hAnsi="Arial"/>
                <w:sz w:val="18"/>
                <w:szCs w:val="18"/>
                <w:i w:val="1"/>
                <w:iCs w:val="1"/>
                <w:color w:val="auto"/>
              </w:rPr>
              <w:t>(Principal Financial and Accounting Officer)</w:t>
            </w: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Kabakoff</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Chair of the Board</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David Kabakoff,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Borgman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Anne Borgman, M.D.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G. Feigal</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Ellen G. Feigal, M.D.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Houston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John G. Houston,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Elaine V. Jones</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Elaine V. Jones,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Chau Q. Khuong</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Chau Q. Khuong</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Garry Nicholson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Garry Nicholson</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Webster</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Stephen Webster</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8700"/>
        <w:spacing w:after="0"/>
        <w:rPr>
          <w:sz w:val="20"/>
          <w:szCs w:val="20"/>
          <w:color w:val="auto"/>
        </w:rPr>
      </w:pPr>
      <w:r>
        <w:rPr>
          <w:rFonts w:ascii="Arial" w:cs="Arial" w:eastAsia="Arial" w:hAnsi="Arial"/>
          <w:sz w:val="19"/>
          <w:szCs w:val="19"/>
          <w:b w:val="1"/>
          <w:bCs w:val="1"/>
          <w:color w:val="auto"/>
        </w:rPr>
        <w:t>Exhibit 10.23</w:t>
      </w:r>
    </w:p>
    <w:p>
      <w:pPr>
        <w:spacing w:after="0" w:line="24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CERTAIN IDENTIFIED INFORMATION HAS BEEN EXCLUDED FROM THE EXHIBIT BECAUSE IT IS BOTH NOT MATERIAL AND IS THE TYPE THAT THE REGISTRANT TREATS AS PRIVATE OR CONFIDENTIAL. OMITTED INFORMATION HAS BEEN REPLACED WITH [***].</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LICENSE AGREEMENT AND SRA</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THIS SECOND AMENDMENT TO LICENSE AGREEMENT AND SRA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is made and entered into, and effective, as of this 20</w:t>
      </w:r>
      <w:r>
        <w:rPr>
          <w:rFonts w:ascii="Arial" w:cs="Arial" w:eastAsia="Arial" w:hAnsi="Arial"/>
          <w:sz w:val="14"/>
          <w:szCs w:val="14"/>
          <w:color w:val="auto"/>
        </w:rPr>
        <w:t>th</w:t>
      </w:r>
      <w:r>
        <w:rPr>
          <w:rFonts w:ascii="Arial" w:cs="Arial" w:eastAsia="Arial" w:hAnsi="Arial"/>
          <w:sz w:val="19"/>
          <w:szCs w:val="19"/>
          <w:color w:val="auto"/>
        </w:rPr>
        <w:t xml:space="preserve"> day of October 2021 (the “</w:t>
      </w:r>
      <w:r>
        <w:rPr>
          <w:rFonts w:ascii="Arial" w:cs="Arial" w:eastAsia="Arial" w:hAnsi="Arial"/>
          <w:sz w:val="19"/>
          <w:szCs w:val="19"/>
          <w:b w:val="1"/>
          <w:bCs w:val="1"/>
          <w:i w:val="1"/>
          <w:iCs w:val="1"/>
          <w:color w:val="auto"/>
        </w:rPr>
        <w:t>AMENDMENT EFFECTIVE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by and between Yale University, a nonprofit corporation organized and existing under and by virtue of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charter granted by the general assembly of the Colony and State of Connecticut (“</w:t>
      </w:r>
      <w:r>
        <w:rPr>
          <w:rFonts w:ascii="Arial" w:cs="Arial" w:eastAsia="Arial" w:hAnsi="Arial"/>
          <w:sz w:val="19"/>
          <w:szCs w:val="19"/>
          <w:b w:val="1"/>
          <w:bCs w:val="1"/>
          <w:i w:val="1"/>
          <w:iCs w:val="1"/>
          <w:color w:val="auto"/>
        </w:rPr>
        <w:t>YALE</w:t>
      </w:r>
      <w:r>
        <w:rPr>
          <w:rFonts w:ascii="Arial" w:cs="Arial" w:eastAsia="Arial" w:hAnsi="Arial"/>
          <w:sz w:val="19"/>
          <w:szCs w:val="19"/>
          <w:color w:val="auto"/>
        </w:rPr>
        <w:t>”), and NextCure, Inc., a corporation organized and existing under the laws of the State of Delaware (“</w:t>
      </w:r>
      <w:r>
        <w:rPr>
          <w:rFonts w:ascii="Arial" w:cs="Arial" w:eastAsia="Arial" w:hAnsi="Arial"/>
          <w:sz w:val="19"/>
          <w:szCs w:val="19"/>
          <w:b w:val="1"/>
          <w:bCs w:val="1"/>
          <w:i w:val="1"/>
          <w:iCs w:val="1"/>
          <w:color w:val="auto"/>
        </w:rPr>
        <w:t>LICENSEE</w:t>
      </w:r>
      <w:r>
        <w:rPr>
          <w:rFonts w:ascii="Arial" w:cs="Arial" w:eastAsia="Arial" w:hAnsi="Arial"/>
          <w:sz w:val="19"/>
          <w:szCs w:val="19"/>
          <w:color w:val="auto"/>
        </w:rPr>
        <w:t>”). YALE and LICENSEE are each referred to herein, individually, as a “party” and, collectively, as the “parties.”</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WHEREAS, the parties entered into that certain License Agreement effective as of December 29, 2015, as amended by the Amendment to License Agreement and SRA (the “</w:t>
      </w:r>
      <w:r>
        <w:rPr>
          <w:rFonts w:ascii="Arial" w:cs="Arial" w:eastAsia="Arial" w:hAnsi="Arial"/>
          <w:sz w:val="19"/>
          <w:szCs w:val="19"/>
          <w:b w:val="1"/>
          <w:bCs w:val="1"/>
          <w:i w:val="1"/>
          <w:iCs w:val="1"/>
          <w:color w:val="auto"/>
        </w:rPr>
        <w:t>First Amendment</w:t>
      </w:r>
      <w:r>
        <w:rPr>
          <w:rFonts w:ascii="Arial" w:cs="Arial" w:eastAsia="Arial" w:hAnsi="Arial"/>
          <w:sz w:val="19"/>
          <w:szCs w:val="19"/>
          <w:color w:val="auto"/>
        </w:rPr>
        <w:t>”) made and entered into as of April 25, 2020 and effective as of January 31, 2020 (the “</w:t>
      </w:r>
      <w:r>
        <w:rPr>
          <w:rFonts w:ascii="Arial" w:cs="Arial" w:eastAsia="Arial" w:hAnsi="Arial"/>
          <w:sz w:val="19"/>
          <w:szCs w:val="19"/>
          <w:b w:val="1"/>
          <w:bCs w:val="1"/>
          <w:i w:val="1"/>
          <w:iCs w:val="1"/>
          <w:color w:val="auto"/>
        </w:rPr>
        <w:t>Existing License Agreement</w:t>
      </w:r>
      <w:r>
        <w:rPr>
          <w:rFonts w:ascii="Arial" w:cs="Arial" w:eastAsia="Arial" w:hAnsi="Arial"/>
          <w:sz w:val="19"/>
          <w:szCs w:val="19"/>
          <w:color w:val="auto"/>
        </w:rPr>
        <w:t>” and, as amended by this AMENDMENT, the “</w:t>
      </w:r>
      <w:r>
        <w:rPr>
          <w:rFonts w:ascii="Arial" w:cs="Arial" w:eastAsia="Arial" w:hAnsi="Arial"/>
          <w:sz w:val="19"/>
          <w:szCs w:val="19"/>
          <w:b w:val="1"/>
          <w:bCs w:val="1"/>
          <w:i w:val="1"/>
          <w:iCs w:val="1"/>
          <w:color w:val="auto"/>
        </w:rPr>
        <w:t>License Agreement</w:t>
      </w:r>
      <w:r>
        <w:rPr>
          <w:rFonts w:ascii="Arial" w:cs="Arial" w:eastAsia="Arial" w:hAnsi="Arial"/>
          <w:sz w:val="19"/>
          <w:szCs w:val="19"/>
          <w:color w:val="auto"/>
        </w:rPr>
        <w:t>”) and the parties entered into that certain Corporate Sponsored Research Agreement effective as of December 29, 2015, as amended by the First Amendment (the “</w:t>
      </w:r>
      <w:r>
        <w:rPr>
          <w:rFonts w:ascii="Arial" w:cs="Arial" w:eastAsia="Arial" w:hAnsi="Arial"/>
          <w:sz w:val="19"/>
          <w:szCs w:val="19"/>
          <w:b w:val="1"/>
          <w:bCs w:val="1"/>
          <w:i w:val="1"/>
          <w:i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SRA</w:t>
      </w:r>
      <w:r>
        <w:rPr>
          <w:rFonts w:ascii="Arial" w:cs="Arial" w:eastAsia="Arial" w:hAnsi="Arial"/>
          <w:sz w:val="19"/>
          <w:szCs w:val="19"/>
          <w:color w:val="auto"/>
        </w:rPr>
        <w:t>” and, as amended by this AMENDMENT the “</w:t>
      </w:r>
      <w:r>
        <w:rPr>
          <w:rFonts w:ascii="Arial" w:cs="Arial" w:eastAsia="Arial" w:hAnsi="Arial"/>
          <w:sz w:val="19"/>
          <w:szCs w:val="19"/>
          <w:b w:val="1"/>
          <w:bCs w:val="1"/>
          <w:i w:val="1"/>
          <w:iCs w:val="1"/>
          <w:color w:val="auto"/>
        </w:rPr>
        <w:t>SRA</w:t>
      </w:r>
      <w:r>
        <w:rPr>
          <w:rFonts w:ascii="Arial" w:cs="Arial" w:eastAsia="Arial" w:hAnsi="Arial"/>
          <w:sz w:val="19"/>
          <w:szCs w:val="19"/>
          <w:color w:val="auto"/>
        </w:rPr>
        <w:t>”); and</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WHEREAS, the Parties desire to amend the Existing License Agreement and the Existing SRA as more particularly set forth in this AMENDMENT, or as the context of this AMENDMENT may require.</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mutual promises, representations, warranties and covenants set forth in this AMENDMENT, and for other good and valuable consideration, the receipt and sufficiency of which are hereby acknowledged, the parties hereto hereby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 AMENDMENTS TO DEFINITIONS</w:t>
      </w:r>
    </w:p>
    <w:p>
      <w:pPr>
        <w:spacing w:after="0" w:line="212"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Definitions and Phrases</w:t>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following terms used in this AMENDMENT shall be defined as set forth below:</w:t>
      </w:r>
    </w:p>
    <w:p>
      <w:pPr>
        <w:spacing w:after="0" w:line="227" w:lineRule="exact"/>
        <w:rPr>
          <w:sz w:val="20"/>
          <w:szCs w:val="20"/>
          <w:color w:val="auto"/>
        </w:rPr>
      </w:pPr>
    </w:p>
    <w:p>
      <w:pPr>
        <w:jc w:val="both"/>
        <w:ind w:firstLine="1304"/>
        <w:spacing w:after="0" w:line="260" w:lineRule="auto"/>
        <w:tabs>
          <w:tab w:leader="none" w:pos="1819" w:val="left"/>
        </w:tabs>
        <w:numPr>
          <w:ilvl w:val="0"/>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RELINQUISHED TARGET COPYRIGHTS</w:t>
      </w:r>
      <w:r>
        <w:rPr>
          <w:rFonts w:ascii="Arial" w:cs="Arial" w:eastAsia="Arial" w:hAnsi="Arial"/>
          <w:sz w:val="21"/>
          <w:szCs w:val="21"/>
          <w:color w:val="auto"/>
        </w:rPr>
        <w:t>” means all copyrights and copyrightable materials, including data and software, created in performance of the RESEARCH to the extent directed to the RELINQUISHED TARGETS or the RELINQUISHED TARGET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19" w:name="page120"/>
    <w:bookmarkEnd w:id="119"/>
    <w:p>
      <w:pPr>
        <w:jc w:val="both"/>
        <w:ind w:firstLine="1304"/>
        <w:spacing w:after="0" w:line="261" w:lineRule="auto"/>
        <w:tabs>
          <w:tab w:leader="none" w:pos="202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RELINQUISHED TARGET INFORMATION</w:t>
      </w:r>
      <w:r>
        <w:rPr>
          <w:rFonts w:ascii="Arial" w:cs="Arial" w:eastAsia="Arial" w:hAnsi="Arial"/>
          <w:sz w:val="21"/>
          <w:szCs w:val="21"/>
          <w:color w:val="auto"/>
        </w:rPr>
        <w:t>” means all data, know-how and information, in any form, whether or not patentable, including all RESEARCH RESULTS, in each case, to the extent directed to the RELINQUISHED TARGETS or the RELINQUISHED TARGET INVENTIONS.</w:t>
      </w:r>
    </w:p>
    <w:p>
      <w:pPr>
        <w:spacing w:after="0" w:line="184" w:lineRule="exact"/>
        <w:rPr>
          <w:rFonts w:ascii="Arial" w:cs="Arial" w:eastAsia="Arial" w:hAnsi="Arial"/>
          <w:sz w:val="21"/>
          <w:szCs w:val="21"/>
          <w:color w:val="auto"/>
        </w:rPr>
      </w:pPr>
    </w:p>
    <w:p>
      <w:pPr>
        <w:ind w:firstLine="1304"/>
        <w:spacing w:after="0" w:line="256" w:lineRule="auto"/>
        <w:tabs>
          <w:tab w:leader="none" w:pos="1738"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RELINQUISHED TARGET INVENTIONS</w:t>
      </w:r>
      <w:r>
        <w:rPr>
          <w:rFonts w:ascii="Arial" w:cs="Arial" w:eastAsia="Arial" w:hAnsi="Arial"/>
          <w:sz w:val="22"/>
          <w:szCs w:val="22"/>
          <w:color w:val="auto"/>
        </w:rPr>
        <w:t>” means all INVENTIONS (as defined in the Existing SRA) to the extent directed to the RELINQUISHED TARGETS.</w:t>
      </w:r>
    </w:p>
    <w:p>
      <w:pPr>
        <w:spacing w:after="0" w:line="189" w:lineRule="exact"/>
        <w:rPr>
          <w:rFonts w:ascii="Arial" w:cs="Arial" w:eastAsia="Arial" w:hAnsi="Arial"/>
          <w:sz w:val="22"/>
          <w:szCs w:val="22"/>
          <w:color w:val="auto"/>
        </w:rPr>
      </w:pPr>
    </w:p>
    <w:p>
      <w:pPr>
        <w:ind w:firstLine="1304"/>
        <w:spacing w:after="0" w:line="256" w:lineRule="auto"/>
        <w:tabs>
          <w:tab w:leader="none" w:pos="1791"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RELINQUISHED TARGET MATERIALS</w:t>
      </w:r>
      <w:r>
        <w:rPr>
          <w:rFonts w:ascii="Arial" w:cs="Arial" w:eastAsia="Arial" w:hAnsi="Arial"/>
          <w:sz w:val="22"/>
          <w:szCs w:val="22"/>
          <w:color w:val="auto"/>
        </w:rPr>
        <w:t>” means all materials, including TANGIBLE RESEARCH PROPERTY, to the extent directed to the RELINQUISHED TARGETS.</w:t>
      </w:r>
    </w:p>
    <w:p>
      <w:pPr>
        <w:spacing w:after="0" w:line="189" w:lineRule="exact"/>
        <w:rPr>
          <w:rFonts w:ascii="Arial" w:cs="Arial" w:eastAsia="Arial" w:hAnsi="Arial"/>
          <w:sz w:val="22"/>
          <w:szCs w:val="22"/>
          <w:color w:val="auto"/>
        </w:rPr>
      </w:pPr>
    </w:p>
    <w:p>
      <w:pPr>
        <w:ind w:left="1700" w:hanging="396"/>
        <w:spacing w:after="0"/>
        <w:tabs>
          <w:tab w:leader="none" w:pos="17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RELINQUISHED TARGETS</w:t>
      </w:r>
      <w:r>
        <w:rPr>
          <w:rFonts w:ascii="Arial" w:cs="Arial" w:eastAsia="Arial" w:hAnsi="Arial"/>
          <w:sz w:val="22"/>
          <w:szCs w:val="22"/>
          <w:color w:val="auto"/>
        </w:rPr>
        <w:t xml:space="preserve">” means </w:t>
      </w:r>
      <w:r>
        <w:rPr>
          <w:rFonts w:ascii="Arial" w:cs="Arial" w:eastAsia="Arial" w:hAnsi="Arial"/>
          <w:sz w:val="17"/>
          <w:szCs w:val="17"/>
          <w:color w:val="auto"/>
        </w:rPr>
        <w:t>[***]</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1.2 The term “</w:t>
      </w:r>
      <w:r>
        <w:rPr>
          <w:rFonts w:ascii="Arial" w:cs="Arial" w:eastAsia="Arial" w:hAnsi="Arial"/>
          <w:sz w:val="22"/>
          <w:szCs w:val="22"/>
          <w:b w:val="1"/>
          <w:bCs w:val="1"/>
          <w:color w:val="auto"/>
        </w:rPr>
        <w:t>to the extent directed to</w:t>
      </w:r>
      <w:r>
        <w:rPr>
          <w:rFonts w:ascii="Arial" w:cs="Arial" w:eastAsia="Arial" w:hAnsi="Arial"/>
          <w:sz w:val="22"/>
          <w:szCs w:val="22"/>
          <w:color w:val="auto"/>
        </w:rPr>
        <w:t>” means, with respect to any RELINQUISHED TARGET INFORMATION, RELINQUISHED TARGET INVENTIONS or RELINQUISHED TARGET MATERIALS, such information, inventions or materials applicable to the RELINQUISHED TARGET, but not information, inventions or materials applicable to any other target.</w:t>
      </w:r>
    </w:p>
    <w:p>
      <w:pPr>
        <w:spacing w:after="0" w:line="186"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1.3 Capitalized terms used, but not defined, in this AMENDMENT shall have the respective meanings ascribed to such terms in the Existing License Agreement, or the Existing SRA, as applicable.</w:t>
      </w:r>
    </w:p>
    <w:p>
      <w:pPr>
        <w:spacing w:after="0" w:line="14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1.4 Any reference to “</w:t>
      </w:r>
      <w:r>
        <w:rPr>
          <w:rFonts w:ascii="Arial" w:cs="Arial" w:eastAsia="Arial" w:hAnsi="Arial"/>
          <w:sz w:val="22"/>
          <w:szCs w:val="22"/>
          <w:b w:val="1"/>
          <w:bCs w:val="1"/>
          <w:color w:val="auto"/>
        </w:rPr>
        <w:t>the AGREEMENT</w:t>
      </w:r>
      <w:r>
        <w:rPr>
          <w:rFonts w:ascii="Arial" w:cs="Arial" w:eastAsia="Arial" w:hAnsi="Arial"/>
          <w:sz w:val="22"/>
          <w:szCs w:val="22"/>
          <w:color w:val="auto"/>
        </w:rPr>
        <w:t>” or “</w:t>
      </w:r>
      <w:r>
        <w:rPr>
          <w:rFonts w:ascii="Arial" w:cs="Arial" w:eastAsia="Arial" w:hAnsi="Arial"/>
          <w:sz w:val="22"/>
          <w:szCs w:val="22"/>
          <w:b w:val="1"/>
          <w:bCs w:val="1"/>
          <w:color w:val="auto"/>
        </w:rPr>
        <w:t>this AGREEMENT</w:t>
      </w:r>
      <w:r>
        <w:rPr>
          <w:rFonts w:ascii="Arial" w:cs="Arial" w:eastAsia="Arial" w:hAnsi="Arial"/>
          <w:sz w:val="22"/>
          <w:szCs w:val="22"/>
          <w:color w:val="auto"/>
        </w:rPr>
        <w:t>” with respect to the Existing License Agreement shall mean the Existing License Agreement, as amended by this AMENDMENT. Any reference to “the Agreement” or “this Agreement” with respect to the SRA shall mean the Existing SRA, as amended by this AMENDMENT.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II. AMENDMENTS TO EXISTING SRA</w:t>
      </w:r>
    </w:p>
    <w:p>
      <w:pPr>
        <w:spacing w:after="0" w:line="10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Amendment to Exhibit A of the Existing SRA</w:t>
      </w:r>
      <w:r>
        <w:rPr>
          <w:rFonts w:ascii="Arial" w:cs="Arial" w:eastAsia="Arial" w:hAnsi="Arial"/>
          <w:sz w:val="22"/>
          <w:szCs w:val="22"/>
          <w:color w:val="auto"/>
        </w:rPr>
        <w:t xml:space="preserve">. Exhibit A of the Existing SRA is hereby deleted in its entirety and replaced with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to this AMENDMENT.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III. AMENDMENTS TO LICENSE AGREEMENT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Amendment of Appendix C to the Existing License Agreement</w:t>
      </w:r>
      <w:r>
        <w:rPr>
          <w:rFonts w:ascii="Arial" w:cs="Arial" w:eastAsia="Arial" w:hAnsi="Arial"/>
          <w:sz w:val="22"/>
          <w:szCs w:val="22"/>
          <w:color w:val="auto"/>
        </w:rPr>
        <w:t xml:space="preserve">. Appendix C of the Existing License Agreement is hereby deleted in its entirety and replaced with </w:t>
      </w:r>
      <w:r>
        <w:rPr>
          <w:rFonts w:ascii="Arial" w:cs="Arial" w:eastAsia="Arial" w:hAnsi="Arial"/>
          <w:sz w:val="22"/>
          <w:szCs w:val="22"/>
          <w:u w:val="single" w:color="auto"/>
          <w:color w:val="auto"/>
        </w:rPr>
        <w:t>Appendix C</w:t>
      </w:r>
      <w:r>
        <w:rPr>
          <w:rFonts w:ascii="Arial" w:cs="Arial" w:eastAsia="Arial" w:hAnsi="Arial"/>
          <w:sz w:val="22"/>
          <w:szCs w:val="22"/>
          <w:color w:val="auto"/>
        </w:rPr>
        <w:t xml:space="preserve"> attached to this AMENDMENT.</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Amendment of Appendix D to the Existing License Agreement</w:t>
      </w:r>
      <w:r>
        <w:rPr>
          <w:rFonts w:ascii="Arial" w:cs="Arial" w:eastAsia="Arial" w:hAnsi="Arial"/>
          <w:sz w:val="22"/>
          <w:szCs w:val="22"/>
          <w:color w:val="auto"/>
        </w:rPr>
        <w:t xml:space="preserve">. Appendix D of the Existing License Agreement is hereby deleted in its entirety and replaced with </w:t>
      </w:r>
      <w:r>
        <w:rPr>
          <w:rFonts w:ascii="Arial" w:cs="Arial" w:eastAsia="Arial" w:hAnsi="Arial"/>
          <w:sz w:val="22"/>
          <w:szCs w:val="22"/>
          <w:u w:val="single" w:color="auto"/>
          <w:color w:val="auto"/>
        </w:rPr>
        <w:t>Appendix D</w:t>
      </w:r>
      <w:r>
        <w:rPr>
          <w:rFonts w:ascii="Arial" w:cs="Arial" w:eastAsia="Arial" w:hAnsi="Arial"/>
          <w:sz w:val="22"/>
          <w:szCs w:val="22"/>
          <w:color w:val="auto"/>
        </w:rPr>
        <w:t xml:space="preserve"> attached to this AMENDMENT.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IV. OTHER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0" w:name="page121"/>
    <w:bookmarkEnd w:id="120"/>
    <w:p>
      <w:pPr>
        <w:jc w:val="both"/>
        <w:ind w:firstLine="648"/>
        <w:spacing w:after="0"/>
        <w:rPr>
          <w:sz w:val="20"/>
          <w:szCs w:val="20"/>
          <w:color w:val="auto"/>
        </w:rPr>
      </w:pPr>
      <w:r>
        <w:rPr>
          <w:rFonts w:ascii="Arial" w:cs="Arial" w:eastAsia="Arial" w:hAnsi="Arial"/>
          <w:sz w:val="22"/>
          <w:szCs w:val="22"/>
          <w:color w:val="auto"/>
        </w:rPr>
        <w:t>4.1 Notwithstanding any other provision of the Existing License Agreement or the Existing SRA, as amended by this AMENDMENT, or otherwise, as of and after the AMENDMENT EFFECTIVE DATE, the Parties hereby agree as follows:</w:t>
      </w:r>
    </w:p>
    <w:p>
      <w:pPr>
        <w:spacing w:after="0" w:line="214" w:lineRule="exact"/>
        <w:rPr>
          <w:sz w:val="20"/>
          <w:szCs w:val="20"/>
          <w:color w:val="auto"/>
        </w:rPr>
      </w:pPr>
    </w:p>
    <w:p>
      <w:pPr>
        <w:jc w:val="both"/>
        <w:ind w:firstLine="1304"/>
        <w:spacing w:after="0" w:line="244" w:lineRule="auto"/>
        <w:tabs>
          <w:tab w:leader="none" w:pos="1944"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LICENSEE and YALE hereby acknowledge and agree that (i) all RELINQUISHED TARGET INVENTIONS were created solely by YALE employees, students or agents and constitute UNIVERSITY INVENTIONS (as defined under the SRA) and none of such RELINQUISHED TARGET INVENTIONS are SPONSOR INVENTIONS or JOINT INVENTIONS except as set forth on </w:t>
      </w:r>
      <w:r>
        <w:rPr>
          <w:rFonts w:ascii="Arial" w:cs="Arial" w:eastAsia="Arial" w:hAnsi="Arial"/>
          <w:sz w:val="21"/>
          <w:szCs w:val="21"/>
          <w:b w:val="1"/>
          <w:bCs w:val="1"/>
          <w:u w:val="single" w:color="auto"/>
          <w:color w:val="auto"/>
        </w:rPr>
        <w:t>Schedule 1</w:t>
      </w:r>
      <w:r>
        <w:rPr>
          <w:rFonts w:ascii="Arial" w:cs="Arial" w:eastAsia="Arial" w:hAnsi="Arial"/>
          <w:sz w:val="21"/>
          <w:szCs w:val="21"/>
          <w:color w:val="auto"/>
        </w:rPr>
        <w:t xml:space="preserve"> (the “</w:t>
      </w:r>
      <w:r>
        <w:rPr>
          <w:rFonts w:ascii="Arial" w:cs="Arial" w:eastAsia="Arial" w:hAnsi="Arial"/>
          <w:sz w:val="21"/>
          <w:szCs w:val="21"/>
          <w:b w:val="1"/>
          <w:bCs w:val="1"/>
          <w:color w:val="auto"/>
        </w:rPr>
        <w:t>SPONSOR INVENTIONS</w:t>
      </w:r>
      <w:r>
        <w:rPr>
          <w:rFonts w:ascii="Arial" w:cs="Arial" w:eastAsia="Arial" w:hAnsi="Arial"/>
          <w:sz w:val="21"/>
          <w:szCs w:val="21"/>
          <w:color w:val="auto"/>
        </w:rPr>
        <w:t>”), (ii) LICENSEE does not have any right, title or interest in or to any of the RELINQUISHED TARGET INVENTIONS except for the SPONSOR INVENTIONS (in each case, whether or not a deliverable under the SRA), (iii) LICENSEE unconditionally and irrevocably waives, relinquishes and terminates all options, rights, titles and interests in and to all RELINQUISHED TARGET INFORMATION and RELINQUISHED TARGET INVENTIONS including the SPONSOR INVENTIONS (which LICENSEE hereby assigns and transfers to YALE), including under Section 8(c) and Section 8(e) of the SRA and Section 3.5 of the License Agreement and (iv) neither Party shall have any disclosure obligations with respect to the RELINQUISHED TARGET INVENTIONS under Section 8(e) of the SRA;</w:t>
      </w:r>
    </w:p>
    <w:p>
      <w:pPr>
        <w:spacing w:after="0" w:line="212" w:lineRule="exact"/>
        <w:rPr>
          <w:rFonts w:ascii="Arial" w:cs="Arial" w:eastAsia="Arial" w:hAnsi="Arial"/>
          <w:sz w:val="21"/>
          <w:szCs w:val="21"/>
          <w:color w:val="auto"/>
        </w:rPr>
      </w:pPr>
    </w:p>
    <w:p>
      <w:pPr>
        <w:jc w:val="both"/>
        <w:ind w:firstLine="1304"/>
        <w:spacing w:after="0" w:line="238"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LICENSEE hereby assigns and transfers to YALE all of SPONSOR’s right, title and interest in and to all SPONSOR INVENTIONS and SPONSOR INFORMATION and, within thirty (30) days of the AMENDMENT EFFECTIVE DATE, LICENSEE shall deliver a copy of all SPONSOR INFORMATION to YALE;</w:t>
      </w:r>
    </w:p>
    <w:p>
      <w:pPr>
        <w:spacing w:after="0" w:line="211" w:lineRule="exact"/>
        <w:rPr>
          <w:rFonts w:ascii="Arial" w:cs="Arial" w:eastAsia="Arial" w:hAnsi="Arial"/>
          <w:sz w:val="22"/>
          <w:szCs w:val="22"/>
          <w:color w:val="auto"/>
        </w:rPr>
      </w:pPr>
    </w:p>
    <w:p>
      <w:pPr>
        <w:jc w:val="both"/>
        <w:ind w:firstLine="1304"/>
        <w:spacing w:after="0" w:line="233"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LICENSEE and YALE hereby acknowledge and agree that (i) LICENSEE does not have any right, title or interest in or to any of the RELINQUISHED TARGET INFORMATION (whether or not a deliverable under the SRA), (ii) all RELINQUISHED TARGET INFORMATION and all SPONSOR INFORMATION constitutes YALE’s CONFIDENTIAL INFORMATION, (ii) LICENSEE shall keep all RELINQUISHED TARGET INFORMATION confidential, (iii) LICENSEE shall not disclose any RELINQUISHED TARGET INFORMATION to any third party, (iv) LICENSEE shall not use any RELINQUISHED TARGET INFORMATION for any purpose and (v) within thirty (30) days hereof, LICENSEE shall destroy all RELINQUISHED TARGET INFORMATION and all SPONSOR INFORMATION, except that LICENSEE may retain one copy of RELINQUISHED TARGET INFORMATION solely to assure compliance with the terms of this AMENDMENT, and shall not be required to remove any RELINQUISHED TARGET INFORMATION from its electronic records;</w:t>
      </w:r>
    </w:p>
    <w:p>
      <w:pPr>
        <w:spacing w:after="0" w:line="214" w:lineRule="exact"/>
        <w:rPr>
          <w:rFonts w:ascii="Arial" w:cs="Arial" w:eastAsia="Arial" w:hAnsi="Arial"/>
          <w:sz w:val="22"/>
          <w:szCs w:val="22"/>
          <w:color w:val="auto"/>
        </w:rPr>
      </w:pPr>
    </w:p>
    <w:p>
      <w:pPr>
        <w:jc w:val="both"/>
        <w:ind w:firstLine="1304"/>
        <w:spacing w:after="0" w:line="246" w:lineRule="auto"/>
        <w:tabs>
          <w:tab w:leader="none" w:pos="1944" w:val="left"/>
        </w:tabs>
        <w:numPr>
          <w:ilvl w:val="0"/>
          <w:numId w:val="65"/>
        </w:numPr>
        <w:rPr>
          <w:rFonts w:ascii="Arial" w:cs="Arial" w:eastAsia="Arial" w:hAnsi="Arial"/>
          <w:sz w:val="21"/>
          <w:szCs w:val="21"/>
          <w:color w:val="auto"/>
        </w:rPr>
      </w:pPr>
      <w:r>
        <w:rPr>
          <w:rFonts w:ascii="Arial" w:cs="Arial" w:eastAsia="Arial" w:hAnsi="Arial"/>
          <w:sz w:val="21"/>
          <w:szCs w:val="21"/>
          <w:color w:val="auto"/>
        </w:rPr>
        <w:t>LICENSEE and YALE hereby acknowledge and agree that (i) all RELINQUISHED TARGET INFORMATION shall be excluded from LICENSED INFORMATION, (ii) LICENSEE will not, after the AMENDMENT EFFECTIVE DATE, be entitled to have access to the RELINQUISHED TARGET INFORMATION under Section 8(d) of the SRA or otherwise, and will not have any other license, right, title or interest in or to any RELINQUISHED TARGET INFORMATION, including under Section 3.1 and 3.5 of the License Agreement and (iii) LICENSEE may not use any RELINQUISHED TARGET INFORMATION in connection with its research and product development efforts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1" w:name="page122"/>
    <w:bookmarkEnd w:id="121"/>
    <w:p>
      <w:pPr>
        <w:jc w:val="both"/>
        <w:ind w:firstLine="1304"/>
        <w:spacing w:after="0" w:line="247" w:lineRule="auto"/>
        <w:tabs>
          <w:tab w:leader="none" w:pos="1944" w:val="left"/>
        </w:tabs>
        <w:numPr>
          <w:ilvl w:val="0"/>
          <w:numId w:val="66"/>
        </w:numPr>
        <w:rPr>
          <w:rFonts w:ascii="Arial" w:cs="Arial" w:eastAsia="Arial" w:hAnsi="Arial"/>
          <w:sz w:val="21"/>
          <w:szCs w:val="21"/>
          <w:color w:val="auto"/>
        </w:rPr>
      </w:pPr>
      <w:r>
        <w:rPr>
          <w:rFonts w:ascii="Arial" w:cs="Arial" w:eastAsia="Arial" w:hAnsi="Arial"/>
          <w:sz w:val="21"/>
          <w:szCs w:val="21"/>
          <w:color w:val="auto"/>
        </w:rPr>
        <w:t>LICENSEE acknowledges and agrees that from and after the AMENDMENT EFFECTIVE DATE, (i) LICENSEE shall cease to have any right to receive any RELINQUISHED TARGET MATERIALS including under Section 8(f) or 8(g) of the SRA, (ii) LICENSEE does not have any right, title or interest in or to any of the RELINQUISHED TARGET MATERIALS (whether or not a deliverable under the SRA) and (iii) LICENSEE unconditionally and irrevocably waives, relinquishes and terminates all options, rights, titles and interests in and to all RELINQUISHED TARGET MATERIALS including under Section 8(c) and Section 8(e) of the SRA and Section 3.5 of the License Agreement;</w:t>
      </w:r>
    </w:p>
    <w:p>
      <w:pPr>
        <w:spacing w:after="0" w:line="204" w:lineRule="exact"/>
        <w:rPr>
          <w:rFonts w:ascii="Arial" w:cs="Arial" w:eastAsia="Arial" w:hAnsi="Arial"/>
          <w:sz w:val="21"/>
          <w:szCs w:val="21"/>
          <w:color w:val="auto"/>
        </w:rPr>
      </w:pPr>
    </w:p>
    <w:p>
      <w:pPr>
        <w:jc w:val="both"/>
        <w:ind w:firstLine="1304"/>
        <w:spacing w:after="0" w:line="234" w:lineRule="auto"/>
        <w:tabs>
          <w:tab w:leader="none" w:pos="19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LICENSEE AND YALE hereby acknowledge and agree that (i) all RELINQUISHED TARGET COPYRIGHTS were created solely by YALE employees, students or agents and constitute UNIVERSITY COPYRIGHTS, (ii) none of such RELINQUISHED TARGET COPYRIGHTS are SPONSOR COPYRIGHTS or JOINT COPYRIGHTS, (iii) LICENSEE does not have any right, title or interest in or to any of the RELINQUISHED COPYRIGHTS (whether or not a deliverable under the SRA) and (iv) LICENSEE unconditionally and irrevocably waives, relinquishes and terminates all options, rights, titles and interests in and to all RELINQUISHED COPYRIGHTS including under Section 8(c) and Section 8(e) of the SRA and Section 3.5 of the License Agreement;</w:t>
      </w:r>
    </w:p>
    <w:p>
      <w:pPr>
        <w:spacing w:after="0" w:line="213" w:lineRule="exact"/>
        <w:rPr>
          <w:rFonts w:ascii="Arial" w:cs="Arial" w:eastAsia="Arial" w:hAnsi="Arial"/>
          <w:sz w:val="22"/>
          <w:szCs w:val="22"/>
          <w:color w:val="auto"/>
        </w:rPr>
      </w:pPr>
    </w:p>
    <w:p>
      <w:pPr>
        <w:jc w:val="both"/>
        <w:ind w:firstLine="1304"/>
        <w:spacing w:after="0" w:line="269" w:lineRule="auto"/>
        <w:tabs>
          <w:tab w:leader="none" w:pos="19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LICENSEE (i) unconditionally and irrevocably waives, relinquishes and terminates all rights, titles and interests (including access rights) in and to all EXISTING MATERIAL AND UNPUBLISHED INFORMATION to the extent directed to any of the RELINQUISHED TARGETS, RELINQUISHED TARGET INVENTIONS or RELINQUISHED TARGET INFORMATION and (ii) acknowledges and agrees that no EXISTING MATERIAL AND UNPUBLISHED INFORMATION to the extent directed to any of the RELINQUISHED TARGETS, RELINQUISHED TARGET INVENTIONS or RELINQUISHED TARGET INFORMATION shall be licensed to LICENSEE under the License Agreement or otherwise constitute</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LICENSED INFORMATION;</w:t>
      </w:r>
    </w:p>
    <w:p>
      <w:pPr>
        <w:spacing w:after="0" w:line="215" w:lineRule="exact"/>
        <w:rPr>
          <w:rFonts w:ascii="Arial" w:cs="Arial" w:eastAsia="Arial" w:hAnsi="Arial"/>
          <w:sz w:val="19"/>
          <w:szCs w:val="19"/>
          <w:color w:val="auto"/>
        </w:rPr>
      </w:pPr>
    </w:p>
    <w:p>
      <w:pPr>
        <w:jc w:val="both"/>
        <w:ind w:firstLine="1304"/>
        <w:spacing w:after="0" w:line="271" w:lineRule="auto"/>
        <w:tabs>
          <w:tab w:leader="none" w:pos="19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LICENSEE acknowledges and agrees that LICENSEE does not have any rights under Section 8(k) of the SRA with respect to the RELINQUISHED TARGET INVENTIONS, RELINQUISHED TARGET INFORMATION, RELINQUISHED TARGET MATERIALS or RELINQUISHED TARGET COPYRIGHTS or any other information or technology owned or controlled by YALE to the extent directed to the</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RELINQUISHED TARGETS;</w:t>
      </w:r>
    </w:p>
    <w:p>
      <w:pPr>
        <w:spacing w:after="0" w:line="215" w:lineRule="exact"/>
        <w:rPr>
          <w:rFonts w:ascii="Arial" w:cs="Arial" w:eastAsia="Arial" w:hAnsi="Arial"/>
          <w:sz w:val="19"/>
          <w:szCs w:val="19"/>
          <w:color w:val="auto"/>
        </w:rPr>
      </w:pPr>
    </w:p>
    <w:p>
      <w:pPr>
        <w:jc w:val="both"/>
        <w:ind w:firstLine="1304"/>
        <w:spacing w:after="0" w:line="238" w:lineRule="auto"/>
        <w:tabs>
          <w:tab w:leader="none" w:pos="19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LICENSEE and YALE hereby acknowledge and agree that LICENSEE shall have no ongoing obligations to YALE with respect to the RELINQUISHED TARGETS or any RELINQUISHED TARGET INVENTIONS or RELINQUISHED TARGET INFORMATION, including under Section 10 of the License Agreement; and</w:t>
      </w:r>
    </w:p>
    <w:p>
      <w:pPr>
        <w:spacing w:after="0" w:line="211" w:lineRule="exact"/>
        <w:rPr>
          <w:rFonts w:ascii="Arial" w:cs="Arial" w:eastAsia="Arial" w:hAnsi="Arial"/>
          <w:sz w:val="22"/>
          <w:szCs w:val="22"/>
          <w:color w:val="auto"/>
        </w:rPr>
      </w:pPr>
    </w:p>
    <w:p>
      <w:pPr>
        <w:jc w:val="both"/>
        <w:ind w:firstLine="1304"/>
        <w:spacing w:after="0"/>
        <w:tabs>
          <w:tab w:leader="none" w:pos="19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LICENSEE hereby unconditionally and irrevocably consents to YALE’s right to license to Normunity AccelCo, Inc. and/or any other person or entity any and all rights to the RELINQUISHED TARGETS, RELINQUISHED TARGET INVENTIONS,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2" w:name="page123"/>
    <w:bookmarkEnd w:id="122"/>
    <w:p>
      <w:pPr>
        <w:jc w:val="both"/>
        <w:spacing w:after="0" w:line="250" w:lineRule="auto"/>
        <w:rPr>
          <w:sz w:val="20"/>
          <w:szCs w:val="20"/>
          <w:color w:val="auto"/>
        </w:rPr>
      </w:pPr>
      <w:r>
        <w:rPr>
          <w:rFonts w:ascii="Arial" w:cs="Arial" w:eastAsia="Arial" w:hAnsi="Arial"/>
          <w:sz w:val="22"/>
          <w:szCs w:val="22"/>
          <w:color w:val="auto"/>
        </w:rPr>
        <w:t>RELINQUISHED TARGET MATERIALS, RELINQUISHED TARGET COPYRIGHTS and RELINQUISHED TARGET INFORMATION, without any restriction or encumbrance.</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4.2 In consideration the rights granted to YALE by LICENSEE hereunder, including the relinquishment of rights to the RELINQUISHED TARGETS, RELINQUISHED TARGET INVENTIONS and RELINQUISHED TARGET INFORMATION, YALE or its designee shall pay NEXTCURE </w:t>
      </w:r>
      <w:r>
        <w:rPr>
          <w:rFonts w:ascii="Arial" w:cs="Arial" w:eastAsia="Arial" w:hAnsi="Arial"/>
          <w:sz w:val="15"/>
          <w:szCs w:val="15"/>
          <w:color w:val="auto"/>
        </w:rPr>
        <w:t>[***]</w:t>
      </w:r>
      <w:r>
        <w:rPr>
          <w:rFonts w:ascii="Arial" w:cs="Arial" w:eastAsia="Arial" w:hAnsi="Arial"/>
          <w:sz w:val="19"/>
          <w:szCs w:val="19"/>
          <w:color w:val="auto"/>
        </w:rPr>
        <w:t>percent (</w:t>
      </w:r>
      <w:r>
        <w:rPr>
          <w:rFonts w:ascii="Arial" w:cs="Arial" w:eastAsia="Arial" w:hAnsi="Arial"/>
          <w:sz w:val="15"/>
          <w:szCs w:val="15"/>
          <w:color w:val="auto"/>
        </w:rPr>
        <w:t>[***]</w:t>
      </w:r>
      <w:r>
        <w:rPr>
          <w:rFonts w:ascii="Arial" w:cs="Arial" w:eastAsia="Arial" w:hAnsi="Arial"/>
          <w:sz w:val="19"/>
          <w:szCs w:val="19"/>
          <w:color w:val="auto"/>
        </w:rPr>
        <w:t>%) of NET SALES of any RELINQUISHED TARGET PRODUCT (as defined below). Such obligation shall expire</w:t>
      </w:r>
    </w:p>
    <w:p>
      <w:pPr>
        <w:spacing w:after="0" w:line="3" w:lineRule="exact"/>
        <w:rPr>
          <w:sz w:val="20"/>
          <w:szCs w:val="20"/>
          <w:color w:val="auto"/>
        </w:rPr>
      </w:pPr>
    </w:p>
    <w:p>
      <w:pPr>
        <w:ind w:left="540" w:hanging="532"/>
        <w:spacing w:after="0"/>
        <w:tabs>
          <w:tab w:leader="none" w:pos="5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after the first NET SALE of such RELINQUISHED TARGET PRODUCT.</w:t>
      </w:r>
    </w:p>
    <w:p>
      <w:pPr>
        <w:spacing w:after="0" w:line="209" w:lineRule="exact"/>
        <w:rPr>
          <w:rFonts w:ascii="Arial" w:cs="Arial" w:eastAsia="Arial" w:hAnsi="Arial"/>
          <w:sz w:val="22"/>
          <w:szCs w:val="22"/>
          <w:color w:val="auto"/>
        </w:rPr>
      </w:pPr>
    </w:p>
    <w:p>
      <w:pPr>
        <w:jc w:val="both"/>
        <w:ind w:left="1960" w:hanging="656"/>
        <w:spacing w:after="0" w:line="254" w:lineRule="auto"/>
        <w:tabs>
          <w:tab w:leader="none" w:pos="1960" w:val="left"/>
        </w:tabs>
        <w:numPr>
          <w:ilvl w:val="1"/>
          <w:numId w:val="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RELINQUISHED TARGET PRODUCT</w:t>
      </w:r>
      <w:r>
        <w:rPr>
          <w:rFonts w:ascii="Arial" w:cs="Arial" w:eastAsia="Arial" w:hAnsi="Arial"/>
          <w:sz w:val="21"/>
          <w:szCs w:val="21"/>
          <w:color w:val="auto"/>
        </w:rPr>
        <w:t>” means any product (including apparatus or kit) or component of a product that binds to or is a modulator of a RELINQUISHED TARGET, or is comprised of a RELINQUISHED TARGET INVENTION or used RELINQUISHED TARGET INFORMATION for its discovery or development.</w:t>
      </w:r>
    </w:p>
    <w:p>
      <w:pPr>
        <w:spacing w:after="0" w:line="198" w:lineRule="exact"/>
        <w:rPr>
          <w:rFonts w:ascii="Arial" w:cs="Arial" w:eastAsia="Arial" w:hAnsi="Arial"/>
          <w:sz w:val="21"/>
          <w:szCs w:val="21"/>
          <w:color w:val="auto"/>
        </w:rPr>
      </w:pPr>
    </w:p>
    <w:p>
      <w:pPr>
        <w:jc w:val="both"/>
        <w:ind w:left="1960" w:hanging="656"/>
        <w:spacing w:after="0" w:line="236" w:lineRule="auto"/>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For the purposes of this AMENDMENT, the term NET SALES shall have the meaning set forth in the LICENSE AGREEMENT except that LICENSED PRODUCT as used therein shall mean a RELINQUISHED TARGET PRODUCT, and LICENSEE therein shall refer to YALE, its licensees and their affiliates, with such other modifications as the context requires.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 GENERAL</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Acknowledgement</w:t>
      </w:r>
      <w:r>
        <w:rPr>
          <w:rFonts w:ascii="Arial" w:cs="Arial" w:eastAsia="Arial" w:hAnsi="Arial"/>
          <w:sz w:val="19"/>
          <w:szCs w:val="19"/>
          <w:color w:val="auto"/>
        </w:rPr>
        <w:t>. Except as expressly provided herein: (a) no terms or provisions of the Existing License Agreement or the Existing SRA are modified or changed by this AMENDMENT and (b) the terms and provisions of the Existing License Agreement and the Existing SRA shall continue in full force and effect.</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Effective Date</w:t>
      </w:r>
      <w:r>
        <w:rPr>
          <w:rFonts w:ascii="Arial" w:cs="Arial" w:eastAsia="Arial" w:hAnsi="Arial"/>
          <w:sz w:val="22"/>
          <w:szCs w:val="22"/>
          <w:color w:val="auto"/>
        </w:rPr>
        <w:t>. This AMENDMENT shall be effective from and after the AMENDMENT EFFECTIVE DATE.</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Counterparts; Facsimile Signatures</w:t>
      </w:r>
      <w:r>
        <w:rPr>
          <w:rFonts w:ascii="Arial" w:cs="Arial" w:eastAsia="Arial" w:hAnsi="Arial"/>
          <w:sz w:val="22"/>
          <w:szCs w:val="22"/>
          <w:color w:val="auto"/>
        </w:rPr>
        <w:t>. This AMENDMENT may be executed in any number of counterparts, each of which shall be deemed to be an original, and all of which together shall constitute one and the same document. This AMENDMENT may be executed by facsimile or electronic transmission signatures (including .pdf copies).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3" w:name="page124"/>
    <w:bookmarkEnd w:id="123"/>
    <w:p>
      <w:pPr>
        <w:ind w:firstLine="648"/>
        <w:spacing w:after="0" w:line="251" w:lineRule="auto"/>
        <w:rPr>
          <w:sz w:val="20"/>
          <w:szCs w:val="20"/>
          <w:color w:val="auto"/>
        </w:rPr>
      </w:pPr>
      <w:r>
        <w:rPr>
          <w:rFonts w:ascii="Arial" w:cs="Arial" w:eastAsia="Arial" w:hAnsi="Arial"/>
          <w:sz w:val="22"/>
          <w:szCs w:val="22"/>
          <w:color w:val="auto"/>
        </w:rPr>
        <w:t>IN WITNESS WHEREOF, the parties hereto have executed this AMENDMENT as of the AMENDMENT EFFECTIVE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60" w:type="dxa"/>
            <w:vAlign w:val="bottom"/>
            <w:gridSpan w:val="3"/>
          </w:tcPr>
          <w:p>
            <w:pPr>
              <w:spacing w:after="0"/>
              <w:rPr>
                <w:sz w:val="20"/>
                <w:szCs w:val="20"/>
                <w:color w:val="auto"/>
              </w:rPr>
            </w:pPr>
            <w:r>
              <w:rPr>
                <w:rFonts w:ascii="Arial" w:cs="Arial" w:eastAsia="Arial" w:hAnsi="Arial"/>
                <w:sz w:val="22"/>
                <w:szCs w:val="22"/>
                <w:b w:val="1"/>
                <w:bCs w:val="1"/>
                <w:color w:val="auto"/>
              </w:rPr>
              <w:t>YALE UNIVERSITY</w:t>
            </w:r>
          </w:p>
        </w:tc>
        <w:tc>
          <w:tcPr>
            <w:tcW w:w="4860" w:type="dxa"/>
            <w:vAlign w:val="bottom"/>
          </w:tcPr>
          <w:p>
            <w:pPr>
              <w:spacing w:after="0"/>
              <w:rPr>
                <w:sz w:val="20"/>
                <w:szCs w:val="20"/>
                <w:color w:val="auto"/>
              </w:rPr>
            </w:pPr>
            <w:r>
              <w:rPr>
                <w:rFonts w:ascii="Arial" w:cs="Arial" w:eastAsia="Arial" w:hAnsi="Arial"/>
                <w:sz w:val="22"/>
                <w:szCs w:val="22"/>
                <w:b w:val="1"/>
                <w:bCs w:val="1"/>
                <w:color w:val="auto"/>
              </w:rPr>
              <w:t>NEXTCURE, INC.</w:t>
            </w:r>
          </w:p>
        </w:tc>
      </w:tr>
      <w:tr>
        <w:trPr>
          <w:trHeight w:val="476"/>
        </w:trPr>
        <w:tc>
          <w:tcPr>
            <w:tcW w:w="5060" w:type="dxa"/>
            <w:vAlign w:val="bottom"/>
            <w:gridSpan w:val="3"/>
          </w:tcPr>
          <w:p>
            <w:pPr>
              <w:spacing w:after="0"/>
              <w:rPr>
                <w:sz w:val="20"/>
                <w:szCs w:val="20"/>
                <w:color w:val="auto"/>
              </w:rPr>
            </w:pPr>
            <w:r>
              <w:rPr>
                <w:rFonts w:ascii="Arial" w:cs="Arial" w:eastAsia="Arial" w:hAnsi="Arial"/>
                <w:sz w:val="22"/>
                <w:szCs w:val="22"/>
                <w:color w:val="auto"/>
              </w:rPr>
              <w:t>/s/ Lisa D. D’Angelo, Ph.D.</w:t>
            </w:r>
          </w:p>
        </w:tc>
        <w:tc>
          <w:tcPr>
            <w:tcW w:w="4860" w:type="dxa"/>
            <w:vAlign w:val="bottom"/>
          </w:tcPr>
          <w:p>
            <w:pPr>
              <w:spacing w:after="0"/>
              <w:rPr>
                <w:sz w:val="20"/>
                <w:szCs w:val="20"/>
                <w:color w:val="auto"/>
              </w:rPr>
            </w:pPr>
            <w:r>
              <w:rPr>
                <w:rFonts w:ascii="Arial" w:cs="Arial" w:eastAsia="Arial" w:hAnsi="Arial"/>
                <w:sz w:val="22"/>
                <w:szCs w:val="22"/>
                <w:color w:val="auto"/>
              </w:rPr>
              <w:t>/s/ Tim Mayer, Ph.D.</w:t>
            </w:r>
          </w:p>
        </w:tc>
      </w:tr>
      <w:tr>
        <w:trPr>
          <w:trHeight w:val="215"/>
        </w:trPr>
        <w:tc>
          <w:tcPr>
            <w:tcW w:w="20" w:type="dxa"/>
            <w:vAlign w:val="bottom"/>
          </w:tcPr>
          <w:p>
            <w:pPr>
              <w:spacing w:after="0"/>
              <w:rPr>
                <w:sz w:val="18"/>
                <w:szCs w:val="18"/>
                <w:color w:val="auto"/>
              </w:rPr>
            </w:pPr>
          </w:p>
        </w:tc>
        <w:tc>
          <w:tcPr>
            <w:tcW w:w="484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By:Lisa D. D’Angelo, Ph.D.</w:t>
            </w:r>
          </w:p>
        </w:tc>
        <w:tc>
          <w:tcPr>
            <w:tcW w:w="200" w:type="dxa"/>
            <w:vAlign w:val="bottom"/>
          </w:tcPr>
          <w:p>
            <w:pPr>
              <w:spacing w:after="0"/>
              <w:rPr>
                <w:sz w:val="18"/>
                <w:szCs w:val="18"/>
                <w:color w:val="auto"/>
              </w:rPr>
            </w:pPr>
          </w:p>
        </w:tc>
        <w:tc>
          <w:tcPr>
            <w:tcW w:w="48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By: Tim Mayer, Ph.D.</w:t>
            </w:r>
          </w:p>
        </w:tc>
      </w:tr>
      <w:tr>
        <w:trPr>
          <w:trHeight w:val="243"/>
        </w:trPr>
        <w:tc>
          <w:tcPr>
            <w:tcW w:w="20" w:type="dxa"/>
            <w:vAlign w:val="bottom"/>
          </w:tcPr>
          <w:p>
            <w:pPr>
              <w:spacing w:after="0"/>
              <w:rPr>
                <w:sz w:val="21"/>
                <w:szCs w:val="21"/>
                <w:color w:val="auto"/>
              </w:rPr>
            </w:pPr>
          </w:p>
        </w:tc>
        <w:tc>
          <w:tcPr>
            <w:tcW w:w="504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Interim Managing Director</w:t>
            </w:r>
          </w:p>
        </w:tc>
        <w:tc>
          <w:tcPr>
            <w:tcW w:w="4860" w:type="dxa"/>
            <w:vAlign w:val="bottom"/>
          </w:tcPr>
          <w:p>
            <w:pPr>
              <w:ind w:left="400"/>
              <w:spacing w:after="0" w:line="243" w:lineRule="exact"/>
              <w:rPr>
                <w:sz w:val="20"/>
                <w:szCs w:val="20"/>
                <w:color w:val="auto"/>
              </w:rPr>
            </w:pPr>
            <w:r>
              <w:rPr>
                <w:rFonts w:ascii="Arial" w:cs="Arial" w:eastAsia="Arial" w:hAnsi="Arial"/>
                <w:sz w:val="22"/>
                <w:szCs w:val="22"/>
                <w:color w:val="auto"/>
              </w:rPr>
              <w:t>Chief Operating Officer</w:t>
            </w:r>
          </w:p>
        </w:tc>
      </w:tr>
      <w:tr>
        <w:trPr>
          <w:trHeight w:val="243"/>
        </w:trPr>
        <w:tc>
          <w:tcPr>
            <w:tcW w:w="20" w:type="dxa"/>
            <w:vAlign w:val="bottom"/>
          </w:tcPr>
          <w:p>
            <w:pPr>
              <w:spacing w:after="0"/>
              <w:rPr>
                <w:sz w:val="21"/>
                <w:szCs w:val="21"/>
                <w:color w:val="auto"/>
              </w:rPr>
            </w:pPr>
          </w:p>
        </w:tc>
        <w:tc>
          <w:tcPr>
            <w:tcW w:w="5040" w:type="dxa"/>
            <w:vAlign w:val="bottom"/>
            <w:gridSpan w:val="2"/>
          </w:tcPr>
          <w:p>
            <w:pPr>
              <w:ind w:left="320"/>
              <w:spacing w:after="0" w:line="243" w:lineRule="exact"/>
              <w:rPr>
                <w:sz w:val="20"/>
                <w:szCs w:val="20"/>
                <w:color w:val="auto"/>
              </w:rPr>
            </w:pPr>
            <w:r>
              <w:rPr>
                <w:rFonts w:ascii="Arial" w:cs="Arial" w:eastAsia="Arial" w:hAnsi="Arial"/>
                <w:sz w:val="22"/>
                <w:szCs w:val="22"/>
                <w:color w:val="auto"/>
              </w:rPr>
              <w:t>Yale University</w:t>
            </w:r>
          </w:p>
        </w:tc>
        <w:tc>
          <w:tcPr>
            <w:tcW w:w="4860" w:type="dxa"/>
            <w:vAlign w:val="bottom"/>
          </w:tcPr>
          <w:p>
            <w:pPr>
              <w:spacing w:after="0"/>
              <w:rPr>
                <w:sz w:val="21"/>
                <w:szCs w:val="21"/>
                <w:color w:val="auto"/>
              </w:rPr>
            </w:pPr>
          </w:p>
        </w:tc>
      </w:tr>
      <w:tr>
        <w:trPr>
          <w:trHeight w:val="274"/>
        </w:trPr>
        <w:tc>
          <w:tcPr>
            <w:tcW w:w="20" w:type="dxa"/>
            <w:vAlign w:val="bottom"/>
          </w:tcPr>
          <w:p>
            <w:pPr>
              <w:spacing w:after="0"/>
              <w:rPr>
                <w:sz w:val="23"/>
                <w:szCs w:val="23"/>
                <w:color w:val="auto"/>
              </w:rPr>
            </w:pPr>
          </w:p>
        </w:tc>
        <w:tc>
          <w:tcPr>
            <w:tcW w:w="5040" w:type="dxa"/>
            <w:vAlign w:val="bottom"/>
            <w:gridSpan w:val="2"/>
          </w:tcPr>
          <w:p>
            <w:pPr>
              <w:ind w:left="320"/>
              <w:spacing w:after="0"/>
              <w:rPr>
                <w:sz w:val="20"/>
                <w:szCs w:val="20"/>
                <w:color w:val="auto"/>
              </w:rPr>
            </w:pPr>
            <w:r>
              <w:rPr>
                <w:rFonts w:ascii="Arial" w:cs="Arial" w:eastAsia="Arial" w:hAnsi="Arial"/>
                <w:sz w:val="22"/>
                <w:szCs w:val="22"/>
                <w:color w:val="auto"/>
              </w:rPr>
              <w:t>Office of Cooperative Research</w:t>
            </w:r>
          </w:p>
        </w:tc>
        <w:tc>
          <w:tcPr>
            <w:tcW w:w="48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to Second Amendment to License Agreement and SRA]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4" w:name="page125"/>
    <w:bookmarkEnd w:id="124"/>
    <w:p>
      <w:pPr>
        <w:jc w:val="center"/>
        <w:ind w:right="-4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4" w:lineRule="exact"/>
        <w:rPr>
          <w:sz w:val="20"/>
          <w:szCs w:val="20"/>
          <w:color w:val="auto"/>
        </w:rPr>
      </w:pPr>
    </w:p>
    <w:p>
      <w:pPr>
        <w:jc w:val="right"/>
        <w:ind w:right="2339"/>
        <w:spacing w:after="0"/>
        <w:rPr>
          <w:sz w:val="20"/>
          <w:szCs w:val="20"/>
          <w:color w:val="auto"/>
        </w:rPr>
      </w:pPr>
      <w:r>
        <w:rPr>
          <w:rFonts w:ascii="Arial" w:cs="Arial" w:eastAsia="Arial" w:hAnsi="Arial"/>
          <w:sz w:val="22"/>
          <w:szCs w:val="22"/>
          <w:b w:val="1"/>
          <w:bCs w:val="1"/>
          <w:color w:val="auto"/>
        </w:rPr>
        <w:t>RESEARCH PLAN/STATEMENT OF WORK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778510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125" w:name="page126"/>
    <w:bookmarkEnd w:id="125"/>
    <w:p>
      <w:pPr>
        <w:jc w:val="center"/>
        <w:ind w:right="-440"/>
        <w:spacing w:after="0"/>
        <w:rPr>
          <w:sz w:val="20"/>
          <w:szCs w:val="20"/>
          <w:color w:val="auto"/>
        </w:rPr>
      </w:pPr>
      <w:r>
        <w:rPr>
          <w:rFonts w:ascii="Arial" w:cs="Arial" w:eastAsia="Arial" w:hAnsi="Arial"/>
          <w:sz w:val="22"/>
          <w:szCs w:val="22"/>
          <w:b w:val="1"/>
          <w:bCs w:val="1"/>
          <w:u w:val="single" w:color="auto"/>
          <w:color w:val="auto"/>
        </w:rPr>
        <w:t>Appendix C</w:t>
      </w:r>
    </w:p>
    <w:p>
      <w:pPr>
        <w:spacing w:after="0" w:line="234" w:lineRule="exact"/>
        <w:rPr>
          <w:sz w:val="20"/>
          <w:szCs w:val="20"/>
          <w:color w:val="auto"/>
        </w:rPr>
      </w:pPr>
    </w:p>
    <w:p>
      <w:pPr>
        <w:jc w:val="right"/>
        <w:ind w:right="3379"/>
        <w:spacing w:after="0"/>
        <w:rPr>
          <w:sz w:val="20"/>
          <w:szCs w:val="20"/>
          <w:color w:val="auto"/>
        </w:rPr>
      </w:pPr>
      <w:r>
        <w:rPr>
          <w:rFonts w:ascii="Arial" w:cs="Arial" w:eastAsia="Arial" w:hAnsi="Arial"/>
          <w:sz w:val="22"/>
          <w:szCs w:val="22"/>
          <w:b w:val="1"/>
          <w:bCs w:val="1"/>
          <w:color w:val="auto"/>
        </w:rPr>
        <w:t>EXCLUDED TARGETS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795655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126" w:name="page127"/>
    <w:bookmarkEnd w:id="126"/>
    <w:p>
      <w:pPr>
        <w:jc w:val="center"/>
        <w:ind w:right="-440"/>
        <w:spacing w:after="0"/>
        <w:rPr>
          <w:sz w:val="20"/>
          <w:szCs w:val="20"/>
          <w:color w:val="auto"/>
        </w:rPr>
      </w:pPr>
      <w:r>
        <w:rPr>
          <w:rFonts w:ascii="Arial" w:cs="Arial" w:eastAsia="Arial" w:hAnsi="Arial"/>
          <w:sz w:val="22"/>
          <w:szCs w:val="22"/>
          <w:b w:val="1"/>
          <w:bCs w:val="1"/>
          <w:u w:val="single" w:color="auto"/>
          <w:color w:val="auto"/>
        </w:rPr>
        <w:t>Appendix D</w:t>
      </w:r>
    </w:p>
    <w:p>
      <w:pPr>
        <w:spacing w:after="0" w:line="234" w:lineRule="exact"/>
        <w:rPr>
          <w:sz w:val="20"/>
          <w:szCs w:val="20"/>
          <w:color w:val="auto"/>
        </w:rPr>
      </w:pPr>
    </w:p>
    <w:p>
      <w:pPr>
        <w:jc w:val="right"/>
        <w:ind w:right="3279"/>
        <w:spacing w:after="0"/>
        <w:rPr>
          <w:sz w:val="20"/>
          <w:szCs w:val="20"/>
          <w:color w:val="auto"/>
        </w:rPr>
      </w:pPr>
      <w:r>
        <w:rPr>
          <w:rFonts w:ascii="Arial" w:cs="Arial" w:eastAsia="Arial" w:hAnsi="Arial"/>
          <w:sz w:val="22"/>
          <w:szCs w:val="22"/>
          <w:b w:val="1"/>
          <w:bCs w:val="1"/>
          <w:color w:val="auto"/>
        </w:rPr>
        <w:t>RESTRICTED TARGETS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127" w:name="page128"/>
    <w:bookmarkEnd w:id="127"/>
    <w:p>
      <w:pPr>
        <w:jc w:val="center"/>
        <w:ind w:right="-460"/>
        <w:spacing w:after="0"/>
        <w:rPr>
          <w:sz w:val="20"/>
          <w:szCs w:val="20"/>
          <w:color w:val="auto"/>
        </w:rPr>
      </w:pPr>
      <w:r>
        <w:rPr>
          <w:rFonts w:ascii="Arial" w:cs="Arial" w:eastAsia="Arial" w:hAnsi="Arial"/>
          <w:sz w:val="22"/>
          <w:szCs w:val="22"/>
          <w:b w:val="1"/>
          <w:bCs w:val="1"/>
          <w:u w:val="single" w:color="auto"/>
          <w:color w:val="auto"/>
        </w:rPr>
        <w:t>Schedule 1</w:t>
      </w:r>
    </w:p>
    <w:p>
      <w:pPr>
        <w:spacing w:after="0" w:line="234"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SPONSOR INVENTIONS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16" w:lineRule="exact"/>
        <w:rPr>
          <w:sz w:val="20"/>
          <w:szCs w:val="20"/>
          <w:color w:val="auto"/>
        </w:rPr>
      </w:pPr>
    </w:p>
    <w:p>
      <w:pPr>
        <w:jc w:val="right"/>
        <w:ind w:right="1199"/>
        <w:spacing w:after="0"/>
        <w:rPr>
          <w:sz w:val="20"/>
          <w:szCs w:val="20"/>
          <w:color w:val="auto"/>
        </w:rPr>
      </w:pPr>
      <w:r>
        <w:rPr>
          <w:rFonts w:ascii="Arial" w:cs="Arial" w:eastAsia="Arial" w:hAnsi="Arial"/>
          <w:sz w:val="22"/>
          <w:szCs w:val="22"/>
          <w:b w:val="1"/>
          <w:bCs w:val="1"/>
          <w:color w:val="auto"/>
        </w:rPr>
        <w:t>[Signature Page to Second Amendment to License Agreement and SRA]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165100</wp:posOffset>
            </wp:positionV>
            <wp:extent cx="2468880" cy="436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246888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auto"/>
        </w:rPr>
        <w:t>May 11,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Via Email Only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Han Myint, M.D.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RE:</w:t>
        <w:tab/>
        <w:t>EXECUTIVE EMPLOYMENT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Dr. Myint:</w:t>
      </w:r>
    </w:p>
    <w:p>
      <w:pPr>
        <w:spacing w:after="0" w:line="22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behalf of NextCure, Inc. (“</w:t>
      </w:r>
      <w:r>
        <w:rPr>
          <w:rFonts w:ascii="Arial" w:cs="Arial" w:eastAsia="Arial" w:hAnsi="Arial"/>
          <w:sz w:val="21"/>
          <w:szCs w:val="21"/>
          <w:b w:val="1"/>
          <w:bCs w:val="1"/>
          <w:color w:val="auto"/>
        </w:rPr>
        <w:t>NextCure</w:t>
      </w:r>
      <w:r>
        <w:rPr>
          <w:rFonts w:ascii="Arial" w:cs="Arial" w:eastAsia="Arial" w:hAnsi="Arial"/>
          <w:sz w:val="21"/>
          <w:szCs w:val="21"/>
          <w:color w:val="auto"/>
        </w:rPr>
        <w:t>”, or the “</w:t>
      </w:r>
      <w:r>
        <w:rPr>
          <w:rFonts w:ascii="Arial" w:cs="Arial" w:eastAsia="Arial" w:hAnsi="Arial"/>
          <w:sz w:val="21"/>
          <w:szCs w:val="21"/>
          <w:b w:val="1"/>
          <w:bCs w:val="1"/>
          <w:color w:val="auto"/>
        </w:rPr>
        <w:t>Company</w:t>
      </w:r>
      <w:r>
        <w:rPr>
          <w:rFonts w:ascii="Arial" w:cs="Arial" w:eastAsia="Arial" w:hAnsi="Arial"/>
          <w:sz w:val="21"/>
          <w:szCs w:val="21"/>
          <w:color w:val="auto"/>
        </w:rPr>
        <w:t>”), it is my pleasure to confirm the terms and conditions on which the Board of Directors of NextCure (the “</w:t>
      </w:r>
      <w:r>
        <w:rPr>
          <w:rFonts w:ascii="Arial" w:cs="Arial" w:eastAsia="Arial" w:hAnsi="Arial"/>
          <w:sz w:val="21"/>
          <w:szCs w:val="21"/>
          <w:b w:val="1"/>
          <w:bCs w:val="1"/>
          <w:color w:val="auto"/>
        </w:rPr>
        <w:t>Board</w:t>
      </w:r>
      <w:r>
        <w:rPr>
          <w:rFonts w:ascii="Arial" w:cs="Arial" w:eastAsia="Arial" w:hAnsi="Arial"/>
          <w:sz w:val="21"/>
          <w:szCs w:val="21"/>
          <w:color w:val="auto"/>
        </w:rPr>
        <w:t>”) and you have agreed that you will continue your employment with the Company, serving as the Company’s Chief Medical Officer, reporting to the Company’s Chief Executive Officer, effective as of January 11, 2021 (the “</w:t>
      </w:r>
      <w:r>
        <w:rPr>
          <w:rFonts w:ascii="Arial" w:cs="Arial" w:eastAsia="Arial" w:hAnsi="Arial"/>
          <w:sz w:val="21"/>
          <w:szCs w:val="21"/>
          <w:b w:val="1"/>
          <w:bCs w:val="1"/>
          <w:color w:val="auto"/>
        </w:rPr>
        <w:t>Start Date</w:t>
      </w:r>
      <w:r>
        <w:rPr>
          <w:rFonts w:ascii="Arial" w:cs="Arial" w:eastAsia="Arial" w:hAnsi="Arial"/>
          <w:sz w:val="21"/>
          <w:szCs w:val="21"/>
          <w:color w:val="auto"/>
        </w:rPr>
        <w:t xml:space="preserve">”). During your employment with NextCure, you will devote substantially all of your professional efforts to the business of NextCure, except that you may engage in the business activities described on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of this employment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and other activities that may be approved in advance by the Company’s Chief Executive Officer, with advice from the Board (which may include the for-profit board membership(s) described on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in each case, so long as these activities do not interfere or conflict with your obligations to the Company. Your employment under the terms of this Agreement shall continue until it terminates in accordance with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below.</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Agreement supersedes, amends and restates in all respects all prior agreements and understandings between you and the Company regarding the subject matter herein.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intended to summarize some of the terms and conditions of your employment.</w:t>
      </w:r>
    </w:p>
    <w:p>
      <w:pPr>
        <w:spacing w:after="0" w:line="206" w:lineRule="exact"/>
        <w:rPr>
          <w:sz w:val="20"/>
          <w:szCs w:val="20"/>
          <w:color w:val="auto"/>
        </w:rPr>
      </w:pPr>
    </w:p>
    <w:p>
      <w:pPr>
        <w:ind w:firstLine="656"/>
        <w:spacing w:after="0" w:line="250" w:lineRule="auto"/>
        <w:tabs>
          <w:tab w:leader="none" w:pos="129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Location</w:t>
      </w:r>
      <w:r>
        <w:rPr>
          <w:rFonts w:ascii="Arial" w:cs="Arial" w:eastAsia="Arial" w:hAnsi="Arial"/>
          <w:sz w:val="22"/>
          <w:szCs w:val="22"/>
          <w:color w:val="auto"/>
        </w:rPr>
        <w:t>. Your place of employment will be at NextCure’s principal offices, currently located in Beltsville, Maryland.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57" w:lineRule="auto"/>
        <w:tabs>
          <w:tab w:leader="none" w:pos="1944" w:val="left"/>
        </w:tabs>
        <w:numPr>
          <w:ilvl w:val="1"/>
          <w:numId w:val="68"/>
        </w:numPr>
        <w:rPr>
          <w:rFonts w:ascii="Arial" w:cs="Arial" w:eastAsia="Arial" w:hAnsi="Arial"/>
          <w:sz w:val="21"/>
          <w:szCs w:val="21"/>
          <w:color w:val="auto"/>
        </w:rPr>
      </w:pPr>
      <w:r>
        <w:rPr>
          <w:rFonts w:ascii="Arial" w:cs="Arial" w:eastAsia="Arial" w:hAnsi="Arial"/>
          <w:sz w:val="21"/>
          <w:szCs w:val="21"/>
          <w:i w:val="1"/>
          <w:iCs w:val="1"/>
          <w:color w:val="auto"/>
        </w:rPr>
        <w:t>Base Salary</w:t>
      </w:r>
      <w:r>
        <w:rPr>
          <w:rFonts w:ascii="Arial" w:cs="Arial" w:eastAsia="Arial" w:hAnsi="Arial"/>
          <w:sz w:val="21"/>
          <w:szCs w:val="21"/>
          <w:color w:val="auto"/>
        </w:rPr>
        <w:t>. Your initial annualized base salary rate will be $425,000, less standard</w:t>
      </w:r>
      <w:r>
        <w:rPr>
          <w:rFonts w:ascii="Arial" w:cs="Arial" w:eastAsia="Arial" w:hAnsi="Arial"/>
          <w:sz w:val="21"/>
          <w:szCs w:val="21"/>
          <w:i w:val="1"/>
          <w:iCs w:val="1"/>
          <w:color w:val="auto"/>
        </w:rPr>
        <w:t xml:space="preserve"> </w:t>
      </w:r>
      <w:r>
        <w:rPr>
          <w:rFonts w:ascii="Arial" w:cs="Arial" w:eastAsia="Arial" w:hAnsi="Arial"/>
          <w:sz w:val="21"/>
          <w:szCs w:val="21"/>
          <w:color w:val="auto"/>
        </w:rPr>
        <w:t>deductions and withholding and payable bi-weekly in accordance with NextCure’s regular payroll practices. Your salary shall be reviewed annually and may be adjusted in connection with any such review.</w:t>
      </w:r>
    </w:p>
    <w:p>
      <w:pPr>
        <w:spacing w:after="0" w:line="169" w:lineRule="exact"/>
        <w:rPr>
          <w:rFonts w:ascii="Arial" w:cs="Arial" w:eastAsia="Arial" w:hAnsi="Arial"/>
          <w:sz w:val="21"/>
          <w:szCs w:val="21"/>
          <w:color w:val="auto"/>
        </w:rPr>
      </w:pPr>
    </w:p>
    <w:p>
      <w:pPr>
        <w:jc w:val="both"/>
        <w:ind w:firstLine="1304"/>
        <w:spacing w:after="0" w:line="238" w:lineRule="auto"/>
        <w:tabs>
          <w:tab w:leader="none" w:pos="1944" w:val="left"/>
        </w:tabs>
        <w:numPr>
          <w:ilvl w:val="1"/>
          <w:numId w:val="68"/>
        </w:numPr>
        <w:rPr>
          <w:rFonts w:ascii="Arial" w:cs="Arial" w:eastAsia="Arial" w:hAnsi="Arial"/>
          <w:sz w:val="22"/>
          <w:szCs w:val="22"/>
          <w:color w:val="auto"/>
        </w:rPr>
      </w:pPr>
      <w:r>
        <w:rPr>
          <w:rFonts w:ascii="Arial" w:cs="Arial" w:eastAsia="Arial" w:hAnsi="Arial"/>
          <w:sz w:val="22"/>
          <w:szCs w:val="22"/>
          <w:i w:val="1"/>
          <w:iCs w:val="1"/>
          <w:color w:val="auto"/>
        </w:rPr>
        <w:t>Housing Allowance</w:t>
      </w:r>
      <w:r>
        <w:rPr>
          <w:rFonts w:ascii="Arial" w:cs="Arial" w:eastAsia="Arial" w:hAnsi="Arial"/>
          <w:sz w:val="22"/>
          <w:szCs w:val="22"/>
          <w:color w:val="auto"/>
        </w:rPr>
        <w:t>. Upon your Start Date, you were provided with a special, one-time</w:t>
      </w:r>
      <w:r>
        <w:rPr>
          <w:rFonts w:ascii="Arial" w:cs="Arial" w:eastAsia="Arial" w:hAnsi="Arial"/>
          <w:sz w:val="22"/>
          <w:szCs w:val="22"/>
          <w:i w:val="1"/>
          <w:iCs w:val="1"/>
          <w:color w:val="auto"/>
        </w:rPr>
        <w:t xml:space="preserve"> </w:t>
      </w:r>
      <w:r>
        <w:rPr>
          <w:rFonts w:ascii="Arial" w:cs="Arial" w:eastAsia="Arial" w:hAnsi="Arial"/>
          <w:sz w:val="22"/>
          <w:szCs w:val="22"/>
          <w:color w:val="auto"/>
        </w:rPr>
        <w:t>bonus in the amount of $75,000 to cover relocation and housing expenses resulting from your move from New Jersey to Maryland, to be used at your discretion. If you should voluntarily terminate your employment prior to the 24-month anniversary of your Start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902335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29" w:name="page130"/>
    <w:bookmarkEnd w:id="129"/>
    <w:p>
      <w:pPr>
        <w:spacing w:after="0" w:line="250" w:lineRule="auto"/>
        <w:rPr>
          <w:sz w:val="20"/>
          <w:szCs w:val="20"/>
          <w:color w:val="auto"/>
        </w:rPr>
      </w:pPr>
      <w:r>
        <w:rPr>
          <w:rFonts w:ascii="Arial" w:cs="Arial" w:eastAsia="Arial" w:hAnsi="Arial"/>
          <w:sz w:val="22"/>
          <w:szCs w:val="22"/>
          <w:color w:val="auto"/>
        </w:rPr>
        <w:t>Date, then you will pay NextCure a ratable portion of this bonus based on the number of months remaining in this 24-month period.</w:t>
      </w:r>
    </w:p>
    <w:p>
      <w:pPr>
        <w:spacing w:after="0" w:line="175" w:lineRule="exact"/>
        <w:rPr>
          <w:sz w:val="20"/>
          <w:szCs w:val="20"/>
          <w:color w:val="auto"/>
        </w:rPr>
      </w:pPr>
    </w:p>
    <w:p>
      <w:pPr>
        <w:jc w:val="both"/>
        <w:ind w:firstLine="1304"/>
        <w:spacing w:after="0" w:line="287" w:lineRule="auto"/>
        <w:tabs>
          <w:tab w:leader="none" w:pos="1944" w:val="left"/>
        </w:tabs>
        <w:numPr>
          <w:ilvl w:val="1"/>
          <w:numId w:val="69"/>
        </w:numPr>
        <w:rPr>
          <w:rFonts w:ascii="Arial" w:cs="Arial" w:eastAsia="Arial" w:hAnsi="Arial"/>
          <w:sz w:val="19"/>
          <w:szCs w:val="19"/>
          <w:color w:val="auto"/>
        </w:rPr>
      </w:pPr>
      <w:r>
        <w:rPr>
          <w:rFonts w:ascii="Arial" w:cs="Arial" w:eastAsia="Arial" w:hAnsi="Arial"/>
          <w:sz w:val="19"/>
          <w:szCs w:val="19"/>
          <w:i w:val="1"/>
          <w:iCs w:val="1"/>
          <w:color w:val="auto"/>
        </w:rPr>
        <w:t>Bonus Program</w:t>
      </w:r>
      <w:r>
        <w:rPr>
          <w:rFonts w:ascii="Arial" w:cs="Arial" w:eastAsia="Arial" w:hAnsi="Arial"/>
          <w:sz w:val="19"/>
          <w:szCs w:val="19"/>
          <w:color w:val="auto"/>
        </w:rPr>
        <w:t>. You will be eligible for an annual target bonus of 40% of your annual base</w:t>
      </w:r>
      <w:r>
        <w:rPr>
          <w:rFonts w:ascii="Arial" w:cs="Arial" w:eastAsia="Arial" w:hAnsi="Arial"/>
          <w:sz w:val="19"/>
          <w:szCs w:val="19"/>
          <w:i w:val="1"/>
          <w:iCs w:val="1"/>
          <w:color w:val="auto"/>
        </w:rPr>
        <w:t xml:space="preserve"> </w:t>
      </w:r>
      <w:r>
        <w:rPr>
          <w:rFonts w:ascii="Arial" w:cs="Arial" w:eastAsia="Arial" w:hAnsi="Arial"/>
          <w:sz w:val="19"/>
          <w:szCs w:val="19"/>
          <w:color w:val="auto"/>
        </w:rPr>
        <w:t>salary as determined by the Board in its sole discretion based upon, among other things, the achievement of pre-determined performance milestones. Any annual bonus, if earned, shall be paid no later than March 15</w:t>
      </w:r>
      <w:r>
        <w:rPr>
          <w:rFonts w:ascii="Arial" w:cs="Arial" w:eastAsia="Arial" w:hAnsi="Arial"/>
          <w:sz w:val="14"/>
          <w:szCs w:val="14"/>
          <w:color w:val="auto"/>
        </w:rPr>
        <w:t>th</w:t>
      </w:r>
      <w:r>
        <w:rPr>
          <w:rFonts w:ascii="Arial" w:cs="Arial" w:eastAsia="Arial" w:hAnsi="Arial"/>
          <w:sz w:val="19"/>
          <w:szCs w:val="19"/>
          <w:color w:val="auto"/>
        </w:rPr>
        <w:t xml:space="preserve"> of the year immediately following the year to which the applicable annual bonus relates.</w:t>
      </w:r>
    </w:p>
    <w:p>
      <w:pPr>
        <w:spacing w:after="0" w:line="142" w:lineRule="exact"/>
        <w:rPr>
          <w:rFonts w:ascii="Arial" w:cs="Arial" w:eastAsia="Arial" w:hAnsi="Arial"/>
          <w:sz w:val="19"/>
          <w:szCs w:val="19"/>
          <w:color w:val="auto"/>
        </w:rPr>
      </w:pPr>
    </w:p>
    <w:p>
      <w:pPr>
        <w:jc w:val="both"/>
        <w:ind w:firstLine="1304"/>
        <w:spacing w:after="0" w:line="236" w:lineRule="auto"/>
        <w:tabs>
          <w:tab w:leader="none" w:pos="1944" w:val="left"/>
        </w:tabs>
        <w:numPr>
          <w:ilvl w:val="1"/>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Option Grants. </w:t>
      </w:r>
      <w:r>
        <w:rPr>
          <w:rFonts w:ascii="Arial" w:cs="Arial" w:eastAsia="Arial" w:hAnsi="Arial"/>
          <w:sz w:val="22"/>
          <w:szCs w:val="22"/>
          <w:color w:val="auto"/>
        </w:rPr>
        <w:t>As of your Start Date, you were granted an option to purchase 200,000</w:t>
      </w:r>
      <w:r>
        <w:rPr>
          <w:rFonts w:ascii="Arial" w:cs="Arial" w:eastAsia="Arial" w:hAnsi="Arial"/>
          <w:sz w:val="22"/>
          <w:szCs w:val="22"/>
          <w:i w:val="1"/>
          <w:iCs w:val="1"/>
          <w:color w:val="auto"/>
        </w:rPr>
        <w:t xml:space="preserve"> </w:t>
      </w:r>
      <w:r>
        <w:rPr>
          <w:rFonts w:ascii="Arial" w:cs="Arial" w:eastAsia="Arial" w:hAnsi="Arial"/>
          <w:sz w:val="22"/>
          <w:szCs w:val="22"/>
          <w:color w:val="auto"/>
        </w:rPr>
        <w:t>shares of NextCure’s common stock, vesting 25% on the first anniversary of your Start Date, and thereafter in 36 equal, monthly installments until fully-vested, on the fourth anniversary of your Start Date. The option grant is subject to the terms of NextCure’s equity incentive arrangements, including its customary Incentive Stock Option (ISO) Grant Agreement.</w:t>
      </w:r>
    </w:p>
    <w:p>
      <w:pPr>
        <w:spacing w:after="0" w:line="187" w:lineRule="exact"/>
        <w:rPr>
          <w:rFonts w:ascii="Arial" w:cs="Arial" w:eastAsia="Arial" w:hAnsi="Arial"/>
          <w:sz w:val="22"/>
          <w:szCs w:val="22"/>
          <w:color w:val="auto"/>
        </w:rPr>
      </w:pPr>
    </w:p>
    <w:p>
      <w:pPr>
        <w:jc w:val="both"/>
        <w:ind w:firstLine="1304"/>
        <w:spacing w:after="0"/>
        <w:tabs>
          <w:tab w:leader="none" w:pos="1944" w:val="left"/>
        </w:tabs>
        <w:numPr>
          <w:ilvl w:val="1"/>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Withholding. </w:t>
      </w:r>
      <w:r>
        <w:rPr>
          <w:rFonts w:ascii="Arial" w:cs="Arial" w:eastAsia="Arial" w:hAnsi="Arial"/>
          <w:sz w:val="22"/>
          <w:szCs w:val="22"/>
          <w:color w:val="auto"/>
        </w:rPr>
        <w:t>NextCure shall withhold from any compensation or benefits payable to you</w:t>
      </w:r>
      <w:r>
        <w:rPr>
          <w:rFonts w:ascii="Arial" w:cs="Arial" w:eastAsia="Arial" w:hAnsi="Arial"/>
          <w:sz w:val="22"/>
          <w:szCs w:val="22"/>
          <w:i w:val="1"/>
          <w:iCs w:val="1"/>
          <w:color w:val="auto"/>
        </w:rPr>
        <w:t xml:space="preserve"> </w:t>
      </w:r>
      <w:r>
        <w:rPr>
          <w:rFonts w:ascii="Arial" w:cs="Arial" w:eastAsia="Arial" w:hAnsi="Arial"/>
          <w:sz w:val="22"/>
          <w:szCs w:val="22"/>
          <w:color w:val="auto"/>
        </w:rPr>
        <w:t>by NextCure any federal, state and/or local income, employment and/or other similar taxes as may be required to be withheld pursuant to any applicable law or regulation.</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tabs>
          <w:tab w:leader="none" w:pos="1944" w:val="left"/>
        </w:tabs>
        <w:numPr>
          <w:ilvl w:val="1"/>
          <w:numId w:val="70"/>
        </w:numPr>
        <w:rPr>
          <w:rFonts w:ascii="Arial" w:cs="Arial" w:eastAsia="Arial" w:hAnsi="Arial"/>
          <w:sz w:val="22"/>
          <w:szCs w:val="22"/>
          <w:color w:val="auto"/>
        </w:rPr>
      </w:pPr>
      <w:r>
        <w:rPr>
          <w:rFonts w:ascii="Arial" w:cs="Arial" w:eastAsia="Arial" w:hAnsi="Arial"/>
          <w:sz w:val="22"/>
          <w:szCs w:val="22"/>
          <w:i w:val="1"/>
          <w:iCs w:val="1"/>
          <w:color w:val="auto"/>
        </w:rPr>
        <w:t>Vacation and Holidays</w:t>
      </w:r>
      <w:r>
        <w:rPr>
          <w:rFonts w:ascii="Arial" w:cs="Arial" w:eastAsia="Arial" w:hAnsi="Arial"/>
          <w:sz w:val="22"/>
          <w:szCs w:val="22"/>
          <w:color w:val="auto"/>
        </w:rPr>
        <w:t>. You will be eligible each year for 10 paid vacation days (excluding</w:t>
      </w:r>
      <w:r>
        <w:rPr>
          <w:rFonts w:ascii="Arial" w:cs="Arial" w:eastAsia="Arial" w:hAnsi="Arial"/>
          <w:sz w:val="22"/>
          <w:szCs w:val="22"/>
          <w:i w:val="1"/>
          <w:iCs w:val="1"/>
          <w:color w:val="auto"/>
        </w:rPr>
        <w:t xml:space="preserve"> </w:t>
      </w:r>
      <w:r>
        <w:rPr>
          <w:rFonts w:ascii="Arial" w:cs="Arial" w:eastAsia="Arial" w:hAnsi="Arial"/>
          <w:sz w:val="22"/>
          <w:szCs w:val="22"/>
          <w:color w:val="auto"/>
        </w:rPr>
        <w:t>federal holidays), 2 paid personal days and 8 paid days of sick time, as well as paid time off from December 28 through December 30.</w:t>
      </w:r>
    </w:p>
    <w:p>
      <w:pPr>
        <w:spacing w:after="0" w:line="186" w:lineRule="exact"/>
        <w:rPr>
          <w:rFonts w:ascii="Arial" w:cs="Arial" w:eastAsia="Arial" w:hAnsi="Arial"/>
          <w:sz w:val="22"/>
          <w:szCs w:val="22"/>
          <w:color w:val="auto"/>
        </w:rPr>
      </w:pPr>
    </w:p>
    <w:p>
      <w:pPr>
        <w:jc w:val="both"/>
        <w:ind w:firstLine="1304"/>
        <w:spacing w:after="0" w:line="238" w:lineRule="auto"/>
        <w:tabs>
          <w:tab w:leader="none" w:pos="1944" w:val="left"/>
        </w:tabs>
        <w:numPr>
          <w:ilvl w:val="1"/>
          <w:numId w:val="70"/>
        </w:numPr>
        <w:rPr>
          <w:rFonts w:ascii="Arial" w:cs="Arial" w:eastAsia="Arial" w:hAnsi="Arial"/>
          <w:sz w:val="22"/>
          <w:szCs w:val="22"/>
          <w:color w:val="auto"/>
        </w:rPr>
      </w:pPr>
      <w:r>
        <w:rPr>
          <w:rFonts w:ascii="Arial" w:cs="Arial" w:eastAsia="Arial" w:hAnsi="Arial"/>
          <w:sz w:val="22"/>
          <w:szCs w:val="22"/>
          <w:i w:val="1"/>
          <w:iCs w:val="1"/>
          <w:color w:val="auto"/>
        </w:rPr>
        <w:t>Other</w:t>
      </w:r>
      <w:r>
        <w:rPr>
          <w:rFonts w:ascii="Arial" w:cs="Arial" w:eastAsia="Arial" w:hAnsi="Arial"/>
          <w:sz w:val="22"/>
          <w:szCs w:val="22"/>
          <w:color w:val="auto"/>
        </w:rPr>
        <w:t>. You will be eligible to participate in the benefits to be offered by NextCure on the</w:t>
      </w:r>
      <w:r>
        <w:rPr>
          <w:rFonts w:ascii="Arial" w:cs="Arial" w:eastAsia="Arial" w:hAnsi="Arial"/>
          <w:sz w:val="22"/>
          <w:szCs w:val="22"/>
          <w:i w:val="1"/>
          <w:iCs w:val="1"/>
          <w:color w:val="auto"/>
        </w:rPr>
        <w:t xml:space="preserve"> </w:t>
      </w:r>
      <w:r>
        <w:rPr>
          <w:rFonts w:ascii="Arial" w:cs="Arial" w:eastAsia="Arial" w:hAnsi="Arial"/>
          <w:sz w:val="22"/>
          <w:szCs w:val="22"/>
          <w:color w:val="auto"/>
        </w:rPr>
        <w:t>same terms and 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spacing w:after="0" w:line="184" w:lineRule="exact"/>
        <w:rPr>
          <w:rFonts w:ascii="Arial" w:cs="Arial" w:eastAsia="Arial" w:hAnsi="Arial"/>
          <w:sz w:val="22"/>
          <w:szCs w:val="22"/>
          <w:color w:val="auto"/>
        </w:rPr>
      </w:pPr>
    </w:p>
    <w:p>
      <w:pPr>
        <w:jc w:val="both"/>
        <w:ind w:firstLine="1304"/>
        <w:spacing w:after="0"/>
        <w:tabs>
          <w:tab w:leader="none" w:pos="1944" w:val="left"/>
        </w:tabs>
        <w:numPr>
          <w:ilvl w:val="1"/>
          <w:numId w:val="70"/>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NextCure shall reimburse you for all reasonable expenses of the type authorized</w:t>
      </w:r>
      <w:r>
        <w:rPr>
          <w:rFonts w:ascii="Arial" w:cs="Arial" w:eastAsia="Arial" w:hAnsi="Arial"/>
          <w:sz w:val="22"/>
          <w:szCs w:val="22"/>
          <w:i w:val="1"/>
          <w:iCs w:val="1"/>
          <w:color w:val="auto"/>
        </w:rPr>
        <w:t xml:space="preserve"> </w:t>
      </w:r>
      <w:r>
        <w:rPr>
          <w:rFonts w:ascii="Arial" w:cs="Arial" w:eastAsia="Arial" w:hAnsi="Arial"/>
          <w:sz w:val="22"/>
          <w:szCs w:val="22"/>
          <w:color w:val="auto"/>
        </w:rPr>
        <w:t>by NextCure and incurred by you in the performance of your duties under this Agreement, all in accordance with the Company’s reimbursement policies.</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is the case of all employee benefits, such benefits will be governed by the terms and conditions of applicable NextCure plans or policies, which are subject to change or discontinuation at any time.</w:t>
      </w:r>
    </w:p>
    <w:p>
      <w:pPr>
        <w:spacing w:after="0" w:line="175"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i w:val="1"/>
          <w:iCs w:val="1"/>
          <w:color w:val="auto"/>
        </w:rPr>
        <w:t xml:space="preserve">Definitions. </w:t>
      </w:r>
      <w:r>
        <w:rPr>
          <w:rFonts w:ascii="Arial" w:cs="Arial" w:eastAsia="Arial" w:hAnsi="Arial"/>
          <w:sz w:val="19"/>
          <w:szCs w:val="19"/>
          <w:color w:val="auto"/>
        </w:rPr>
        <w:t>For purposes of this Agreement:</w:t>
      </w:r>
    </w:p>
    <w:p>
      <w:pPr>
        <w:spacing w:after="0" w:line="200" w:lineRule="exact"/>
        <w:rPr>
          <w:rFonts w:ascii="Arial" w:cs="Arial" w:eastAsia="Arial" w:hAnsi="Arial"/>
          <w:sz w:val="22"/>
          <w:szCs w:val="22"/>
          <w:color w:val="auto"/>
        </w:rPr>
      </w:pPr>
    </w:p>
    <w:p>
      <w:pPr>
        <w:jc w:val="both"/>
        <w:ind w:firstLine="1952"/>
        <w:spacing w:after="0" w:line="280" w:lineRule="auto"/>
        <w:tabs>
          <w:tab w:leader="none" w:pos="2592" w:val="left"/>
        </w:tabs>
        <w:numPr>
          <w:ilvl w:val="2"/>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Accrued Benefits</w:t>
      </w:r>
      <w:r>
        <w:rPr>
          <w:rFonts w:ascii="Arial" w:cs="Arial" w:eastAsia="Arial" w:hAnsi="Arial"/>
          <w:sz w:val="19"/>
          <w:szCs w:val="19"/>
          <w:color w:val="auto"/>
        </w:rPr>
        <w:t>” 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NextCure’s reimbursement policy, (iv) accrued but unused vacation (if applicable), earned through the date of termination of employment; and (v) all other payments, benefits or fringe benefits to which you shall be entitled under the terms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0" w:name="page131"/>
    <w:bookmarkEnd w:id="130"/>
    <w:p>
      <w:pPr>
        <w:ind w:right="20"/>
        <w:spacing w:after="0" w:line="250" w:lineRule="auto"/>
        <w:rPr>
          <w:sz w:val="20"/>
          <w:szCs w:val="20"/>
          <w:color w:val="auto"/>
        </w:rPr>
      </w:pPr>
      <w:r>
        <w:rPr>
          <w:rFonts w:ascii="Arial" w:cs="Arial" w:eastAsia="Arial" w:hAnsi="Arial"/>
          <w:sz w:val="22"/>
          <w:szCs w:val="22"/>
          <w:color w:val="auto"/>
        </w:rPr>
        <w:t>applicable compensation arrangement or benefit, equity or fringe benefit plan or program or grant with or by NextCure or this Agreement.</w:t>
      </w:r>
    </w:p>
    <w:p>
      <w:pPr>
        <w:spacing w:after="0" w:line="169" w:lineRule="exact"/>
        <w:rPr>
          <w:sz w:val="20"/>
          <w:szCs w:val="20"/>
          <w:color w:val="auto"/>
        </w:rPr>
      </w:pPr>
    </w:p>
    <w:p>
      <w:pPr>
        <w:jc w:val="both"/>
        <w:ind w:firstLine="1952"/>
        <w:spacing w:after="0" w:line="234" w:lineRule="auto"/>
        <w:tabs>
          <w:tab w:leader="none" w:pos="2592" w:val="left"/>
        </w:tabs>
        <w:numPr>
          <w:ilvl w:val="1"/>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60 days after written notice given to you by NextCure except in the case of your physical or mental illness; (ii) disloyalty, gross negligence, willful misconduct, or dishonesty that materially injures NextCure or breach of fiduciary duty to NextCure; (iii) the conviction of (x) a felony or (y) a misdemeanor involving moral turpitude, or fraud; (iv) the commission of an act of embezzlement or fraud; or (v) the material breach of any agreement between NextCure and you.</w:t>
      </w:r>
    </w:p>
    <w:p>
      <w:pPr>
        <w:spacing w:after="0" w:line="186" w:lineRule="exact"/>
        <w:rPr>
          <w:rFonts w:ascii="Arial" w:cs="Arial" w:eastAsia="Arial" w:hAnsi="Arial"/>
          <w:sz w:val="22"/>
          <w:szCs w:val="22"/>
          <w:color w:val="auto"/>
        </w:rPr>
      </w:pPr>
    </w:p>
    <w:p>
      <w:pPr>
        <w:jc w:val="both"/>
        <w:ind w:firstLine="1952"/>
        <w:spacing w:after="0" w:line="280" w:lineRule="auto"/>
        <w:tabs>
          <w:tab w:leader="none" w:pos="2592" w:val="left"/>
        </w:tabs>
        <w:numPr>
          <w:ilvl w:val="1"/>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without your express written consent, (i) any reduction in your annual base salary other than a reduction which is proportional to general reductions affecting other senior executive officers of NextCure generally, (ii) any material reduction in your title or scope of responsibilities without your consent (other than your removal from the Board); or (iii) a requirement that the location of the office in which you perform your principal duties for NextCure be changed to a new location that is outside a radius of 50 miles from the Company’s corporate headquarters in Beltsville, Maryland.</w:t>
      </w:r>
    </w:p>
    <w:p>
      <w:pPr>
        <w:spacing w:after="0" w:line="150" w:lineRule="exact"/>
        <w:rPr>
          <w:rFonts w:ascii="Arial" w:cs="Arial" w:eastAsia="Arial" w:hAnsi="Arial"/>
          <w:sz w:val="19"/>
          <w:szCs w:val="19"/>
          <w:color w:val="auto"/>
        </w:rPr>
      </w:pPr>
    </w:p>
    <w:p>
      <w:pPr>
        <w:ind w:left="1960" w:hanging="656"/>
        <w:spacing w:after="0"/>
        <w:tabs>
          <w:tab w:leader="none" w:pos="1960" w:val="left"/>
        </w:tabs>
        <w:numPr>
          <w:ilvl w:val="0"/>
          <w:numId w:val="73"/>
        </w:numPr>
        <w:rPr>
          <w:rFonts w:ascii="Arial" w:cs="Arial" w:eastAsia="Arial" w:hAnsi="Arial"/>
          <w:sz w:val="22"/>
          <w:szCs w:val="22"/>
          <w:color w:val="auto"/>
        </w:rPr>
      </w:pPr>
      <w:r>
        <w:rPr>
          <w:rFonts w:ascii="Arial" w:cs="Arial" w:eastAsia="Arial" w:hAnsi="Arial"/>
          <w:sz w:val="22"/>
          <w:szCs w:val="22"/>
          <w:i w:val="1"/>
          <w:iCs w:val="1"/>
          <w:color w:val="auto"/>
        </w:rPr>
        <w:t>Severance Benefits and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line="271" w:lineRule="auto"/>
        <w:tabs>
          <w:tab w:leader="none" w:pos="2592" w:val="left"/>
        </w:tabs>
        <w:numPr>
          <w:ilvl w:val="1"/>
          <w:numId w:val="73"/>
        </w:numPr>
        <w:rPr>
          <w:rFonts w:ascii="Arial" w:cs="Arial" w:eastAsia="Arial" w:hAnsi="Arial"/>
          <w:sz w:val="19"/>
          <w:szCs w:val="19"/>
          <w:color w:val="auto"/>
        </w:rPr>
      </w:pPr>
      <w:r>
        <w:rPr>
          <w:rFonts w:ascii="Arial" w:cs="Arial" w:eastAsia="Arial" w:hAnsi="Arial"/>
          <w:sz w:val="19"/>
          <w:szCs w:val="19"/>
          <w:i w:val="1"/>
          <w:iCs w:val="1"/>
          <w:color w:val="auto"/>
        </w:rPr>
        <w:t>Generally</w:t>
      </w:r>
      <w:r>
        <w:rPr>
          <w:rFonts w:ascii="Arial" w:cs="Arial" w:eastAsia="Arial" w:hAnsi="Arial"/>
          <w:sz w:val="19"/>
          <w:szCs w:val="19"/>
          <w:color w:val="auto"/>
        </w:rPr>
        <w:t>. If your employment with NextCure is terminated by NextCure for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 other than Cause or by you for Good Reason, NextCure will pay you (1) the Accrued Benefits; (2) subject to your compliance with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below, after the execution and delivery of the Separation Agreement and General Release in the form attached hereto as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(the “</w:t>
      </w:r>
      <w:r>
        <w:rPr>
          <w:rFonts w:ascii="Arial" w:cs="Arial" w:eastAsia="Arial" w:hAnsi="Arial"/>
          <w:sz w:val="19"/>
          <w:szCs w:val="19"/>
          <w:b w:val="1"/>
          <w:bCs w:val="1"/>
          <w:color w:val="auto"/>
        </w:rPr>
        <w:t>Separation Agreement and General Release</w:t>
      </w:r>
      <w:r>
        <w:rPr>
          <w:rFonts w:ascii="Arial" w:cs="Arial" w:eastAsia="Arial" w:hAnsi="Arial"/>
          <w:sz w:val="19"/>
          <w:szCs w:val="19"/>
          <w:color w:val="auto"/>
        </w:rPr>
        <w:t>”) and the expiration of any revocation period without the release being revoked, 9 months’ base salary, less standard deductions, payable in a single lump sum on the 60</w:t>
      </w:r>
      <w:r>
        <w:rPr>
          <w:rFonts w:ascii="Arial" w:cs="Arial" w:eastAsia="Arial" w:hAnsi="Arial"/>
          <w:sz w:val="14"/>
          <w:szCs w:val="14"/>
          <w:color w:val="auto"/>
        </w:rPr>
        <w:t>th</w:t>
      </w:r>
      <w:r>
        <w:rPr>
          <w:rFonts w:ascii="Arial" w:cs="Arial" w:eastAsia="Arial" w:hAnsi="Arial"/>
          <w:sz w:val="19"/>
          <w:szCs w:val="19"/>
          <w:color w:val="auto"/>
        </w:rPr>
        <w:t xml:space="preserve"> day following the termination of your employment; and (3) if you elect to continue your health insurance coverage pursuant to your rights under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following the termination of your employment, your monthly premium under COBRA on a monthly basis until the earlier of (x) 9 months following the effective termination date, or (y) the date upon which you commence full-time employment (or employment that provides you with eligibility for healthcare benefits substantially comparable to those provided by NextCure). A termination of your employment by NextCure due to physical or mental illness which is not a Disability (as defined herein) shall be treated as an involuntary termination other than for Cause. The term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952"/>
        <w:spacing w:after="0" w:line="238" w:lineRule="auto"/>
        <w:tabs>
          <w:tab w:leader="none" w:pos="2592" w:val="left"/>
        </w:tabs>
        <w:numPr>
          <w:ilvl w:val="1"/>
          <w:numId w:val="73"/>
        </w:numPr>
        <w:rPr>
          <w:rFonts w:ascii="Arial" w:cs="Arial" w:eastAsia="Arial" w:hAnsi="Arial"/>
          <w:sz w:val="22"/>
          <w:szCs w:val="22"/>
          <w:color w:val="auto"/>
        </w:rPr>
      </w:pPr>
      <w:r>
        <w:rPr>
          <w:rFonts w:ascii="Arial" w:cs="Arial" w:eastAsia="Arial" w:hAnsi="Arial"/>
          <w:sz w:val="22"/>
          <w:szCs w:val="22"/>
          <w:i w:val="1"/>
          <w:iCs w:val="1"/>
          <w:color w:val="auto"/>
        </w:rPr>
        <w:t xml:space="preserve">In connection with the Change in Control Period. </w:t>
      </w:r>
      <w:r>
        <w:rPr>
          <w:rFonts w:ascii="Arial" w:cs="Arial" w:eastAsia="Arial" w:hAnsi="Arial"/>
          <w:sz w:val="22"/>
          <w:szCs w:val="22"/>
          <w:color w:val="auto"/>
        </w:rPr>
        <w:t>If your employment with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NextCure is terminated by NextCure for any reason other than Cause or by you for Good Reason during the Change in Control Period, NextCure will pay you (1) the Accrued Benefits; (2) subject to your compliance with </w:t>
      </w:r>
      <w:r>
        <w:rPr>
          <w:rFonts w:ascii="Arial" w:cs="Arial" w:eastAsia="Arial" w:hAnsi="Arial"/>
          <w:sz w:val="22"/>
          <w:szCs w:val="22"/>
          <w:u w:val="single" w:color="auto"/>
          <w:color w:val="auto"/>
        </w:rPr>
        <w:t>Section 4(c)</w:t>
      </w:r>
      <w:r>
        <w:rPr>
          <w:rFonts w:ascii="Arial" w:cs="Arial" w:eastAsia="Arial" w:hAnsi="Arial"/>
          <w:sz w:val="22"/>
          <w:szCs w:val="22"/>
          <w:color w:val="auto"/>
        </w:rPr>
        <w:t xml:space="preserve"> below, after the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1" w:name="page132"/>
    <w:bookmarkEnd w:id="131"/>
    <w:p>
      <w:pPr>
        <w:jc w:val="both"/>
        <w:spacing w:after="0" w:line="274" w:lineRule="auto"/>
        <w:rPr>
          <w:sz w:val="20"/>
          <w:szCs w:val="20"/>
          <w:color w:val="auto"/>
        </w:rPr>
      </w:pPr>
      <w:r>
        <w:rPr>
          <w:rFonts w:ascii="Arial" w:cs="Arial" w:eastAsia="Arial" w:hAnsi="Arial"/>
          <w:sz w:val="19"/>
          <w:szCs w:val="19"/>
          <w:color w:val="auto"/>
        </w:rPr>
        <w:t>and delivery of the Separation Agreement and General Release and the expiration of any revocation period without the release being revoked, 12 months’ base salary plus your annual target bonus, less standard deductions, payable in a single lump sum on the 60</w:t>
      </w:r>
      <w:r>
        <w:rPr>
          <w:rFonts w:ascii="Arial" w:cs="Arial" w:eastAsia="Arial" w:hAnsi="Arial"/>
          <w:sz w:val="14"/>
          <w:szCs w:val="14"/>
          <w:color w:val="auto"/>
        </w:rPr>
        <w:t>th</w:t>
      </w:r>
      <w:r>
        <w:rPr>
          <w:rFonts w:ascii="Arial" w:cs="Arial" w:eastAsia="Arial" w:hAnsi="Arial"/>
          <w:sz w:val="19"/>
          <w:szCs w:val="19"/>
          <w:color w:val="auto"/>
        </w:rPr>
        <w:t xml:space="preserve"> day following the termination of your employment; and (3) if you elect to continue your health insurance coverage pursuant to your rights under COBRA following the termination of your </w:t>
      </w:r>
      <w:r>
        <w:rPr>
          <w:rFonts w:ascii="Arial" w:cs="Arial" w:eastAsia="Arial" w:hAnsi="Arial"/>
          <w:sz w:val="19"/>
          <w:szCs w:val="19"/>
          <w:u w:val="single" w:color="auto"/>
          <w:color w:val="auto"/>
        </w:rPr>
        <w:t>employment</w:t>
      </w:r>
      <w:r>
        <w:rPr>
          <w:rFonts w:ascii="Arial" w:cs="Arial" w:eastAsia="Arial" w:hAnsi="Arial"/>
          <w:sz w:val="19"/>
          <w:szCs w:val="19"/>
          <w:color w:val="auto"/>
        </w:rPr>
        <w:t>, your monthly premium under COBRA on a monthly basis until the earlier of (x) 12 months following the effective termination date, or (y) the date upon which you commence full-time employment (or employment that provides you with eligibility for healthcare benefits substantially comparable to those provided by NextCure). A termination of your employment by NextCure due to physical or mental illness which is not a Disability shall be treated as an involuntary termination other than for Cause.</w:t>
      </w:r>
    </w:p>
    <w:p>
      <w:pPr>
        <w:spacing w:after="0" w:line="158" w:lineRule="exact"/>
        <w:rPr>
          <w:sz w:val="20"/>
          <w:szCs w:val="20"/>
          <w:color w:val="auto"/>
        </w:rPr>
      </w:pPr>
    </w:p>
    <w:p>
      <w:pPr>
        <w:jc w:val="both"/>
        <w:ind w:firstLine="1304"/>
        <w:spacing w:after="0" w:line="238" w:lineRule="auto"/>
        <w:tabs>
          <w:tab w:leader="none" w:pos="1944" w:val="left"/>
        </w:tabs>
        <w:numPr>
          <w:ilvl w:val="1"/>
          <w:numId w:val="74"/>
        </w:numPr>
        <w:rPr>
          <w:rFonts w:ascii="Arial" w:cs="Arial" w:eastAsia="Arial" w:hAnsi="Arial"/>
          <w:sz w:val="22"/>
          <w:szCs w:val="22"/>
          <w:color w:val="auto"/>
        </w:rPr>
      </w:pPr>
      <w:r>
        <w:rPr>
          <w:rFonts w:ascii="Arial" w:cs="Arial" w:eastAsia="Arial" w:hAnsi="Arial"/>
          <w:sz w:val="22"/>
          <w:szCs w:val="22"/>
          <w:i w:val="1"/>
          <w:iCs w:val="1"/>
          <w:color w:val="auto"/>
        </w:rPr>
        <w:t>Eligibility for Severance</w:t>
      </w:r>
      <w:r>
        <w:rPr>
          <w:rFonts w:ascii="Arial" w:cs="Arial" w:eastAsia="Arial" w:hAnsi="Arial"/>
          <w:sz w:val="22"/>
          <w:szCs w:val="22"/>
          <w:color w:val="auto"/>
        </w:rPr>
        <w:t>. Eligibility for receipt of the items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4(b)(ii)</w:t>
      </w:r>
      <w:r>
        <w:rPr>
          <w:rFonts w:ascii="Arial" w:cs="Arial" w:eastAsia="Arial" w:hAnsi="Arial"/>
          <w:sz w:val="22"/>
          <w:szCs w:val="22"/>
          <w:i w:val="1"/>
          <w:iCs w:val="1"/>
          <w:color w:val="auto"/>
        </w:rPr>
        <w:t xml:space="preserve"> </w:t>
      </w:r>
      <w:r>
        <w:rPr>
          <w:rFonts w:ascii="Arial" w:cs="Arial" w:eastAsia="Arial" w:hAnsi="Arial"/>
          <w:sz w:val="22"/>
          <w:szCs w:val="22"/>
          <w:color w:val="auto"/>
        </w:rPr>
        <w:t>above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conditioned on your (i) returning to NextCure promptly upon termination of your employment all of its property, including confidential information and all electronically stored information, and (ii) signing and not revoking the Separation Agreement and General Release.</w:t>
      </w:r>
    </w:p>
    <w:p>
      <w:pPr>
        <w:spacing w:after="0" w:line="184" w:lineRule="exact"/>
        <w:rPr>
          <w:rFonts w:ascii="Arial" w:cs="Arial" w:eastAsia="Arial" w:hAnsi="Arial"/>
          <w:sz w:val="22"/>
          <w:szCs w:val="22"/>
          <w:color w:val="auto"/>
        </w:rPr>
      </w:pPr>
    </w:p>
    <w:p>
      <w:pPr>
        <w:ind w:firstLine="1304"/>
        <w:spacing w:after="0" w:line="328" w:lineRule="auto"/>
        <w:tabs>
          <w:tab w:leader="none" w:pos="1944" w:val="left"/>
        </w:tabs>
        <w:numPr>
          <w:ilvl w:val="1"/>
          <w:numId w:val="74"/>
        </w:numPr>
        <w:rPr>
          <w:rFonts w:ascii="Arial" w:cs="Arial" w:eastAsia="Arial" w:hAnsi="Arial"/>
          <w:sz w:val="19"/>
          <w:szCs w:val="19"/>
          <w:color w:val="auto"/>
        </w:rPr>
      </w:pPr>
      <w:r>
        <w:rPr>
          <w:rFonts w:ascii="Arial" w:cs="Arial" w:eastAsia="Arial" w:hAnsi="Arial"/>
          <w:sz w:val="19"/>
          <w:szCs w:val="19"/>
          <w:i w:val="1"/>
          <w:iCs w:val="1"/>
          <w:color w:val="auto"/>
        </w:rPr>
        <w:t>Accrued Benefits</w:t>
      </w:r>
      <w:r>
        <w:rPr>
          <w:rFonts w:ascii="Arial" w:cs="Arial" w:eastAsia="Arial" w:hAnsi="Arial"/>
          <w:sz w:val="19"/>
          <w:szCs w:val="19"/>
          <w:color w:val="auto"/>
        </w:rPr>
        <w:t>. The Accrued Benefits shall be paid to you (or your estate in the event of</w:t>
      </w:r>
      <w:r>
        <w:rPr>
          <w:rFonts w:ascii="Arial" w:cs="Arial" w:eastAsia="Arial" w:hAnsi="Arial"/>
          <w:sz w:val="19"/>
          <w:szCs w:val="19"/>
          <w:i w:val="1"/>
          <w:iCs w:val="1"/>
          <w:color w:val="auto"/>
        </w:rPr>
        <w:t xml:space="preserve"> </w:t>
      </w:r>
      <w:r>
        <w:rPr>
          <w:rFonts w:ascii="Arial" w:cs="Arial" w:eastAsia="Arial" w:hAnsi="Arial"/>
          <w:sz w:val="19"/>
          <w:szCs w:val="19"/>
          <w:color w:val="auto"/>
        </w:rPr>
        <w:t>your death) upon termination of employment regardless of the circumstances giving rise to such termination.</w:t>
      </w:r>
    </w:p>
    <w:p>
      <w:pPr>
        <w:spacing w:after="0" w:line="104" w:lineRule="exact"/>
        <w:rPr>
          <w:rFonts w:ascii="Arial" w:cs="Arial" w:eastAsia="Arial" w:hAnsi="Arial"/>
          <w:sz w:val="19"/>
          <w:szCs w:val="19"/>
          <w:color w:val="auto"/>
        </w:rPr>
      </w:pPr>
    </w:p>
    <w:p>
      <w:pPr>
        <w:jc w:val="both"/>
        <w:ind w:firstLine="656"/>
        <w:spacing w:after="0"/>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At Will Employment</w:t>
      </w:r>
      <w:r>
        <w:rPr>
          <w:rFonts w:ascii="Arial" w:cs="Arial" w:eastAsia="Arial" w:hAnsi="Arial"/>
          <w:sz w:val="22"/>
          <w:szCs w:val="22"/>
          <w:color w:val="auto"/>
        </w:rPr>
        <w:t xml:space="preserve">. Your employment with NextCure is at will, meaning it may be terminated by you or NextCure at any time, subject to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above, for any reason with or without Cause. You understand that this Agreement is not a contract for employment for a definite term.</w:t>
      </w:r>
    </w:p>
    <w:p>
      <w:pPr>
        <w:spacing w:after="0" w:line="186" w:lineRule="exact"/>
        <w:rPr>
          <w:rFonts w:ascii="Arial" w:cs="Arial" w:eastAsia="Arial" w:hAnsi="Arial"/>
          <w:sz w:val="22"/>
          <w:szCs w:val="22"/>
          <w:color w:val="auto"/>
        </w:rPr>
      </w:pPr>
    </w:p>
    <w:p>
      <w:pPr>
        <w:jc w:val="both"/>
        <w:ind w:firstLine="656"/>
        <w:spacing w:after="0"/>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Confidentiality and Proprietary Rights Agreement</w:t>
      </w:r>
      <w:r>
        <w:rPr>
          <w:rFonts w:ascii="Arial" w:cs="Arial" w:eastAsia="Arial" w:hAnsi="Arial"/>
          <w:sz w:val="22"/>
          <w:szCs w:val="22"/>
          <w:color w:val="auto"/>
        </w:rPr>
        <w:t xml:space="preserve">. This offer of employment is subject to the Confidentiality and Proprietary Rights Agreement attached as </w:t>
      </w:r>
      <w:r>
        <w:rPr>
          <w:rFonts w:ascii="Arial" w:cs="Arial" w:eastAsia="Arial" w:hAnsi="Arial"/>
          <w:sz w:val="22"/>
          <w:szCs w:val="22"/>
          <w:u w:val="single" w:color="auto"/>
          <w:color w:val="auto"/>
        </w:rPr>
        <w:t>Appendix C</w:t>
      </w:r>
      <w:r>
        <w:rPr>
          <w:rFonts w:ascii="Arial" w:cs="Arial" w:eastAsia="Arial" w:hAnsi="Arial"/>
          <w:sz w:val="22"/>
          <w:szCs w:val="22"/>
          <w:color w:val="auto"/>
        </w:rPr>
        <w:t>, which shall be effective as of the date set forth therein.</w:t>
      </w:r>
    </w:p>
    <w:p>
      <w:pPr>
        <w:spacing w:after="0" w:line="186"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No Inconsistent Obligations</w:t>
      </w:r>
      <w:r>
        <w:rPr>
          <w:rFonts w:ascii="Arial" w:cs="Arial" w:eastAsia="Arial" w:hAnsi="Arial"/>
          <w:sz w:val="21"/>
          <w:szCs w:val="21"/>
          <w:color w:val="auto"/>
        </w:rPr>
        <w:t>. By accepting this offer of employment, you represent and warrant to NextCure that you are under no obligations or commitments, whether contractual or otherwise, that are inconsistent with your obligations set forth in this Agreement or that would be violated by your employment by NextCure. You agree that you will not take any action on behalf of NextCure or cause NextCure to take any action that will violate any agreement that you have with a prior employer.</w:t>
      </w:r>
    </w:p>
    <w:p>
      <w:pPr>
        <w:spacing w:after="0" w:line="178" w:lineRule="exact"/>
        <w:rPr>
          <w:rFonts w:ascii="Arial" w:cs="Arial" w:eastAsia="Arial" w:hAnsi="Arial"/>
          <w:sz w:val="21"/>
          <w:szCs w:val="21"/>
          <w:color w:val="auto"/>
        </w:rPr>
      </w:pPr>
    </w:p>
    <w:p>
      <w:pPr>
        <w:ind w:left="1300" w:hanging="644"/>
        <w:spacing w:after="0"/>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Delayed Commencement Date for Payments and Benefits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9" w:lineRule="auto"/>
        <w:tabs>
          <w:tab w:leader="none" w:pos="1944"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9"/>
          <w:szCs w:val="19"/>
          <w:b w:val="1"/>
          <w:bCs w:val="1"/>
          <w:color w:val="auto"/>
        </w:rPr>
        <w:t>Code Section 409A</w:t>
      </w:r>
      <w:r>
        <w:rPr>
          <w:rFonts w:ascii="Arial" w:cs="Arial" w:eastAsia="Arial" w:hAnsi="Arial"/>
          <w:sz w:val="19"/>
          <w:szCs w:val="19"/>
          <w:color w:val="auto"/>
        </w:rPr>
        <w:t>”) and, accordingly, to the maximum extent permitted, this Agreement shall be interpreted to be in compliance therewith or exempt therefrom. If you notify NextCure (with specificity as to the reason therefor) that you believe that any provision of this Agreement (or of any award of compensation, including equity compensation or benefits) would cause you to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2" w:name="page133"/>
    <w:bookmarkEnd w:id="132"/>
    <w:p>
      <w:pPr>
        <w:jc w:val="both"/>
        <w:spacing w:after="0" w:line="246" w:lineRule="auto"/>
        <w:rPr>
          <w:sz w:val="20"/>
          <w:szCs w:val="20"/>
          <w:color w:val="auto"/>
        </w:rPr>
      </w:pPr>
      <w:r>
        <w:rPr>
          <w:rFonts w:ascii="Arial" w:cs="Arial" w:eastAsia="Arial" w:hAnsi="Arial"/>
          <w:sz w:val="21"/>
          <w:szCs w:val="21"/>
          <w:color w:val="auto"/>
        </w:rPr>
        <w:t>any additional tax or interest under Code Section 409A and NextCure concurs with such belief or NextCure independently makes such determination, NextCure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NextCure of the applicable provision without violating the provisions of Code Section 409A.</w:t>
      </w:r>
    </w:p>
    <w:p>
      <w:pPr>
        <w:spacing w:after="0" w:line="184" w:lineRule="exact"/>
        <w:rPr>
          <w:sz w:val="20"/>
          <w:szCs w:val="20"/>
          <w:color w:val="auto"/>
        </w:rPr>
      </w:pPr>
    </w:p>
    <w:p>
      <w:pPr>
        <w:jc w:val="both"/>
        <w:ind w:firstLine="1304"/>
        <w:spacing w:after="0" w:line="270" w:lineRule="auto"/>
        <w:tabs>
          <w:tab w:leader="none" w:pos="1944"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NextCure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Arial" w:cs="Arial" w:eastAsia="Arial" w:hAnsi="Arial"/>
          <w:sz w:val="19"/>
          <w:szCs w:val="19"/>
          <w:u w:val="single" w:color="auto"/>
          <w:color w:val="auto"/>
        </w:rPr>
        <w:t>Section 8(b)</w:t>
      </w:r>
      <w:r>
        <w:rPr>
          <w:rFonts w:ascii="Arial" w:cs="Arial" w:eastAsia="Arial" w:hAnsi="Arial"/>
          <w:sz w:val="19"/>
          <w:szCs w:val="19"/>
          <w:color w:val="auto"/>
        </w:rPr>
        <w:t xml:space="preserve">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1960" w:hanging="656"/>
        <w:spacing w:after="0"/>
        <w:tabs>
          <w:tab w:leader="none" w:pos="19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For purposes of Code Section 409A, your right to receive any installment</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payment pursuant to this Agreement shall be treated as a right to receive a series of separate and distinct payments. Whenever a payment under this Agreement specifies a payment period with reference to a number of days (</w:t>
      </w:r>
      <w:r>
        <w:rPr>
          <w:rFonts w:ascii="Arial" w:cs="Arial" w:eastAsia="Arial" w:hAnsi="Arial"/>
          <w:sz w:val="19"/>
          <w:szCs w:val="19"/>
          <w:i w:val="1"/>
          <w:iCs w:val="1"/>
          <w:color w:val="auto"/>
        </w:rPr>
        <w:t>e.g.</w:t>
      </w:r>
      <w:r>
        <w:rPr>
          <w:rFonts w:ascii="Arial" w:cs="Arial" w:eastAsia="Arial" w:hAnsi="Arial"/>
          <w:sz w:val="19"/>
          <w:szCs w:val="19"/>
          <w:color w:val="auto"/>
        </w:rPr>
        <w:t>, “payment shall be made within 30 days following the date of termination”), the actual date of payment within the specified period shall be within the sole discretion of NextCure.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spacing w:after="0" w:line="159" w:lineRule="exact"/>
        <w:rPr>
          <w:sz w:val="20"/>
          <w:szCs w:val="20"/>
          <w:color w:val="auto"/>
        </w:rPr>
      </w:pPr>
    </w:p>
    <w:p>
      <w:pPr>
        <w:jc w:val="both"/>
        <w:ind w:firstLine="1304"/>
        <w:spacing w:after="0" w:line="235" w:lineRule="auto"/>
        <w:tabs>
          <w:tab w:leader="none" w:pos="19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All in-kind benefits provided and expenses eligible for reimbursement under this Agreement shall be provided by NextCure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3" w:name="page134"/>
    <w:bookmarkEnd w:id="133"/>
    <w:p>
      <w:pPr>
        <w:spacing w:after="0" w:line="250" w:lineRule="auto"/>
        <w:rPr>
          <w:sz w:val="20"/>
          <w:szCs w:val="20"/>
          <w:color w:val="auto"/>
        </w:rPr>
      </w:pPr>
      <w:r>
        <w:rPr>
          <w:rFonts w:ascii="Arial" w:cs="Arial" w:eastAsia="Arial" w:hAnsi="Arial"/>
          <w:sz w:val="22"/>
          <w:szCs w:val="22"/>
          <w:color w:val="auto"/>
        </w:rPr>
        <w:t>to be provided or the expenses eligible for reimbursement in any other taxable year. Such right to reimbursement or in-kind benefits is not subject to liquidation or exchange for another benefit.</w:t>
      </w:r>
    </w:p>
    <w:p>
      <w:pPr>
        <w:spacing w:after="0" w:line="175" w:lineRule="exact"/>
        <w:rPr>
          <w:sz w:val="20"/>
          <w:szCs w:val="20"/>
          <w:color w:val="auto"/>
        </w:rPr>
      </w:pPr>
    </w:p>
    <w:p>
      <w:pPr>
        <w:ind w:firstLine="1304"/>
        <w:spacing w:after="0" w:line="274" w:lineRule="auto"/>
        <w:tabs>
          <w:tab w:leader="none" w:pos="1944" w:val="left"/>
        </w:tabs>
        <w:numPr>
          <w:ilvl w:val="2"/>
          <w:numId w:val="78"/>
        </w:numPr>
        <w:rPr>
          <w:rFonts w:ascii="Arial" w:cs="Arial" w:eastAsia="Arial" w:hAnsi="Arial"/>
          <w:sz w:val="21"/>
          <w:szCs w:val="21"/>
          <w:color w:val="auto"/>
        </w:rPr>
      </w:pPr>
      <w:r>
        <w:rPr>
          <w:rFonts w:ascii="Arial" w:cs="Arial" w:eastAsia="Arial" w:hAnsi="Arial"/>
          <w:sz w:val="21"/>
          <w:szCs w:val="21"/>
          <w:color w:val="auto"/>
        </w:rPr>
        <w:t>If under this Agreement an amount is to be paid in installments, each installment shall be treated as a separate payment for purposes of Treasury Regulation Section 1.409A-2(b)(2)(iii).</w:t>
      </w:r>
    </w:p>
    <w:p>
      <w:pPr>
        <w:spacing w:after="0" w:line="150" w:lineRule="exact"/>
        <w:rPr>
          <w:rFonts w:ascii="Arial" w:cs="Arial" w:eastAsia="Arial" w:hAnsi="Arial"/>
          <w:sz w:val="21"/>
          <w:szCs w:val="21"/>
          <w:color w:val="auto"/>
        </w:rPr>
      </w:pPr>
    </w:p>
    <w:p>
      <w:pPr>
        <w:jc w:val="both"/>
        <w:ind w:firstLine="656"/>
        <w:spacing w:after="0" w:line="268" w:lineRule="auto"/>
        <w:tabs>
          <w:tab w:leader="none" w:pos="1296"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280G</w:t>
      </w:r>
      <w:r>
        <w:rPr>
          <w:rFonts w:ascii="Arial" w:cs="Arial" w:eastAsia="Arial" w:hAnsi="Arial"/>
          <w:sz w:val="19"/>
          <w:szCs w:val="19"/>
          <w:i w:val="1"/>
          <w:iCs w:val="1"/>
          <w:color w:val="auto"/>
        </w:rPr>
        <w:t>.</w:t>
      </w:r>
      <w:r>
        <w:rPr>
          <w:rFonts w:ascii="Arial" w:cs="Arial" w:eastAsia="Arial" w:hAnsi="Arial"/>
          <w:sz w:val="19"/>
          <w:szCs w:val="19"/>
          <w:color w:val="auto"/>
        </w:rPr>
        <w:t xml:space="preserve"> In the event that the amount of any compensation, payment or distribution by NextCure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9"/>
          <w:szCs w:val="19"/>
          <w:b w:val="1"/>
          <w:bCs w:val="1"/>
          <w:color w:val="auto"/>
        </w:rPr>
        <w:t>Aggregate Payments</w:t>
      </w:r>
      <w:r>
        <w:rPr>
          <w:rFonts w:ascii="Arial" w:cs="Arial" w:eastAsia="Arial" w:hAnsi="Arial"/>
          <w:sz w:val="19"/>
          <w:szCs w:val="19"/>
          <w:color w:val="auto"/>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w:t>
      </w:r>
    </w:p>
    <w:p>
      <w:pPr>
        <w:spacing w:after="0" w:line="4" w:lineRule="exact"/>
        <w:rPr>
          <w:rFonts w:ascii="Arial" w:cs="Arial" w:eastAsia="Arial" w:hAnsi="Arial"/>
          <w:sz w:val="19"/>
          <w:szCs w:val="19"/>
          <w:color w:val="auto"/>
        </w:rPr>
      </w:pPr>
    </w:p>
    <w:p>
      <w:pPr>
        <w:jc w:val="both"/>
        <w:ind w:firstLine="8"/>
        <w:spacing w:after="0" w:line="269" w:lineRule="auto"/>
        <w:tabs>
          <w:tab w:leader="none" w:pos="325" w:val="left"/>
        </w:tabs>
        <w:numPr>
          <w:ilvl w:val="0"/>
          <w:numId w:val="80"/>
        </w:numPr>
        <w:rPr>
          <w:rFonts w:ascii="Arial" w:cs="Arial" w:eastAsia="Arial" w:hAnsi="Arial"/>
          <w:sz w:val="19"/>
          <w:szCs w:val="19"/>
          <w:color w:val="auto"/>
        </w:rPr>
      </w:pPr>
      <w:r>
        <w:rPr>
          <w:rFonts w:ascii="Arial" w:cs="Arial" w:eastAsia="Arial" w:hAnsi="Arial"/>
          <w:sz w:val="19"/>
          <w:szCs w:val="19"/>
          <w:color w:val="auto"/>
        </w:rPr>
        <w:t>shall be reduced before any amounts that are subject to calculation under Treasury Regulation §1.280G-1, Q&amp;A- 24(b) or (c). For purposes of this Section 9, the “</w:t>
      </w:r>
      <w:r>
        <w:rPr>
          <w:rFonts w:ascii="Arial" w:cs="Arial" w:eastAsia="Arial" w:hAnsi="Arial"/>
          <w:sz w:val="19"/>
          <w:szCs w:val="19"/>
          <w:b w:val="1"/>
          <w:bCs w:val="1"/>
          <w:color w:val="auto"/>
        </w:rPr>
        <w:t>After Tax Amount</w:t>
      </w:r>
      <w:r>
        <w:rPr>
          <w:rFonts w:ascii="Arial" w:cs="Arial" w:eastAsia="Arial" w:hAnsi="Arial"/>
          <w:sz w:val="19"/>
          <w:szCs w:val="19"/>
          <w:color w:val="auto"/>
        </w:rPr>
        <w: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NextCure, which shall provide detailed supporting calculations both to NextCure and you. The costs of obtaining such determination and all related fees and expenses (including related fees and expenses incurred in any later audit) shall be borne by NextCure. Notwithstanding the foregoing, if (i) NextCure is not publicly traded prior to the occurrence of a change in control such that the private company exception pursuant to Q &amp; A #7 of the regulations promulgated under Section 280G of the Code is applicable and (ii) you request that NextCure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4" w:name="page135"/>
    <w:bookmarkEnd w:id="134"/>
    <w:p>
      <w:pPr>
        <w:spacing w:after="0"/>
        <w:rPr>
          <w:sz w:val="20"/>
          <w:szCs w:val="20"/>
          <w:color w:val="auto"/>
        </w:rPr>
      </w:pPr>
      <w:r>
        <w:rPr>
          <w:rFonts w:ascii="Arial" w:cs="Arial" w:eastAsia="Arial" w:hAnsi="Arial"/>
          <w:sz w:val="19"/>
          <w:szCs w:val="19"/>
          <w:color w:val="auto"/>
        </w:rPr>
        <w:t>under Sections 280G and 4999 of the Code, NextCure shall use its reasonable best efforts to obtain such approval.</w:t>
      </w:r>
    </w:p>
    <w:p>
      <w:pPr>
        <w:spacing w:after="0" w:line="241"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hanging="656"/>
        <w:spacing w:after="0"/>
        <w:tabs>
          <w:tab w:leader="none" w:pos="1960"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This offer of employment is made subject to you having the legal right to work in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United States.</w:t>
      </w:r>
    </w:p>
    <w:p>
      <w:pPr>
        <w:spacing w:after="0" w:line="188" w:lineRule="exact"/>
        <w:rPr>
          <w:rFonts w:ascii="Arial" w:cs="Arial" w:eastAsia="Arial" w:hAnsi="Arial"/>
          <w:sz w:val="21"/>
          <w:szCs w:val="21"/>
          <w:color w:val="auto"/>
        </w:rPr>
      </w:pPr>
    </w:p>
    <w:p>
      <w:pPr>
        <w:ind w:firstLine="1304"/>
        <w:spacing w:after="0" w:line="250" w:lineRule="auto"/>
        <w:tabs>
          <w:tab w:leader="none" w:pos="1944" w:val="left"/>
        </w:tabs>
        <w:numPr>
          <w:ilvl w:val="1"/>
          <w:numId w:val="81"/>
        </w:numPr>
        <w:rPr>
          <w:rFonts w:ascii="Arial" w:cs="Arial" w:eastAsia="Arial" w:hAnsi="Arial"/>
          <w:sz w:val="22"/>
          <w:szCs w:val="22"/>
          <w:color w:val="auto"/>
        </w:rPr>
      </w:pPr>
      <w:r>
        <w:rPr>
          <w:rFonts w:ascii="Arial" w:cs="Arial" w:eastAsia="Arial" w:hAnsi="Arial"/>
          <w:sz w:val="22"/>
          <w:szCs w:val="22"/>
          <w:color w:val="auto"/>
        </w:rPr>
        <w:t>Your employment with NextCure is subject to all Company policies and procedures, and NextCure retains the right to change its policies or procedures at any time.</w:t>
      </w:r>
    </w:p>
    <w:p>
      <w:pPr>
        <w:spacing w:after="0" w:line="174" w:lineRule="exact"/>
        <w:rPr>
          <w:rFonts w:ascii="Arial" w:cs="Arial" w:eastAsia="Arial" w:hAnsi="Arial"/>
          <w:sz w:val="22"/>
          <w:szCs w:val="22"/>
          <w:color w:val="auto"/>
        </w:rPr>
      </w:pPr>
    </w:p>
    <w:p>
      <w:pPr>
        <w:ind w:firstLine="1304"/>
        <w:spacing w:after="0" w:line="250" w:lineRule="auto"/>
        <w:tabs>
          <w:tab w:leader="none" w:pos="1944"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This Agreement may be executed in several counterparts, each of which shall be deemed to be an original but all of which together will constitute one and the same instrument.</w:t>
      </w:r>
    </w:p>
    <w:p>
      <w:pPr>
        <w:spacing w:after="0" w:line="174" w:lineRule="exact"/>
        <w:rPr>
          <w:rFonts w:ascii="Arial" w:cs="Arial" w:eastAsia="Arial" w:hAnsi="Arial"/>
          <w:sz w:val="22"/>
          <w:szCs w:val="22"/>
          <w:color w:val="auto"/>
        </w:rPr>
      </w:pPr>
    </w:p>
    <w:p>
      <w:pPr>
        <w:jc w:val="both"/>
        <w:ind w:firstLine="1304"/>
        <w:spacing w:after="0" w:line="282" w:lineRule="auto"/>
        <w:tabs>
          <w:tab w:leader="none" w:pos="1944" w:val="left"/>
        </w:tabs>
        <w:numPr>
          <w:ilvl w:val="1"/>
          <w:numId w:val="81"/>
        </w:numPr>
        <w:rPr>
          <w:rFonts w:ascii="Arial" w:cs="Arial" w:eastAsia="Arial" w:hAnsi="Arial"/>
          <w:sz w:val="19"/>
          <w:szCs w:val="19"/>
          <w:color w:val="auto"/>
        </w:rPr>
      </w:pPr>
      <w:r>
        <w:rPr>
          <w:rFonts w:ascii="Arial" w:cs="Arial" w:eastAsia="Arial" w:hAnsi="Arial"/>
          <w:sz w:val="19"/>
          <w:szCs w:val="19"/>
          <w:color w:val="auto"/>
        </w:rPr>
        <w:t>Neither this Agreement nor any of your rights or obligations hereunder shall be assignable by you. NextCure may assign this Agreement or any of its obligations hereunder to any subsidiary of NextCure, or to any successor (whether by merger, purchase or otherwise) to all or substantially all of the equity, assets or businesses of NextCure. This Agreement is intended to bind and inure to the benefit of and be enforceable to you and NextCure and NextCure’s permitted successors and assigns.</w:t>
      </w:r>
    </w:p>
    <w:p>
      <w:pPr>
        <w:spacing w:after="0" w:line="147" w:lineRule="exact"/>
        <w:rPr>
          <w:rFonts w:ascii="Arial" w:cs="Arial" w:eastAsia="Arial" w:hAnsi="Arial"/>
          <w:sz w:val="19"/>
          <w:szCs w:val="19"/>
          <w:color w:val="auto"/>
        </w:rPr>
      </w:pPr>
    </w:p>
    <w:p>
      <w:pPr>
        <w:jc w:val="both"/>
        <w:ind w:firstLine="1304"/>
        <w:spacing w:after="0" w:line="282" w:lineRule="auto"/>
        <w:tabs>
          <w:tab w:leader="none" w:pos="1944" w:val="left"/>
        </w:tabs>
        <w:numPr>
          <w:ilvl w:val="1"/>
          <w:numId w:val="81"/>
        </w:numPr>
        <w:rPr>
          <w:rFonts w:ascii="Arial" w:cs="Arial" w:eastAsia="Arial" w:hAnsi="Arial"/>
          <w:sz w:val="19"/>
          <w:szCs w:val="19"/>
          <w:color w:val="auto"/>
        </w:rPr>
      </w:pPr>
      <w:r>
        <w:rPr>
          <w:rFonts w:ascii="Arial" w:cs="Arial" w:eastAsia="Arial" w:hAnsi="Arial"/>
          <w:sz w:val="19"/>
          <w:szCs w:val="19"/>
          <w:color w:val="auto"/>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47" w:lineRule="exact"/>
        <w:rPr>
          <w:rFonts w:ascii="Arial" w:cs="Arial" w:eastAsia="Arial" w:hAnsi="Arial"/>
          <w:sz w:val="19"/>
          <w:szCs w:val="19"/>
          <w:color w:val="auto"/>
        </w:rPr>
      </w:pPr>
    </w:p>
    <w:p>
      <w:pPr>
        <w:ind w:firstLine="1304"/>
        <w:spacing w:after="0" w:line="274" w:lineRule="auto"/>
        <w:tabs>
          <w:tab w:leader="none" w:pos="1944"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validity, interpretation, construction and performance of this Agreement shall be governed by the laws of the State of Maryland without regard to the choice of law principles thereof.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5" w:name="page136"/>
    <w:bookmarkEnd w:id="135"/>
    <w:p>
      <w:pPr>
        <w:jc w:val="both"/>
        <w:ind w:firstLine="648"/>
        <w:spacing w:after="0"/>
        <w:rPr>
          <w:sz w:val="20"/>
          <w:szCs w:val="20"/>
          <w:color w:val="auto"/>
        </w:rPr>
      </w:pPr>
      <w:r>
        <w:rPr>
          <w:rFonts w:ascii="Arial" w:cs="Arial" w:eastAsia="Arial" w:hAnsi="Arial"/>
          <w:sz w:val="22"/>
          <w:szCs w:val="22"/>
          <w:color w:val="auto"/>
        </w:rPr>
        <w:t>If the foregoing is acceptable, please indicate your agreement by signing below and returning the original signed Agreement (keeping a copy for your own records) to me on or before []. If you have any further questions or require additional information, please feel free to contact me.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NEXTCURE, INC.</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6985</wp:posOffset>
            </wp:positionV>
            <wp:extent cx="28200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Michael Richman</w:t>
      </w:r>
    </w:p>
    <w:p>
      <w:pPr>
        <w:ind w:left="660"/>
        <w:spacing w:after="0"/>
        <w:rPr>
          <w:sz w:val="20"/>
          <w:szCs w:val="20"/>
          <w:color w:val="auto"/>
        </w:rPr>
      </w:pPr>
      <w:r>
        <w:rPr>
          <w:rFonts w:ascii="Arial" w:cs="Arial" w:eastAsia="Arial" w:hAnsi="Arial"/>
          <w:sz w:val="22"/>
          <w:szCs w:val="22"/>
          <w:color w:val="auto"/>
        </w:rPr>
        <w:t>President and 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 Han Myint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31457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Han Myint, M.D.</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May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wp:posOffset>
            </wp:positionV>
            <wp:extent cx="27260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color w:val="auto"/>
        </w:rPr>
        <w:t>Appendices:</w:t>
        <w:tab/>
        <w:t>Appendix A — Approved Activities</w:t>
      </w:r>
    </w:p>
    <w:p>
      <w:pPr>
        <w:ind w:left="1400"/>
        <w:spacing w:after="0" w:line="238" w:lineRule="auto"/>
        <w:rPr>
          <w:sz w:val="20"/>
          <w:szCs w:val="20"/>
          <w:color w:val="auto"/>
        </w:rPr>
      </w:pPr>
      <w:r>
        <w:rPr>
          <w:rFonts w:ascii="Arial" w:cs="Arial" w:eastAsia="Arial" w:hAnsi="Arial"/>
          <w:sz w:val="22"/>
          <w:szCs w:val="22"/>
          <w:color w:val="auto"/>
        </w:rPr>
        <w:t>Appendix B — Separation Agreement and General Release</w:t>
      </w:r>
    </w:p>
    <w:p>
      <w:pPr>
        <w:ind w:left="1400"/>
        <w:spacing w:after="0"/>
        <w:rPr>
          <w:sz w:val="20"/>
          <w:szCs w:val="20"/>
          <w:color w:val="auto"/>
        </w:rPr>
      </w:pPr>
      <w:r>
        <w:rPr>
          <w:rFonts w:ascii="Arial" w:cs="Arial" w:eastAsia="Arial" w:hAnsi="Arial"/>
          <w:sz w:val="22"/>
          <w:szCs w:val="22"/>
          <w:color w:val="auto"/>
        </w:rPr>
        <w:t>Appendix C — Confidentiality and Proprietary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0A0A0A"/>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A0A0A"/>
        </w:rPr>
        <w:t>SECOND AMENDMENT TO LEASE AGREEMENT</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b w:val="1"/>
          <w:bCs w:val="1"/>
          <w:color w:val="0A0A0A"/>
        </w:rPr>
        <w:t xml:space="preserve">THIS SECOND AMENDMENT TO LEASE AGREEMENT (“this Second Amendment”) </w:t>
      </w:r>
      <w:r>
        <w:rPr>
          <w:rFonts w:ascii="Arial" w:cs="Arial" w:eastAsia="Arial" w:hAnsi="Arial"/>
          <w:sz w:val="18"/>
          <w:szCs w:val="18"/>
          <w:color w:val="0A0A0A"/>
        </w:rPr>
        <w:t>is dated as of</w:t>
      </w:r>
      <w:r>
        <w:rPr>
          <w:rFonts w:ascii="Arial" w:cs="Arial" w:eastAsia="Arial" w:hAnsi="Arial"/>
          <w:sz w:val="18"/>
          <w:szCs w:val="18"/>
          <w:b w:val="1"/>
          <w:bCs w:val="1"/>
          <w:color w:val="0A0A0A"/>
        </w:rPr>
        <w:t xml:space="preserve"> </w:t>
      </w:r>
      <w:r>
        <w:rPr>
          <w:rFonts w:ascii="Arial" w:cs="Arial" w:eastAsia="Arial" w:hAnsi="Arial"/>
          <w:sz w:val="18"/>
          <w:szCs w:val="18"/>
          <w:color w:val="0A0A0A"/>
        </w:rPr>
        <w:t>February 19,</w:t>
      </w:r>
      <w:r>
        <w:rPr>
          <w:rFonts w:ascii="Arial" w:cs="Arial" w:eastAsia="Arial" w:hAnsi="Arial"/>
          <w:sz w:val="18"/>
          <w:szCs w:val="18"/>
          <w:b w:val="1"/>
          <w:bCs w:val="1"/>
          <w:color w:val="0A0A0A"/>
        </w:rPr>
        <w:t xml:space="preserve"> </w:t>
      </w:r>
      <w:r>
        <w:rPr>
          <w:rFonts w:ascii="Arial" w:cs="Arial" w:eastAsia="Arial" w:hAnsi="Arial"/>
          <w:sz w:val="18"/>
          <w:szCs w:val="18"/>
          <w:color w:val="0A0A0A"/>
        </w:rPr>
        <w:t xml:space="preserve">2020 </w:t>
      </w:r>
      <w:r>
        <w:rPr>
          <w:rFonts w:ascii="Arial" w:cs="Arial" w:eastAsia="Arial" w:hAnsi="Arial"/>
          <w:sz w:val="17"/>
          <w:szCs w:val="17"/>
          <w:b w:val="1"/>
          <w:bCs w:val="1"/>
          <w:color w:val="0A0A0A"/>
        </w:rPr>
        <w:t>(“Effective Date”),</w:t>
      </w:r>
      <w:r>
        <w:rPr>
          <w:rFonts w:ascii="Arial" w:cs="Arial" w:eastAsia="Arial" w:hAnsi="Arial"/>
          <w:sz w:val="18"/>
          <w:szCs w:val="18"/>
          <w:color w:val="0A0A0A"/>
        </w:rPr>
        <w:t xml:space="preserve"> </w:t>
      </w:r>
      <w:r>
        <w:rPr>
          <w:rFonts w:ascii="Arial" w:cs="Arial" w:eastAsia="Arial" w:hAnsi="Arial"/>
          <w:sz w:val="17"/>
          <w:szCs w:val="17"/>
          <w:color w:val="0A0A0A"/>
        </w:rPr>
        <w:t>by and between</w:t>
      </w:r>
      <w:r>
        <w:rPr>
          <w:rFonts w:ascii="Arial" w:cs="Arial" w:eastAsia="Arial" w:hAnsi="Arial"/>
          <w:sz w:val="18"/>
          <w:szCs w:val="18"/>
          <w:color w:val="0A0A0A"/>
        </w:rPr>
        <w:t xml:space="preserve"> </w:t>
      </w:r>
      <w:r>
        <w:rPr>
          <w:rFonts w:ascii="Arial" w:cs="Arial" w:eastAsia="Arial" w:hAnsi="Arial"/>
          <w:sz w:val="17"/>
          <w:szCs w:val="17"/>
          <w:b w:val="1"/>
          <w:bCs w:val="1"/>
          <w:color w:val="0A0A0A"/>
        </w:rPr>
        <w:t>ARE-8000/9000/10000 VIRGINIA MANOR, LLC,</w:t>
      </w:r>
      <w:r>
        <w:rPr>
          <w:rFonts w:ascii="Arial" w:cs="Arial" w:eastAsia="Arial" w:hAnsi="Arial"/>
          <w:sz w:val="18"/>
          <w:szCs w:val="18"/>
          <w:color w:val="0A0A0A"/>
        </w:rPr>
        <w:t xml:space="preserve"> </w:t>
      </w:r>
      <w:r>
        <w:rPr>
          <w:rFonts w:ascii="Arial" w:cs="Arial" w:eastAsia="Arial" w:hAnsi="Arial"/>
          <w:sz w:val="17"/>
          <w:szCs w:val="17"/>
          <w:color w:val="0A0A0A"/>
        </w:rPr>
        <w:t>a Delaware limited liability company,</w:t>
      </w:r>
      <w:r>
        <w:rPr>
          <w:rFonts w:ascii="Arial" w:cs="Arial" w:eastAsia="Arial" w:hAnsi="Arial"/>
          <w:sz w:val="18"/>
          <w:szCs w:val="18"/>
          <w:color w:val="0A0A0A"/>
        </w:rPr>
        <w:t xml:space="preserve"> </w:t>
      </w:r>
      <w:r>
        <w:rPr>
          <w:rFonts w:ascii="Arial" w:cs="Arial" w:eastAsia="Arial" w:hAnsi="Arial"/>
          <w:sz w:val="17"/>
          <w:szCs w:val="17"/>
          <w:color w:val="0A0A0A"/>
        </w:rPr>
        <w:t xml:space="preserve">having an address at 26 North Euclid Avenue, Pasadena, California 91101 </w:t>
      </w:r>
      <w:r>
        <w:rPr>
          <w:rFonts w:ascii="Arial" w:cs="Arial" w:eastAsia="Arial" w:hAnsi="Arial"/>
          <w:sz w:val="17"/>
          <w:szCs w:val="17"/>
          <w:b w:val="1"/>
          <w:bCs w:val="1"/>
          <w:color w:val="0A0A0A"/>
        </w:rPr>
        <w:t>(“Landlord”),</w:t>
      </w:r>
      <w:r>
        <w:rPr>
          <w:rFonts w:ascii="Arial" w:cs="Arial" w:eastAsia="Arial" w:hAnsi="Arial"/>
          <w:sz w:val="17"/>
          <w:szCs w:val="17"/>
          <w:color w:val="0A0A0A"/>
        </w:rPr>
        <w:t xml:space="preserve"> and </w:t>
      </w:r>
      <w:r>
        <w:rPr>
          <w:rFonts w:ascii="Arial" w:cs="Arial" w:eastAsia="Arial" w:hAnsi="Arial"/>
          <w:sz w:val="17"/>
          <w:szCs w:val="17"/>
          <w:b w:val="1"/>
          <w:bCs w:val="1"/>
          <w:color w:val="0A0A0A"/>
        </w:rPr>
        <w:t>NEXTCURE, INC.,</w:t>
      </w:r>
      <w:r>
        <w:rPr>
          <w:rFonts w:ascii="Arial" w:cs="Arial" w:eastAsia="Arial" w:hAnsi="Arial"/>
          <w:sz w:val="17"/>
          <w:szCs w:val="17"/>
          <w:color w:val="0A0A0A"/>
        </w:rPr>
        <w:t xml:space="preserve"> a Delaware corporation, having an address at Suite 140, 8000 Virginia Manor Road, Beltsville, Maryland 20705 </w:t>
      </w:r>
      <w:r>
        <w:rPr>
          <w:rFonts w:ascii="Arial" w:cs="Arial" w:eastAsia="Arial" w:hAnsi="Arial"/>
          <w:sz w:val="17"/>
          <w:szCs w:val="17"/>
          <w:b w:val="1"/>
          <w:bCs w:val="1"/>
          <w:color w:val="0A0A0A"/>
        </w:rPr>
        <w:t>(''Tenant'').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A0A0A"/>
        </w:rPr>
        <w:t>RECITALS</w:t>
      </w:r>
    </w:p>
    <w:p>
      <w:pPr>
        <w:spacing w:after="0" w:line="225" w:lineRule="exact"/>
        <w:rPr>
          <w:sz w:val="20"/>
          <w:szCs w:val="20"/>
          <w:color w:val="auto"/>
        </w:rPr>
      </w:pPr>
    </w:p>
    <w:p>
      <w:pPr>
        <w:jc w:val="both"/>
        <w:ind w:firstLine="656"/>
        <w:spacing w:after="0" w:line="261" w:lineRule="auto"/>
        <w:tabs>
          <w:tab w:leader="none" w:pos="972" w:val="left"/>
        </w:tabs>
        <w:numPr>
          <w:ilvl w:val="0"/>
          <w:numId w:val="82"/>
        </w:numPr>
        <w:rPr>
          <w:rFonts w:ascii="Arial" w:cs="Arial" w:eastAsia="Arial" w:hAnsi="Arial"/>
          <w:sz w:val="17"/>
          <w:szCs w:val="17"/>
          <w:color w:val="0A0A0A"/>
        </w:rPr>
      </w:pPr>
      <w:r>
        <w:rPr>
          <w:rFonts w:ascii="Arial" w:cs="Arial" w:eastAsia="Arial" w:hAnsi="Arial"/>
          <w:sz w:val="18"/>
          <w:szCs w:val="18"/>
          <w:color w:val="0A0A0A"/>
        </w:rPr>
        <w:t xml:space="preserve">Landlord and Tenant have entered into that certain Lease Agreement dated as of January 30, 2019 </w:t>
      </w:r>
      <w:r>
        <w:rPr>
          <w:rFonts w:ascii="Arial" w:cs="Arial" w:eastAsia="Arial" w:hAnsi="Arial"/>
          <w:sz w:val="18"/>
          <w:szCs w:val="18"/>
          <w:b w:val="1"/>
          <w:bCs w:val="1"/>
          <w:color w:val="0A0A0A"/>
        </w:rPr>
        <w:t>(“Original Lease”),</w:t>
      </w:r>
      <w:r>
        <w:rPr>
          <w:rFonts w:ascii="Arial" w:cs="Arial" w:eastAsia="Arial" w:hAnsi="Arial"/>
          <w:sz w:val="18"/>
          <w:szCs w:val="18"/>
          <w:color w:val="0A0A0A"/>
        </w:rPr>
        <w:t xml:space="preserve"> as amended by that certain First Amendment to Lease Agreement dated as of August 2, 2019 </w:t>
      </w:r>
      <w:r>
        <w:rPr>
          <w:rFonts w:ascii="Arial" w:cs="Arial" w:eastAsia="Arial" w:hAnsi="Arial"/>
          <w:sz w:val="18"/>
          <w:szCs w:val="18"/>
          <w:b w:val="1"/>
          <w:bCs w:val="1"/>
          <w:color w:val="0A0A0A"/>
        </w:rPr>
        <w:t>(“First Amendment'';</w:t>
      </w:r>
      <w:r>
        <w:rPr>
          <w:rFonts w:ascii="Arial" w:cs="Arial" w:eastAsia="Arial" w:hAnsi="Arial"/>
          <w:sz w:val="18"/>
          <w:szCs w:val="18"/>
          <w:color w:val="0A0A0A"/>
        </w:rPr>
        <w:t xml:space="preserve"> together with the Original Lease, the </w:t>
      </w:r>
      <w:r>
        <w:rPr>
          <w:rFonts w:ascii="Arial" w:cs="Arial" w:eastAsia="Arial" w:hAnsi="Arial"/>
          <w:sz w:val="18"/>
          <w:szCs w:val="18"/>
          <w:b w:val="1"/>
          <w:bCs w:val="1"/>
          <w:color w:val="0A0A0A"/>
        </w:rPr>
        <w:t>“Lease”),</w:t>
      </w:r>
      <w:r>
        <w:rPr>
          <w:rFonts w:ascii="Arial" w:cs="Arial" w:eastAsia="Arial" w:hAnsi="Arial"/>
          <w:sz w:val="18"/>
          <w:szCs w:val="18"/>
          <w:color w:val="0A0A0A"/>
        </w:rPr>
        <w:t xml:space="preserve"> wherein Landlord leased to Tenant certain premises located at Suite 140, 8000 Virginia Manor Road, Beltsville, Maryland 20705, as more particularly described in the Lease.</w:t>
      </w:r>
    </w:p>
    <w:p>
      <w:pPr>
        <w:spacing w:after="0" w:line="183" w:lineRule="exact"/>
        <w:rPr>
          <w:rFonts w:ascii="Arial" w:cs="Arial" w:eastAsia="Arial" w:hAnsi="Arial"/>
          <w:sz w:val="17"/>
          <w:szCs w:val="17"/>
          <w:color w:val="0A0A0A"/>
        </w:rPr>
      </w:pPr>
    </w:p>
    <w:p>
      <w:pPr>
        <w:ind w:right="20" w:firstLine="656"/>
        <w:spacing w:after="0" w:line="308" w:lineRule="auto"/>
        <w:tabs>
          <w:tab w:leader="none" w:pos="972" w:val="left"/>
        </w:tabs>
        <w:numPr>
          <w:ilvl w:val="0"/>
          <w:numId w:val="82"/>
        </w:numPr>
        <w:rPr>
          <w:rFonts w:ascii="Arial" w:cs="Arial" w:eastAsia="Arial" w:hAnsi="Arial"/>
          <w:sz w:val="17"/>
          <w:szCs w:val="17"/>
          <w:color w:val="0A0A0A"/>
        </w:rPr>
      </w:pPr>
      <w:r>
        <w:rPr>
          <w:rFonts w:ascii="Arial" w:cs="Arial" w:eastAsia="Arial" w:hAnsi="Arial"/>
          <w:sz w:val="17"/>
          <w:szCs w:val="17"/>
          <w:color w:val="0A0A0A"/>
        </w:rPr>
        <w:t xml:space="preserve">Landlord and Tenant desire to (i) update references to lease expiration dates in a table set forth in </w:t>
      </w:r>
      <w:r>
        <w:rPr>
          <w:rFonts w:ascii="Arial" w:cs="Arial" w:eastAsia="Arial" w:hAnsi="Arial"/>
          <w:sz w:val="17"/>
          <w:szCs w:val="17"/>
          <w:u w:val="single" w:color="auto"/>
          <w:color w:val="0A0A0A"/>
        </w:rPr>
        <w:t>Section 39(a)</w:t>
      </w:r>
      <w:r>
        <w:rPr>
          <w:rFonts w:ascii="Arial" w:cs="Arial" w:eastAsia="Arial" w:hAnsi="Arial"/>
          <w:sz w:val="17"/>
          <w:szCs w:val="17"/>
          <w:color w:val="0A0A0A"/>
        </w:rPr>
        <w:t xml:space="preserve"> of the Lease, and (ii) correct a reference to a suite number in the Basic Lease Provisions and on </w:t>
      </w:r>
      <w:r>
        <w:rPr>
          <w:rFonts w:ascii="Arial" w:cs="Arial" w:eastAsia="Arial" w:hAnsi="Arial"/>
          <w:sz w:val="17"/>
          <w:szCs w:val="17"/>
          <w:u w:val="single" w:color="auto"/>
          <w:color w:val="0A0A0A"/>
        </w:rPr>
        <w:t>Exhibit A</w:t>
      </w:r>
      <w:r>
        <w:rPr>
          <w:rFonts w:ascii="Arial" w:cs="Arial" w:eastAsia="Arial" w:hAnsi="Arial"/>
          <w:sz w:val="17"/>
          <w:szCs w:val="17"/>
          <w:color w:val="0A0A0A"/>
        </w:rPr>
        <w:t xml:space="preserve"> of the First Amendment.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A0A0A"/>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0A0A0A"/>
        </w:rPr>
        <w:t>Now, therefore, the parties hereto agree that the Lease is amended as follows:</w:t>
      </w:r>
    </w:p>
    <w:p>
      <w:pPr>
        <w:spacing w:after="0" w:line="225" w:lineRule="exact"/>
        <w:rPr>
          <w:sz w:val="20"/>
          <w:szCs w:val="20"/>
          <w:color w:val="auto"/>
        </w:rPr>
      </w:pPr>
    </w:p>
    <w:p>
      <w:pPr>
        <w:ind w:firstLine="656"/>
        <w:spacing w:after="0" w:line="308" w:lineRule="auto"/>
        <w:tabs>
          <w:tab w:leader="none" w:pos="972" w:val="left"/>
        </w:tabs>
        <w:numPr>
          <w:ilvl w:val="0"/>
          <w:numId w:val="83"/>
        </w:numPr>
        <w:rPr>
          <w:rFonts w:ascii="Arial" w:cs="Arial" w:eastAsia="Arial" w:hAnsi="Arial"/>
          <w:sz w:val="17"/>
          <w:szCs w:val="17"/>
          <w:color w:val="0A0A0A"/>
        </w:rPr>
      </w:pPr>
      <w:r>
        <w:rPr>
          <w:rFonts w:ascii="Arial" w:cs="Arial" w:eastAsia="Arial" w:hAnsi="Arial"/>
          <w:sz w:val="17"/>
          <w:szCs w:val="17"/>
          <w:color w:val="0A0A0A"/>
        </w:rPr>
        <w:t>Definitions; Recitals. Terms used in this Second Amendment but not otherwise defined shall have the meanings set forth in the Lease. The Recitals form an integral part of this Second Amendment and are hereby incorporated by reference.</w:t>
      </w:r>
    </w:p>
    <w:p>
      <w:pPr>
        <w:spacing w:after="0" w:line="142" w:lineRule="exact"/>
        <w:rPr>
          <w:rFonts w:ascii="Arial" w:cs="Arial" w:eastAsia="Arial" w:hAnsi="Arial"/>
          <w:sz w:val="17"/>
          <w:szCs w:val="17"/>
          <w:color w:val="0A0A0A"/>
        </w:rPr>
      </w:pPr>
    </w:p>
    <w:p>
      <w:pPr>
        <w:jc w:val="both"/>
        <w:ind w:firstLine="656"/>
        <w:spacing w:after="0" w:line="280" w:lineRule="auto"/>
        <w:tabs>
          <w:tab w:leader="none" w:pos="972" w:val="left"/>
        </w:tabs>
        <w:numPr>
          <w:ilvl w:val="0"/>
          <w:numId w:val="83"/>
        </w:numPr>
        <w:rPr>
          <w:rFonts w:ascii="Arial" w:cs="Arial" w:eastAsia="Arial" w:hAnsi="Arial"/>
          <w:sz w:val="17"/>
          <w:szCs w:val="17"/>
          <w:color w:val="0A0A0A"/>
        </w:rPr>
      </w:pPr>
      <w:r>
        <w:rPr>
          <w:rFonts w:ascii="Arial" w:cs="Arial" w:eastAsia="Arial" w:hAnsi="Arial"/>
          <w:sz w:val="17"/>
          <w:szCs w:val="17"/>
          <w:b w:val="1"/>
          <w:bCs w:val="1"/>
          <w:color w:val="0A0A0A"/>
        </w:rPr>
        <w:t xml:space="preserve">Amendment to Section 39(a). </w:t>
      </w:r>
      <w:r>
        <w:rPr>
          <w:rFonts w:ascii="Arial" w:cs="Arial" w:eastAsia="Arial" w:hAnsi="Arial"/>
          <w:sz w:val="17"/>
          <w:szCs w:val="17"/>
          <w:color w:val="0A0A0A"/>
        </w:rPr>
        <w:t>The table set forth in</w:t>
      </w:r>
      <w:r>
        <w:rPr>
          <w:rFonts w:ascii="Arial" w:cs="Arial" w:eastAsia="Arial" w:hAnsi="Arial"/>
          <w:sz w:val="17"/>
          <w:szCs w:val="17"/>
          <w:b w:val="1"/>
          <w:bCs w:val="1"/>
          <w:color w:val="0A0A0A"/>
        </w:rPr>
        <w:t xml:space="preserve"> </w:t>
      </w:r>
      <w:r>
        <w:rPr>
          <w:rFonts w:ascii="Arial" w:cs="Arial" w:eastAsia="Arial" w:hAnsi="Arial"/>
          <w:sz w:val="17"/>
          <w:szCs w:val="17"/>
          <w:u w:val="single" w:color="auto"/>
          <w:color w:val="0A0A0A"/>
        </w:rPr>
        <w:t>Section 39(a)</w:t>
      </w:r>
      <w:r>
        <w:rPr>
          <w:rFonts w:ascii="Arial" w:cs="Arial" w:eastAsia="Arial" w:hAnsi="Arial"/>
          <w:sz w:val="17"/>
          <w:szCs w:val="17"/>
          <w:b w:val="1"/>
          <w:bCs w:val="1"/>
          <w:color w:val="0A0A0A"/>
        </w:rPr>
        <w:t xml:space="preserve"> </w:t>
      </w:r>
      <w:r>
        <w:rPr>
          <w:rFonts w:ascii="Arial" w:cs="Arial" w:eastAsia="Arial" w:hAnsi="Arial"/>
          <w:sz w:val="17"/>
          <w:szCs w:val="17"/>
          <w:color w:val="0A0A0A"/>
        </w:rPr>
        <w:t>of the Lease, as amended by the First Amendment, is</w:t>
      </w:r>
      <w:r>
        <w:rPr>
          <w:rFonts w:ascii="Arial" w:cs="Arial" w:eastAsia="Arial" w:hAnsi="Arial"/>
          <w:sz w:val="17"/>
          <w:szCs w:val="17"/>
          <w:b w:val="1"/>
          <w:bCs w:val="1"/>
          <w:color w:val="0A0A0A"/>
        </w:rPr>
        <w:t xml:space="preserve"> </w:t>
      </w:r>
      <w:r>
        <w:rPr>
          <w:rFonts w:ascii="Arial" w:cs="Arial" w:eastAsia="Arial" w:hAnsi="Arial"/>
          <w:sz w:val="17"/>
          <w:szCs w:val="17"/>
          <w:color w:val="0A0A0A"/>
        </w:rPr>
        <w:t>hereby further amended by (a) changing the lease expiration date for Suite 207 in the 9000 VMR Building from “May 31, 2022” to “December 31, 2029,” and (b) changing the lease expiration date for Suite 21</w:t>
      </w:r>
      <w:r>
        <w:rPr>
          <w:rFonts w:ascii="Arial" w:cs="Arial" w:eastAsia="Arial" w:hAnsi="Arial"/>
          <w:sz w:val="16"/>
          <w:szCs w:val="16"/>
          <w:color w:val="0A0A0A"/>
        </w:rPr>
        <w:t>O</w:t>
      </w:r>
      <w:r>
        <w:rPr>
          <w:rFonts w:ascii="Arial" w:cs="Arial" w:eastAsia="Arial" w:hAnsi="Arial"/>
          <w:sz w:val="17"/>
          <w:szCs w:val="17"/>
          <w:color w:val="0A0A0A"/>
        </w:rPr>
        <w:t xml:space="preserve"> in the 9000 VMR Building from “May 31, 2020” to “May 31, 2022.” As </w:t>
      </w:r>
      <w:r>
        <w:rPr>
          <w:rFonts w:ascii="Arial" w:cs="Arial" w:eastAsia="Arial" w:hAnsi="Arial"/>
          <w:sz w:val="21"/>
          <w:szCs w:val="21"/>
          <w:color w:val="0A0A0A"/>
        </w:rPr>
        <w:t>a</w:t>
      </w:r>
      <w:r>
        <w:rPr>
          <w:rFonts w:ascii="Arial" w:cs="Arial" w:eastAsia="Arial" w:hAnsi="Arial"/>
          <w:sz w:val="17"/>
          <w:szCs w:val="17"/>
          <w:color w:val="0A0A0A"/>
        </w:rPr>
        <w:t xml:space="preserve"> result, such table is hereby deleted in its entirety and replaced with the following table:</w:t>
      </w:r>
    </w:p>
    <w:p>
      <w:pPr>
        <w:spacing w:after="0" w:line="166" w:lineRule="exact"/>
        <w:rPr>
          <w:sz w:val="20"/>
          <w:szCs w:val="20"/>
          <w:color w:val="auto"/>
        </w:rPr>
      </w:pPr>
    </w:p>
    <w:tbl>
      <w:tblPr>
        <w:tblLayout w:type="fixed"/>
        <w:tblInd w:w="1010" w:type="dxa"/>
        <w:tblCellMar>
          <w:top w:w="0" w:type="dxa"/>
          <w:left w:w="0" w:type="dxa"/>
          <w:bottom w:w="0" w:type="dxa"/>
          <w:right w:w="0" w:type="dxa"/>
        </w:tblCellMar>
      </w:tblPr>
      <w:tr>
        <w:trPr>
          <w:trHeight w:val="256"/>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0A0A0A"/>
                <w:w w:val="91"/>
              </w:rPr>
              <w:t>Suite</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0A0A0A"/>
                <w:w w:val="91"/>
              </w:rPr>
              <w:t xml:space="preserve">Lease Expiration Date </w:t>
            </w:r>
            <w:r>
              <w:rPr>
                <w:rFonts w:ascii="Arial" w:cs="Arial" w:eastAsia="Arial" w:hAnsi="Arial"/>
                <w:sz w:val="21"/>
                <w:szCs w:val="21"/>
                <w:color w:val="0A0A0A"/>
                <w:w w:val="91"/>
              </w:rPr>
              <w:t>t</w:t>
            </w: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0A0A0A"/>
                <w:w w:val="95"/>
              </w:rPr>
              <w:t xml:space="preserve">170 </w:t>
            </w:r>
            <w:r>
              <w:rPr>
                <w:rFonts w:ascii="Arial" w:cs="Arial" w:eastAsia="Arial" w:hAnsi="Arial"/>
                <w:sz w:val="18"/>
                <w:szCs w:val="18"/>
                <w:i w:val="1"/>
                <w:iCs w:val="1"/>
                <w:color w:val="0A0A0A"/>
                <w:w w:val="95"/>
              </w:rPr>
              <w:t>(</w:t>
            </w:r>
            <w:r>
              <w:rPr>
                <w:rFonts w:ascii="Arial" w:cs="Arial" w:eastAsia="Arial" w:hAnsi="Arial"/>
                <w:sz w:val="18"/>
                <w:szCs w:val="18"/>
                <w:color w:val="0A0A0A"/>
                <w:w w:val="95"/>
              </w:rPr>
              <w:t>8000 VMR Building)</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A0A0A"/>
                <w:w w:val="92"/>
              </w:rPr>
              <w:t>March 31, 2024</w:t>
            </w:r>
          </w:p>
        </w:tc>
      </w:tr>
      <w:tr>
        <w:trPr>
          <w:trHeight w:val="80"/>
        </w:trPr>
        <w:tc>
          <w:tcPr>
            <w:tcW w:w="3980" w:type="dxa"/>
            <w:vAlign w:val="bottom"/>
            <w:tcBorders>
              <w:left w:val="single" w:sz="8" w:color="auto"/>
              <w:bottom w:val="single" w:sz="8" w:color="auto"/>
              <w:right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0A0A0A"/>
                <w:w w:val="95"/>
              </w:rPr>
              <w:t>207 (9000 VMR Building)</w:t>
            </w:r>
          </w:p>
        </w:tc>
        <w:tc>
          <w:tcPr>
            <w:tcW w:w="3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A0A0A"/>
                <w:w w:val="88"/>
              </w:rPr>
              <w:t>December 31, 2029</w:t>
            </w:r>
          </w:p>
        </w:tc>
      </w:tr>
      <w:tr>
        <w:trPr>
          <w:trHeight w:val="67"/>
        </w:trPr>
        <w:tc>
          <w:tcPr>
            <w:tcW w:w="3980" w:type="dxa"/>
            <w:vAlign w:val="bottom"/>
            <w:tcBorders>
              <w:left w:val="single" w:sz="8" w:color="auto"/>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r>
      <w:tr>
        <w:trPr>
          <w:trHeight w:val="223"/>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0A0A0A"/>
                <w:w w:val="95"/>
              </w:rPr>
              <w:t>210 (9000 VMR Building)</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0A0A0A"/>
                <w:w w:val="91"/>
              </w:rPr>
              <w:t>Mav 31, 2022</w:t>
            </w:r>
          </w:p>
        </w:tc>
      </w:tr>
      <w:tr>
        <w:trPr>
          <w:trHeight w:val="223"/>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0A0A0A"/>
                <w:w w:val="95"/>
              </w:rPr>
              <w:t>230 (9000 VMR Building)</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0A0A0A"/>
                <w:w w:val="89"/>
              </w:rPr>
              <w:t>Januarv 31, 2021</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6"/>
          <w:szCs w:val="16"/>
          <w:color w:val="0A0A0A"/>
        </w:rPr>
        <w:t>The table above identifies the expiration date for the lease agreement with the existing tenant subject to rights of renewal or</w:t>
      </w:r>
    </w:p>
    <w:p>
      <w:pPr>
        <w:spacing w:after="0" w:line="46" w:lineRule="exact"/>
        <w:rPr>
          <w:sz w:val="20"/>
          <w:szCs w:val="20"/>
          <w:color w:val="auto"/>
        </w:rPr>
      </w:pPr>
    </w:p>
    <w:p>
      <w:pPr>
        <w:ind w:left="980"/>
        <w:spacing w:after="0"/>
        <w:tabs>
          <w:tab w:leader="none" w:pos="4660" w:val="left"/>
        </w:tabs>
        <w:rPr>
          <w:sz w:val="20"/>
          <w:szCs w:val="20"/>
          <w:color w:val="auto"/>
        </w:rPr>
      </w:pPr>
      <w:r>
        <w:rPr>
          <w:rFonts w:ascii="Arial" w:cs="Arial" w:eastAsia="Arial" w:hAnsi="Arial"/>
          <w:sz w:val="18"/>
          <w:szCs w:val="18"/>
          <w:color w:val="0A0A0A"/>
        </w:rPr>
        <w:t>extension in favor of the existing tenants</w:t>
      </w:r>
      <w:r>
        <w:rPr>
          <w:rFonts w:ascii="Arial" w:cs="Arial" w:eastAsia="Arial" w:hAnsi="Arial"/>
          <w:sz w:val="18"/>
          <w:szCs w:val="18"/>
          <w:color w:val="464646"/>
        </w:rPr>
        <w:t>.</w:t>
      </w:r>
      <w:r>
        <w:rPr>
          <w:sz w:val="20"/>
          <w:szCs w:val="20"/>
          <w:color w:val="auto"/>
        </w:rPr>
        <w:tab/>
      </w:r>
      <w:r>
        <w:rPr>
          <w:rFonts w:ascii="Arial" w:cs="Arial" w:eastAsia="Arial" w:hAnsi="Arial"/>
          <w:sz w:val="10"/>
          <w:szCs w:val="10"/>
          <w:color w:val="0A0A0A"/>
        </w:rPr>
        <w:t>'</w:t>
      </w:r>
    </w:p>
    <w:p>
      <w:pPr>
        <w:spacing w:after="0" w:line="202" w:lineRule="exact"/>
        <w:rPr>
          <w:sz w:val="20"/>
          <w:szCs w:val="20"/>
          <w:color w:val="auto"/>
        </w:rPr>
      </w:pPr>
    </w:p>
    <w:p>
      <w:pPr>
        <w:ind w:firstLine="656"/>
        <w:spacing w:after="0" w:line="306" w:lineRule="auto"/>
        <w:tabs>
          <w:tab w:leader="none" w:pos="972" w:val="left"/>
        </w:tabs>
        <w:numPr>
          <w:ilvl w:val="0"/>
          <w:numId w:val="84"/>
        </w:numPr>
        <w:rPr>
          <w:rFonts w:ascii="Arial" w:cs="Arial" w:eastAsia="Arial" w:hAnsi="Arial"/>
          <w:sz w:val="19"/>
          <w:szCs w:val="19"/>
          <w:color w:val="0A0A0A"/>
        </w:rPr>
      </w:pPr>
      <w:r>
        <w:rPr>
          <w:rFonts w:ascii="Arial" w:cs="Arial" w:eastAsia="Arial" w:hAnsi="Arial"/>
          <w:sz w:val="17"/>
          <w:szCs w:val="17"/>
          <w:b w:val="1"/>
          <w:bCs w:val="1"/>
          <w:color w:val="0A0A0A"/>
        </w:rPr>
        <w:t xml:space="preserve">Amendment to Definition of “Premises (before 9000 </w:t>
      </w:r>
      <w:r>
        <w:rPr>
          <w:rFonts w:ascii="Arial" w:cs="Arial" w:eastAsia="Arial" w:hAnsi="Arial"/>
          <w:sz w:val="18"/>
          <w:szCs w:val="18"/>
          <w:b w:val="1"/>
          <w:bCs w:val="1"/>
          <w:color w:val="0A0A0A"/>
        </w:rPr>
        <w:t>VMR</w:t>
      </w:r>
      <w:r>
        <w:rPr>
          <w:rFonts w:ascii="Arial" w:cs="Arial" w:eastAsia="Arial" w:hAnsi="Arial"/>
          <w:sz w:val="17"/>
          <w:szCs w:val="17"/>
          <w:b w:val="1"/>
          <w:bCs w:val="1"/>
          <w:color w:val="0A0A0A"/>
        </w:rPr>
        <w:t xml:space="preserve"> Date).” </w:t>
      </w:r>
      <w:r>
        <w:rPr>
          <w:rFonts w:ascii="Arial" w:cs="Arial" w:eastAsia="Arial" w:hAnsi="Arial"/>
          <w:sz w:val="17"/>
          <w:szCs w:val="17"/>
          <w:color w:val="0A0A0A"/>
        </w:rPr>
        <w:t>The definition of Premises (before 9000 VMR</w:t>
      </w:r>
      <w:r>
        <w:rPr>
          <w:rFonts w:ascii="Arial" w:cs="Arial" w:eastAsia="Arial" w:hAnsi="Arial"/>
          <w:sz w:val="17"/>
          <w:szCs w:val="17"/>
          <w:b w:val="1"/>
          <w:bCs w:val="1"/>
          <w:color w:val="0A0A0A"/>
        </w:rPr>
        <w:t xml:space="preserve"> </w:t>
      </w:r>
      <w:r>
        <w:rPr>
          <w:rFonts w:ascii="Arial" w:cs="Arial" w:eastAsia="Arial" w:hAnsi="Arial"/>
          <w:sz w:val="17"/>
          <w:szCs w:val="17"/>
          <w:color w:val="0A0A0A"/>
        </w:rPr>
        <w:t>Date)” in the Basic Lease Provisions is hereby amended by deleting the reference to “Suite 170” and replacing it with “Suite 180.”</w:t>
      </w:r>
    </w:p>
    <w:p>
      <w:pPr>
        <w:spacing w:after="0" w:line="138" w:lineRule="exact"/>
        <w:rPr>
          <w:rFonts w:ascii="Arial" w:cs="Arial" w:eastAsia="Arial" w:hAnsi="Arial"/>
          <w:sz w:val="19"/>
          <w:szCs w:val="19"/>
          <w:color w:val="0A0A0A"/>
        </w:rPr>
      </w:pPr>
    </w:p>
    <w:p>
      <w:pPr>
        <w:ind w:firstLine="656"/>
        <w:spacing w:after="0" w:line="282" w:lineRule="auto"/>
        <w:tabs>
          <w:tab w:leader="none" w:pos="972" w:val="left"/>
        </w:tabs>
        <w:numPr>
          <w:ilvl w:val="0"/>
          <w:numId w:val="84"/>
        </w:numPr>
        <w:rPr>
          <w:rFonts w:ascii="Arial" w:cs="Arial" w:eastAsia="Arial" w:hAnsi="Arial"/>
          <w:sz w:val="18"/>
          <w:szCs w:val="18"/>
          <w:color w:val="0A0A0A"/>
        </w:rPr>
      </w:pPr>
      <w:r>
        <w:rPr>
          <w:rFonts w:ascii="Arial" w:cs="Arial" w:eastAsia="Arial" w:hAnsi="Arial"/>
          <w:sz w:val="18"/>
          <w:szCs w:val="18"/>
          <w:b w:val="1"/>
          <w:bCs w:val="1"/>
          <w:color w:val="0A0A0A"/>
        </w:rPr>
        <w:t xml:space="preserve">Amendment to Exhibit A of First Amendment. </w:t>
      </w:r>
      <w:r>
        <w:rPr>
          <w:rFonts w:ascii="Arial" w:cs="Arial" w:eastAsia="Arial" w:hAnsi="Arial"/>
          <w:sz w:val="18"/>
          <w:szCs w:val="18"/>
          <w:u w:val="single" w:color="auto"/>
          <w:color w:val="0A0A0A"/>
        </w:rPr>
        <w:t>Exhibit A</w:t>
      </w:r>
      <w:r>
        <w:rPr>
          <w:rFonts w:ascii="Arial" w:cs="Arial" w:eastAsia="Arial" w:hAnsi="Arial"/>
          <w:sz w:val="18"/>
          <w:szCs w:val="18"/>
          <w:b w:val="1"/>
          <w:bCs w:val="1"/>
          <w:color w:val="0A0A0A"/>
        </w:rPr>
        <w:t xml:space="preserve"> </w:t>
      </w:r>
      <w:r>
        <w:rPr>
          <w:rFonts w:ascii="Arial" w:cs="Arial" w:eastAsia="Arial" w:hAnsi="Arial"/>
          <w:sz w:val="18"/>
          <w:szCs w:val="18"/>
          <w:color w:val="0A0A0A"/>
        </w:rPr>
        <w:t>of the First Amendment references “Suite 170” when it should</w:t>
      </w:r>
      <w:r>
        <w:rPr>
          <w:rFonts w:ascii="Arial" w:cs="Arial" w:eastAsia="Arial" w:hAnsi="Arial"/>
          <w:sz w:val="18"/>
          <w:szCs w:val="18"/>
          <w:b w:val="1"/>
          <w:bCs w:val="1"/>
          <w:color w:val="0A0A0A"/>
        </w:rPr>
        <w:t xml:space="preserve"> </w:t>
      </w:r>
      <w:r>
        <w:rPr>
          <w:rFonts w:ascii="Arial" w:cs="Arial" w:eastAsia="Arial" w:hAnsi="Arial"/>
          <w:sz w:val="18"/>
          <w:szCs w:val="18"/>
          <w:color w:val="0A0A0A"/>
        </w:rPr>
        <w:t xml:space="preserve">have referenced “Suite 180.” As a result, </w:t>
      </w:r>
      <w:r>
        <w:rPr>
          <w:rFonts w:ascii="Arial" w:cs="Arial" w:eastAsia="Arial" w:hAnsi="Arial"/>
          <w:sz w:val="18"/>
          <w:szCs w:val="18"/>
          <w:u w:val="single" w:color="auto"/>
          <w:color w:val="0A0A0A"/>
        </w:rPr>
        <w:t>Exhibit A</w:t>
      </w:r>
      <w:r>
        <w:rPr>
          <w:rFonts w:ascii="Arial" w:cs="Arial" w:eastAsia="Arial" w:hAnsi="Arial"/>
          <w:sz w:val="18"/>
          <w:szCs w:val="18"/>
          <w:color w:val="0A0A0A"/>
        </w:rPr>
        <w:t xml:space="preserv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Copyright © 2012.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-114300</wp:posOffset>
            </wp:positionV>
            <wp:extent cx="694055" cy="2482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694055" cy="248285"/>
                    </a:xfrm>
                    <a:prstGeom prst="rect">
                      <a:avLst/>
                    </a:prstGeom>
                    <a:noFill/>
                  </pic:spPr>
                </pic:pic>
              </a:graphicData>
            </a:graphic>
          </wp:anchor>
        </w:drawing>
      </w:r>
    </w:p>
    <w:p>
      <w:pPr>
        <w:spacing w:after="0" w:line="15" w:lineRule="exact"/>
        <w:rPr>
          <w:sz w:val="20"/>
          <w:szCs w:val="20"/>
          <w:color w:val="auto"/>
        </w:rPr>
      </w:pPr>
    </w:p>
    <w:p>
      <w:pPr>
        <w:ind w:left="5740"/>
        <w:spacing w:after="0"/>
        <w:tabs>
          <w:tab w:leader="none" w:pos="6320" w:val="left"/>
          <w:tab w:leader="none" w:pos="7200" w:val="left"/>
          <w:tab w:leader="none" w:pos="8400" w:val="left"/>
          <w:tab w:leader="none" w:pos="9540" w:val="left"/>
        </w:tabs>
        <w:rPr>
          <w:sz w:val="20"/>
          <w:szCs w:val="20"/>
          <w:color w:val="auto"/>
        </w:rPr>
      </w:pPr>
      <w:r>
        <w:rPr>
          <w:rFonts w:ascii="Arial" w:cs="Arial" w:eastAsia="Arial" w:hAnsi="Arial"/>
          <w:sz w:val="18"/>
          <w:szCs w:val="18"/>
          <w:color w:val="auto"/>
        </w:rPr>
        <w:t>ALL</w:t>
        <w:tab/>
        <w:t>RIGHTS</w:t>
        <w:tab/>
        <w:t>RESERVED.</w:t>
        <w:tab/>
        <w:t>Confidential</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Proprietary. Do Not Copy or Distribute. Alexandria and</w:t>
      </w:r>
    </w:p>
    <w:p>
      <w:pPr>
        <w:spacing w:after="0" w:line="21" w:lineRule="exact"/>
        <w:rPr>
          <w:sz w:val="20"/>
          <w:szCs w:val="20"/>
          <w:color w:val="auto"/>
        </w:rPr>
      </w:pPr>
    </w:p>
    <w:p>
      <w:pPr>
        <w:ind w:left="5740"/>
        <w:spacing w:after="0"/>
        <w:tabs>
          <w:tab w:leader="none" w:pos="6740" w:val="left"/>
          <w:tab w:leader="none" w:pos="7320" w:val="left"/>
          <w:tab w:leader="none" w:pos="7740" w:val="left"/>
          <w:tab w:leader="none" w:pos="8640" w:val="left"/>
          <w:tab w:leader="none" w:pos="9640" w:val="left"/>
        </w:tabs>
        <w:rPr>
          <w:sz w:val="20"/>
          <w:szCs w:val="20"/>
          <w:color w:val="auto"/>
        </w:rPr>
      </w:pPr>
      <w:r>
        <w:rPr>
          <w:rFonts w:ascii="Arial" w:cs="Arial" w:eastAsia="Arial" w:hAnsi="Arial"/>
          <w:sz w:val="18"/>
          <w:szCs w:val="18"/>
          <w:color w:val="auto"/>
        </w:rPr>
        <w:t>Alexandria</w:t>
        <w:tab/>
        <w:t>Logo</w:t>
        <w:tab/>
        <w:t>are</w:t>
        <w:tab/>
        <w:t>registered</w:t>
        <w:tab/>
        <w:t>trademarks</w:t>
        <w:tab/>
        <w:t>of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7" w:name="page138"/>
    <w:bookmarkEnd w:id="137"/>
    <w:p>
      <w:pPr>
        <w:ind w:left="140"/>
        <w:spacing w:after="0"/>
        <w:rPr>
          <w:sz w:val="20"/>
          <w:szCs w:val="20"/>
          <w:color w:val="auto"/>
        </w:rPr>
      </w:pPr>
      <w:r>
        <w:rPr>
          <w:rFonts w:ascii="Arial" w:cs="Arial" w:eastAsia="Arial" w:hAnsi="Arial"/>
          <w:sz w:val="18"/>
          <w:szCs w:val="18"/>
          <w:color w:val="auto"/>
        </w:rPr>
        <w:t>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Amendment to Lease Agreement -NextCure,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First Amendment is hereby deleted in its entirety and replaced with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color w:val="auto"/>
        </w:rPr>
      </w:pPr>
    </w:p>
    <w:p>
      <w:pPr>
        <w:jc w:val="both"/>
        <w:ind w:firstLine="980"/>
        <w:spacing w:after="0" w:line="314" w:lineRule="auto"/>
        <w:tabs>
          <w:tab w:leader="none" w:pos="1296" w:val="left"/>
        </w:tabs>
        <w:numPr>
          <w:ilvl w:val="1"/>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Entire Agreement. </w:t>
      </w:r>
      <w:r>
        <w:rPr>
          <w:rFonts w:ascii="Arial" w:cs="Arial" w:eastAsia="Arial" w:hAnsi="Arial"/>
          <w:sz w:val="16"/>
          <w:szCs w:val="16"/>
          <w:color w:val="auto"/>
        </w:rPr>
        <w:t>The Lease, as amended by this Second Amendment, is the entire agreement between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subject matter hereof and supersedes all prior and contemporaneous oral and written agreements and discussions. The Lease, as so amended by this Second Amendment, may be amended only by an agreement in writing, signed by the parties hereto.</w:t>
      </w:r>
    </w:p>
    <w:p>
      <w:pPr>
        <w:spacing w:after="0" w:line="141" w:lineRule="exact"/>
        <w:rPr>
          <w:rFonts w:ascii="Arial" w:cs="Arial" w:eastAsia="Arial" w:hAnsi="Arial"/>
          <w:sz w:val="16"/>
          <w:szCs w:val="16"/>
          <w:color w:val="auto"/>
        </w:rPr>
      </w:pPr>
    </w:p>
    <w:p>
      <w:pPr>
        <w:jc w:val="both"/>
        <w:ind w:firstLine="980"/>
        <w:spacing w:after="0" w:line="266" w:lineRule="auto"/>
        <w:tabs>
          <w:tab w:leader="none" w:pos="1296"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Second Amendment is binding upon and shall inure to the benefit of the parties hereto,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agents, employees, members, representatives, officers, directors, divisions, subsidiaries, affiliates, assigns, heirs, successors in interest and shareholders.</w:t>
      </w:r>
    </w:p>
    <w:p>
      <w:pPr>
        <w:spacing w:after="0" w:line="175" w:lineRule="exact"/>
        <w:rPr>
          <w:rFonts w:ascii="Arial" w:cs="Arial" w:eastAsia="Arial" w:hAnsi="Arial"/>
          <w:sz w:val="18"/>
          <w:szCs w:val="18"/>
          <w:color w:val="auto"/>
        </w:rPr>
      </w:pPr>
    </w:p>
    <w:p>
      <w:pPr>
        <w:jc w:val="both"/>
        <w:ind w:firstLine="980"/>
        <w:spacing w:after="0" w:line="258" w:lineRule="auto"/>
        <w:tabs>
          <w:tab w:leader="none" w:pos="1296"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Broker. </w:t>
      </w:r>
      <w:r>
        <w:rPr>
          <w:rFonts w:ascii="Arial" w:cs="Arial" w:eastAsia="Arial" w:hAnsi="Arial"/>
          <w:sz w:val="18"/>
          <w:szCs w:val="18"/>
          <w:color w:val="auto"/>
        </w:rPr>
        <w:t>Landlord and Tenant each represents and warrants that it has not dealt with any broker, agent or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Second Amendment and that no Broker brought about this Second Amendment. Landlord and Tenant each hereby agree to indemnify and hold the other harmless from and against any claims by any Broker claiming a commission or other form of compensation by virtue of having dealt with Tenant or Landlord, as applicable, with regard to this Second Amendment.</w:t>
      </w:r>
    </w:p>
    <w:p>
      <w:pPr>
        <w:spacing w:after="0" w:line="183" w:lineRule="exact"/>
        <w:rPr>
          <w:rFonts w:ascii="Arial" w:cs="Arial" w:eastAsia="Arial" w:hAnsi="Arial"/>
          <w:sz w:val="18"/>
          <w:szCs w:val="18"/>
          <w:color w:val="auto"/>
        </w:rPr>
      </w:pPr>
    </w:p>
    <w:p>
      <w:pPr>
        <w:jc w:val="both"/>
        <w:ind w:firstLine="980"/>
        <w:spacing w:after="0" w:line="274" w:lineRule="auto"/>
        <w:tabs>
          <w:tab w:leader="none" w:pos="1296" w:val="left"/>
        </w:tabs>
        <w:numPr>
          <w:ilvl w:val="1"/>
          <w:numId w:val="85"/>
        </w:numPr>
        <w:rPr>
          <w:rFonts w:ascii="Arial" w:cs="Arial" w:eastAsia="Arial" w:hAnsi="Arial"/>
          <w:sz w:val="17"/>
          <w:szCs w:val="17"/>
          <w:color w:val="auto"/>
        </w:rPr>
      </w:pPr>
      <w:r>
        <w:rPr>
          <w:rFonts w:ascii="Arial" w:cs="Arial" w:eastAsia="Arial" w:hAnsi="Arial"/>
          <w:sz w:val="17"/>
          <w:szCs w:val="17"/>
          <w:b w:val="1"/>
          <w:bCs w:val="1"/>
          <w:color w:val="auto"/>
        </w:rPr>
        <w:t xml:space="preserve">Counterparts. </w:t>
      </w:r>
      <w:r>
        <w:rPr>
          <w:rFonts w:ascii="Arial" w:cs="Arial" w:eastAsia="Arial" w:hAnsi="Arial"/>
          <w:sz w:val="17"/>
          <w:szCs w:val="17"/>
          <w:color w:val="auto"/>
        </w:rPr>
        <w:t>This Second Amendment may be executed in 2 or more counterparts, each of which shall be deemed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Second Amendment and all matters related thereto, with such electronic signatures having the same legal effect as original signatures.</w:t>
      </w:r>
    </w:p>
    <w:p>
      <w:pPr>
        <w:spacing w:after="0" w:line="173" w:lineRule="exact"/>
        <w:rPr>
          <w:rFonts w:ascii="Arial" w:cs="Arial" w:eastAsia="Arial" w:hAnsi="Arial"/>
          <w:sz w:val="17"/>
          <w:szCs w:val="17"/>
          <w:color w:val="auto"/>
        </w:rPr>
      </w:pPr>
    </w:p>
    <w:p>
      <w:pPr>
        <w:jc w:val="both"/>
        <w:ind w:firstLine="980"/>
        <w:spacing w:after="0" w:line="298" w:lineRule="auto"/>
        <w:tabs>
          <w:tab w:leader="none" w:pos="1296" w:val="left"/>
        </w:tabs>
        <w:numPr>
          <w:ilvl w:val="1"/>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Ratification; Conflicts. </w:t>
      </w:r>
      <w:r>
        <w:rPr>
          <w:rFonts w:ascii="Arial" w:cs="Arial" w:eastAsia="Arial" w:hAnsi="Arial"/>
          <w:sz w:val="16"/>
          <w:szCs w:val="16"/>
          <w:color w:val="auto"/>
        </w:rPr>
        <w:t>Except as amended and/or modified by this Second Amendment, the Lease is hereby ratified</w:t>
      </w:r>
      <w:r>
        <w:rPr>
          <w:rFonts w:ascii="Arial" w:cs="Arial" w:eastAsia="Arial" w:hAnsi="Arial"/>
          <w:sz w:val="16"/>
          <w:szCs w:val="16"/>
          <w:b w:val="1"/>
          <w:bCs w:val="1"/>
          <w:color w:val="auto"/>
        </w:rPr>
        <w:t xml:space="preserve"> </w:t>
      </w:r>
      <w:r>
        <w:rPr>
          <w:rFonts w:ascii="Arial" w:cs="Arial" w:eastAsia="Arial" w:hAnsi="Arial"/>
          <w:sz w:val="16"/>
          <w:szCs w:val="16"/>
          <w:color w:val="auto"/>
        </w:rPr>
        <w:t>and confirmed and all other terms of the Lease shall remain in full force and effect, unaltered and unchanged by this Second Amendment. In the event of any conflict between the provisions of this Second Amendment and the provisions of the Lease, the provisions of this Second Amendment shall prevail. Regardless of whether specifically amended by this Second Amendment, all of the terms and provisions of the Lease are hereby amended to the extent necessary to give effect to the purpose and intent of this Second Amendment.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APPEAR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Copyright © 2012.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-114300</wp:posOffset>
            </wp:positionV>
            <wp:extent cx="694055" cy="2482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694055" cy="248285"/>
                    </a:xfrm>
                    <a:prstGeom prst="rect">
                      <a:avLst/>
                    </a:prstGeom>
                    <a:noFill/>
                  </pic:spPr>
                </pic:pic>
              </a:graphicData>
            </a:graphic>
          </wp:anchor>
        </w:drawing>
      </w:r>
    </w:p>
    <w:p>
      <w:pPr>
        <w:spacing w:after="0" w:line="15" w:lineRule="exact"/>
        <w:rPr>
          <w:sz w:val="20"/>
          <w:szCs w:val="20"/>
          <w:color w:val="auto"/>
        </w:rPr>
      </w:pPr>
    </w:p>
    <w:p>
      <w:pPr>
        <w:ind w:left="5740"/>
        <w:spacing w:after="0"/>
        <w:tabs>
          <w:tab w:leader="none" w:pos="6320" w:val="left"/>
          <w:tab w:leader="none" w:pos="7200" w:val="left"/>
          <w:tab w:leader="none" w:pos="8400" w:val="left"/>
          <w:tab w:leader="none" w:pos="9540" w:val="left"/>
        </w:tabs>
        <w:rPr>
          <w:sz w:val="20"/>
          <w:szCs w:val="20"/>
          <w:color w:val="auto"/>
        </w:rPr>
      </w:pPr>
      <w:r>
        <w:rPr>
          <w:rFonts w:ascii="Arial" w:cs="Arial" w:eastAsia="Arial" w:hAnsi="Arial"/>
          <w:sz w:val="18"/>
          <w:szCs w:val="18"/>
          <w:color w:val="auto"/>
        </w:rPr>
        <w:t>ALL</w:t>
        <w:tab/>
        <w:t>RIGHTS</w:t>
        <w:tab/>
        <w:t>RESERVED.</w:t>
        <w:tab/>
        <w:t>Confidential</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Proprietary. Do Not Copy or Distribute. Alexandria and</w:t>
      </w:r>
    </w:p>
    <w:p>
      <w:pPr>
        <w:spacing w:after="0" w:line="21" w:lineRule="exact"/>
        <w:rPr>
          <w:sz w:val="20"/>
          <w:szCs w:val="20"/>
          <w:color w:val="auto"/>
        </w:rPr>
      </w:pPr>
    </w:p>
    <w:p>
      <w:pPr>
        <w:ind w:left="5740"/>
        <w:spacing w:after="0"/>
        <w:tabs>
          <w:tab w:leader="none" w:pos="6740" w:val="left"/>
          <w:tab w:leader="none" w:pos="7320" w:val="left"/>
          <w:tab w:leader="none" w:pos="7740" w:val="left"/>
          <w:tab w:leader="none" w:pos="8640" w:val="left"/>
          <w:tab w:leader="none" w:pos="9640" w:val="left"/>
        </w:tabs>
        <w:rPr>
          <w:sz w:val="20"/>
          <w:szCs w:val="20"/>
          <w:color w:val="auto"/>
        </w:rPr>
      </w:pPr>
      <w:r>
        <w:rPr>
          <w:rFonts w:ascii="Arial" w:cs="Arial" w:eastAsia="Arial" w:hAnsi="Arial"/>
          <w:sz w:val="18"/>
          <w:szCs w:val="18"/>
          <w:color w:val="auto"/>
        </w:rPr>
        <w:t>Alexandria</w:t>
        <w:tab/>
        <w:t>Logo</w:t>
        <w:tab/>
        <w:t>are</w:t>
        <w:tab/>
        <w:t>registered</w:t>
        <w:tab/>
        <w:t>trademarks</w:t>
        <w:tab/>
        <w:t>of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0C0C0C"/>
        </w:rPr>
        <w:t>Second Amendment to Lease Agreement -NextCure, Inc.</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5"/>
          <w:szCs w:val="15"/>
          <w:b w:val="1"/>
          <w:bCs w:val="1"/>
          <w:color w:val="0C0C0C"/>
        </w:rPr>
        <w:t xml:space="preserve">Page- </w:t>
      </w:r>
      <w:r>
        <w:rPr>
          <w:rFonts w:ascii="Arial" w:cs="Arial" w:eastAsia="Arial" w:hAnsi="Arial"/>
          <w:sz w:val="15"/>
          <w:szCs w:val="15"/>
          <w:color w:val="0C0C0C"/>
        </w:rPr>
        <w:t>3</w:t>
      </w:r>
    </w:p>
    <w:p>
      <w:pPr>
        <w:spacing w:after="0" w:line="26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0C0C0C"/>
        </w:rPr>
        <w:t>IN WITNESS WHEREOF, the parties hereto have executed this Second Amendment under seal as of the day and year first above written.</w:t>
      </w:r>
    </w:p>
    <w:p>
      <w:pPr>
        <w:spacing w:after="0" w:line="16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478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Pr>
          <w:p>
            <w:pPr>
              <w:spacing w:after="0"/>
              <w:rPr>
                <w:sz w:val="20"/>
                <w:szCs w:val="20"/>
                <w:color w:val="auto"/>
              </w:rPr>
            </w:pPr>
            <w:r>
              <w:rPr>
                <w:rFonts w:ascii="Arial" w:cs="Arial" w:eastAsia="Arial" w:hAnsi="Arial"/>
                <w:sz w:val="18"/>
                <w:szCs w:val="18"/>
                <w:color w:val="auto"/>
              </w:rPr>
              <w:t>/s/ Timothy Mayer</w:t>
            </w:r>
          </w:p>
        </w:tc>
        <w:tc>
          <w:tcPr>
            <w:tcW w:w="1720" w:type="dxa"/>
            <w:vAlign w:val="bottom"/>
            <w:gridSpan w:val="2"/>
          </w:tcPr>
          <w:p>
            <w:pPr>
              <w:ind w:left="1140"/>
              <w:spacing w:after="0"/>
              <w:rPr>
                <w:sz w:val="20"/>
                <w:szCs w:val="20"/>
                <w:color w:val="auto"/>
              </w:rPr>
            </w:pPr>
            <w:r>
              <w:rPr>
                <w:rFonts w:ascii="Arial" w:cs="Arial" w:eastAsia="Arial" w:hAnsi="Arial"/>
                <w:sz w:val="18"/>
                <w:szCs w:val="18"/>
                <w:color w:val="auto"/>
                <w:w w:val="96"/>
              </w:rPr>
              <w:t>(SEAL)</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2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c>
          <w:tcPr>
            <w:tcW w:w="1140" w:type="dxa"/>
            <w:vAlign w:val="bottom"/>
            <w:tcBorders>
              <w:top w:val="single" w:sz="8" w:color="auto"/>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r>
    </w:tbl>
    <w:p>
      <w:pPr>
        <w:spacing w:after="0" w:line="19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ARE-8000/9000/10000 VIRGINIA MANOR, LLC,</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color w:val="B5B5B5"/>
        </w:rPr>
        <w:t>.</w:t>
      </w:r>
      <w:r>
        <w:rPr>
          <w:rFonts w:ascii="Arial" w:cs="Arial" w:eastAsia="Arial" w:hAnsi="Arial"/>
          <w:sz w:val="18"/>
          <w:szCs w:val="18"/>
          <w:color w:val="auto"/>
        </w:rPr>
        <w:t>Delaware limited liability company</w:t>
      </w:r>
    </w:p>
    <w:p>
      <w:pPr>
        <w:spacing w:after="0" w:line="21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By:Alexandria Real Estate Equities, L.P.,</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ARE-ORS CORP.,</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360"/>
        <w:spacing w:after="0"/>
        <w:tabs>
          <w:tab w:leader="none" w:pos="5840" w:val="left"/>
        </w:tabs>
        <w:rPr>
          <w:sz w:val="20"/>
          <w:szCs w:val="20"/>
          <w:color w:val="auto"/>
        </w:rPr>
      </w:pPr>
      <w:r>
        <w:rPr>
          <w:rFonts w:ascii="Arial" w:cs="Arial" w:eastAsia="Arial" w:hAnsi="Arial"/>
          <w:sz w:val="18"/>
          <w:szCs w:val="18"/>
          <w:color w:val="auto"/>
        </w:rPr>
        <w:t>By:</w:t>
        <w:tab/>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14605</wp:posOffset>
            </wp:positionV>
            <wp:extent cx="25800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Name:Allison Grochola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14605</wp:posOffset>
            </wp:positionV>
            <wp:extent cx="25800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Vice President,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14605</wp:posOffset>
            </wp:positionV>
            <wp:extent cx="25800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Copyright © 2012.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-114300</wp:posOffset>
            </wp:positionV>
            <wp:extent cx="694055" cy="2489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694055" cy="248920"/>
                    </a:xfrm>
                    <a:prstGeom prst="rect">
                      <a:avLst/>
                    </a:prstGeom>
                    <a:noFill/>
                  </pic:spPr>
                </pic:pic>
              </a:graphicData>
            </a:graphic>
          </wp:anchor>
        </w:drawing>
      </w:r>
    </w:p>
    <w:p>
      <w:pPr>
        <w:spacing w:after="0" w:line="15" w:lineRule="exact"/>
        <w:rPr>
          <w:sz w:val="20"/>
          <w:szCs w:val="20"/>
          <w:color w:val="auto"/>
        </w:rPr>
      </w:pPr>
    </w:p>
    <w:p>
      <w:pPr>
        <w:ind w:left="5740"/>
        <w:spacing w:after="0"/>
        <w:tabs>
          <w:tab w:leader="none" w:pos="6320" w:val="left"/>
          <w:tab w:leader="none" w:pos="7200" w:val="left"/>
          <w:tab w:leader="none" w:pos="8400" w:val="left"/>
          <w:tab w:leader="none" w:pos="9540" w:val="left"/>
        </w:tabs>
        <w:rPr>
          <w:sz w:val="20"/>
          <w:szCs w:val="20"/>
          <w:color w:val="auto"/>
        </w:rPr>
      </w:pPr>
      <w:r>
        <w:rPr>
          <w:rFonts w:ascii="Arial" w:cs="Arial" w:eastAsia="Arial" w:hAnsi="Arial"/>
          <w:sz w:val="18"/>
          <w:szCs w:val="18"/>
          <w:color w:val="auto"/>
        </w:rPr>
        <w:t>ALL</w:t>
        <w:tab/>
        <w:t>RIGHTS</w:t>
        <w:tab/>
        <w:t>RESERVED.</w:t>
        <w:tab/>
        <w:t>Confidential</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Proprietary. Do Not Copy or Distribute. Alexandria and</w:t>
      </w:r>
    </w:p>
    <w:p>
      <w:pPr>
        <w:spacing w:after="0" w:line="21" w:lineRule="exact"/>
        <w:rPr>
          <w:sz w:val="20"/>
          <w:szCs w:val="20"/>
          <w:color w:val="auto"/>
        </w:rPr>
      </w:pPr>
    </w:p>
    <w:p>
      <w:pPr>
        <w:ind w:left="5740"/>
        <w:spacing w:after="0"/>
        <w:tabs>
          <w:tab w:leader="none" w:pos="6740" w:val="left"/>
          <w:tab w:leader="none" w:pos="7320" w:val="left"/>
          <w:tab w:leader="none" w:pos="7740" w:val="left"/>
          <w:tab w:leader="none" w:pos="8640" w:val="left"/>
          <w:tab w:leader="none" w:pos="9640" w:val="left"/>
        </w:tabs>
        <w:rPr>
          <w:sz w:val="20"/>
          <w:szCs w:val="20"/>
          <w:color w:val="auto"/>
        </w:rPr>
      </w:pPr>
      <w:r>
        <w:rPr>
          <w:rFonts w:ascii="Arial" w:cs="Arial" w:eastAsia="Arial" w:hAnsi="Arial"/>
          <w:sz w:val="18"/>
          <w:szCs w:val="18"/>
          <w:color w:val="auto"/>
        </w:rPr>
        <w:t>Alexandria</w:t>
        <w:tab/>
        <w:t>Logo</w:t>
        <w:tab/>
        <w:t>are</w:t>
        <w:tab/>
        <w:t>registered</w:t>
        <w:tab/>
        <w:t>trademarks</w:t>
        <w:tab/>
        <w:t>of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630555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0" w:name="page141"/>
    <w:bookmarkEnd w:id="140"/>
    <w:p>
      <w:pPr>
        <w:ind w:left="8900"/>
        <w:spacing w:after="0"/>
        <w:rPr>
          <w:sz w:val="20"/>
          <w:szCs w:val="20"/>
          <w:color w:val="auto"/>
        </w:rPr>
      </w:pPr>
      <w:r>
        <w:rPr>
          <w:rFonts w:ascii="Arial" w:cs="Arial" w:eastAsia="Arial" w:hAnsi="Arial"/>
          <w:sz w:val="16"/>
          <w:szCs w:val="16"/>
          <w:b w:val="1"/>
          <w:bCs w:val="1"/>
          <w:color w:val="auto"/>
        </w:rPr>
        <w:t>Exhibit 10.26</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NOT MATERIAL AND IS THE TYPE THAT THE REGISTRANT TREATS AS PRIVATE OR CONFIDENTIAL. OMITTED INFORMATION HAS BEEN REPLACED WITH [***].</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LEASE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THIRD AMENDMENT TO LEASE AGREEMENT </w:t>
      </w:r>
      <w:r>
        <w:rPr>
          <w:rFonts w:ascii="Arial" w:cs="Arial" w:eastAsia="Arial" w:hAnsi="Arial"/>
          <w:sz w:val="18"/>
          <w:szCs w:val="18"/>
          <w:color w:val="auto"/>
        </w:rPr>
        <w:t>(“</w:t>
      </w:r>
      <w:r>
        <w:rPr>
          <w:rFonts w:ascii="Arial" w:cs="Arial" w:eastAsia="Arial" w:hAnsi="Arial"/>
          <w:sz w:val="18"/>
          <w:szCs w:val="18"/>
          <w:b w:val="1"/>
          <w:bCs w:val="1"/>
          <w:color w:val="auto"/>
        </w:rPr>
        <w:t>this Third Amendment</w:t>
      </w:r>
      <w:r>
        <w:rPr>
          <w:rFonts w:ascii="Arial" w:cs="Arial" w:eastAsia="Arial" w:hAnsi="Arial"/>
          <w:sz w:val="18"/>
          <w:szCs w:val="18"/>
          <w:color w:val="auto"/>
        </w:rPr>
        <w:t>”) is dated as of February 4, 2022</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ARE-8000/9000/10000 VIRGINIA MANOR, LLC</w:t>
      </w:r>
      <w:r>
        <w:rPr>
          <w:rFonts w:ascii="Arial" w:cs="Arial" w:eastAsia="Arial" w:hAnsi="Arial"/>
          <w:sz w:val="18"/>
          <w:szCs w:val="18"/>
          <w:color w:val="auto"/>
        </w:rPr>
        <w:t>, a Delaware limited liability company, having an address at 26 North Euclid Avenue, Pasadena, California 91101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NEXTCURE, INC</w:t>
      </w:r>
      <w:r>
        <w:rPr>
          <w:rFonts w:ascii="Arial" w:cs="Arial" w:eastAsia="Arial" w:hAnsi="Arial"/>
          <w:sz w:val="18"/>
          <w:szCs w:val="18"/>
          <w:color w:val="auto"/>
        </w:rPr>
        <w:t>., a Delaware corporation, having an address at Suite 140, 8000 Virginia Manor Road, Beltsville, Maryland 20705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56"/>
        <w:spacing w:after="0" w:line="298" w:lineRule="auto"/>
        <w:tabs>
          <w:tab w:leader="none" w:pos="12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Landlord and Tenant have entered into that certain Lease Agreement dated as of January 30, 2019 (“</w:t>
      </w:r>
      <w:r>
        <w:rPr>
          <w:rFonts w:ascii="Arial" w:cs="Arial" w:eastAsia="Arial" w:hAnsi="Arial"/>
          <w:sz w:val="16"/>
          <w:szCs w:val="16"/>
          <w:b w:val="1"/>
          <w:bCs w:val="1"/>
          <w:color w:val="auto"/>
        </w:rPr>
        <w:t>Original Lease</w:t>
      </w:r>
      <w:r>
        <w:rPr>
          <w:rFonts w:ascii="Arial" w:cs="Arial" w:eastAsia="Arial" w:hAnsi="Arial"/>
          <w:sz w:val="16"/>
          <w:szCs w:val="16"/>
          <w:color w:val="auto"/>
        </w:rPr>
        <w:t>”), as amended by that certain First Amendment to Lease Agreement dated as of August 2, 2019 (“</w:t>
      </w:r>
      <w:r>
        <w:rPr>
          <w:rFonts w:ascii="Arial" w:cs="Arial" w:eastAsia="Arial" w:hAnsi="Arial"/>
          <w:sz w:val="16"/>
          <w:szCs w:val="16"/>
          <w:b w:val="1"/>
          <w:bCs w:val="1"/>
          <w:color w:val="auto"/>
        </w:rPr>
        <w:t>First Amendment</w:t>
      </w:r>
      <w:r>
        <w:rPr>
          <w:rFonts w:ascii="Arial" w:cs="Arial" w:eastAsia="Arial" w:hAnsi="Arial"/>
          <w:sz w:val="16"/>
          <w:szCs w:val="16"/>
          <w:color w:val="auto"/>
        </w:rPr>
        <w:t>”) and that certain Second Amendment to Lease Agreement dated as of February 19, 2020 (“</w:t>
      </w:r>
      <w:r>
        <w:rPr>
          <w:rFonts w:ascii="Arial" w:cs="Arial" w:eastAsia="Arial" w:hAnsi="Arial"/>
          <w:sz w:val="16"/>
          <w:szCs w:val="16"/>
          <w:b w:val="1"/>
          <w:bCs w:val="1"/>
          <w:color w:val="auto"/>
        </w:rPr>
        <w:t>Second Amendment</w:t>
      </w:r>
      <w:r>
        <w:rPr>
          <w:rFonts w:ascii="Arial" w:cs="Arial" w:eastAsia="Arial" w:hAnsi="Arial"/>
          <w:sz w:val="16"/>
          <w:szCs w:val="16"/>
          <w:color w:val="auto"/>
        </w:rPr>
        <w:t>”; together with the Original Lease and the First Amendment, the “</w:t>
      </w:r>
      <w:r>
        <w:rPr>
          <w:rFonts w:ascii="Arial" w:cs="Arial" w:eastAsia="Arial" w:hAnsi="Arial"/>
          <w:sz w:val="16"/>
          <w:szCs w:val="16"/>
          <w:b w:val="1"/>
          <w:bCs w:val="1"/>
          <w:color w:val="auto"/>
        </w:rPr>
        <w:t>Lease</w:t>
      </w:r>
      <w:r>
        <w:rPr>
          <w:rFonts w:ascii="Arial" w:cs="Arial" w:eastAsia="Arial" w:hAnsi="Arial"/>
          <w:sz w:val="16"/>
          <w:szCs w:val="16"/>
          <w:color w:val="auto"/>
        </w:rPr>
        <w:t>”), wherein Landlord leased to Tenant approximately 63,576 rentable square feet (“</w:t>
      </w:r>
      <w:r>
        <w:rPr>
          <w:rFonts w:ascii="Arial" w:cs="Arial" w:eastAsia="Arial" w:hAnsi="Arial"/>
          <w:sz w:val="16"/>
          <w:szCs w:val="16"/>
          <w:b w:val="1"/>
          <w:bCs w:val="1"/>
          <w:color w:val="auto"/>
        </w:rPr>
        <w:t>Existing Premises</w:t>
      </w:r>
      <w:r>
        <w:rPr>
          <w:rFonts w:ascii="Arial" w:cs="Arial" w:eastAsia="Arial" w:hAnsi="Arial"/>
          <w:sz w:val="16"/>
          <w:szCs w:val="16"/>
          <w:color w:val="auto"/>
        </w:rPr>
        <w:t>”) located at Suite 140, 8000 Virginia Manor Road, Beltsville, Maryland 20705, as more particularly described in the Lease.</w:t>
      </w:r>
    </w:p>
    <w:p>
      <w:pPr>
        <w:spacing w:after="0" w:line="157" w:lineRule="exact"/>
        <w:rPr>
          <w:rFonts w:ascii="Arial" w:cs="Arial" w:eastAsia="Arial" w:hAnsi="Arial"/>
          <w:sz w:val="16"/>
          <w:szCs w:val="16"/>
          <w:color w:val="auto"/>
        </w:rPr>
      </w:pPr>
    </w:p>
    <w:p>
      <w:pPr>
        <w:ind w:firstLine="656"/>
        <w:spacing w:after="0" w:line="308" w:lineRule="auto"/>
        <w:tabs>
          <w:tab w:leader="none" w:pos="1296" w:val="left"/>
        </w:tabs>
        <w:numPr>
          <w:ilvl w:val="0"/>
          <w:numId w:val="86"/>
        </w:numPr>
        <w:rPr>
          <w:rFonts w:ascii="Arial" w:cs="Arial" w:eastAsia="Arial" w:hAnsi="Arial"/>
          <w:sz w:val="17"/>
          <w:szCs w:val="17"/>
          <w:color w:val="auto"/>
        </w:rPr>
      </w:pPr>
      <w:r>
        <w:rPr>
          <w:rFonts w:ascii="Arial" w:cs="Arial" w:eastAsia="Arial" w:hAnsi="Arial"/>
          <w:sz w:val="17"/>
          <w:szCs w:val="17"/>
          <w:color w:val="auto"/>
        </w:rPr>
        <w:t>Landlord and Tenant desire to amend the Lease, among other things, to expand the Existing Premises by an additional 5,720 rentable square feet located adjacent to and between the Existing Premises (“</w:t>
      </w:r>
      <w:r>
        <w:rPr>
          <w:rFonts w:ascii="Arial" w:cs="Arial" w:eastAsia="Arial" w:hAnsi="Arial"/>
          <w:sz w:val="17"/>
          <w:szCs w:val="17"/>
          <w:b w:val="1"/>
          <w:bCs w:val="1"/>
          <w:color w:val="auto"/>
        </w:rPr>
        <w:t>2022 Expansion Premises</w:t>
      </w:r>
      <w:r>
        <w:rPr>
          <w:rFonts w:ascii="Arial" w:cs="Arial" w:eastAsia="Arial" w:hAnsi="Arial"/>
          <w:sz w:val="17"/>
          <w:szCs w:val="17"/>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Recitals, the mutual promises and conditions contained herein, and for other good and valuable consideration, the receipt and legal sufficiency of which are hereby acknowledged, Landlord and Tenant hereby agree that the Lease is amended as follows:</w:t>
      </w:r>
    </w:p>
    <w:p>
      <w:pPr>
        <w:spacing w:after="0" w:line="180" w:lineRule="exact"/>
        <w:rPr>
          <w:sz w:val="20"/>
          <w:szCs w:val="20"/>
          <w:color w:val="auto"/>
        </w:rPr>
      </w:pPr>
    </w:p>
    <w:p>
      <w:pPr>
        <w:ind w:right="20" w:firstLine="656"/>
        <w:spacing w:after="0" w:line="312" w:lineRule="auto"/>
        <w:tabs>
          <w:tab w:leader="none" w:pos="1296"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Definitions; Recitals</w:t>
      </w:r>
      <w:r>
        <w:rPr>
          <w:rFonts w:ascii="Arial" w:cs="Arial" w:eastAsia="Arial" w:hAnsi="Arial"/>
          <w:sz w:val="17"/>
          <w:szCs w:val="17"/>
          <w:color w:val="auto"/>
        </w:rPr>
        <w:t>. Terms used in this Third Amendment but not otherwise defined shall have the meanings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the Lease. The Recitals form an integral part of this Third Amendment and are hereby incorporated by reference.</w:t>
      </w:r>
    </w:p>
    <w:p>
      <w:pPr>
        <w:spacing w:after="0" w:line="139" w:lineRule="exact"/>
        <w:rPr>
          <w:rFonts w:ascii="Arial" w:cs="Arial" w:eastAsia="Arial" w:hAnsi="Arial"/>
          <w:sz w:val="17"/>
          <w:szCs w:val="17"/>
          <w:color w:val="auto"/>
        </w:rPr>
      </w:pPr>
    </w:p>
    <w:p>
      <w:pPr>
        <w:ind w:right="20" w:firstLine="656"/>
        <w:spacing w:after="0" w:line="282" w:lineRule="auto"/>
        <w:tabs>
          <w:tab w:leader="none" w:pos="1296"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Summary of Premises/Suite Numbers</w:t>
      </w:r>
      <w:r>
        <w:rPr>
          <w:rFonts w:ascii="Arial" w:cs="Arial" w:eastAsia="Arial" w:hAnsi="Arial"/>
          <w:sz w:val="18"/>
          <w:szCs w:val="18"/>
          <w:color w:val="auto"/>
        </w:rPr>
        <w:t>. To facilitate the review of this Third Amendment, set forth below is a</w:t>
      </w:r>
      <w:r>
        <w:rPr>
          <w:rFonts w:ascii="Arial" w:cs="Arial" w:eastAsia="Arial" w:hAnsi="Arial"/>
          <w:sz w:val="18"/>
          <w:szCs w:val="18"/>
          <w:b w:val="1"/>
          <w:bCs w:val="1"/>
          <w:color w:val="auto"/>
        </w:rPr>
        <w:t xml:space="preserve"> </w:t>
      </w:r>
      <w:r>
        <w:rPr>
          <w:rFonts w:ascii="Arial" w:cs="Arial" w:eastAsia="Arial" w:hAnsi="Arial"/>
          <w:sz w:val="18"/>
          <w:szCs w:val="18"/>
          <w:color w:val="auto"/>
        </w:rPr>
        <w:t>summary of the various areas comprising the Premises from time to time along with the assigned suite number:</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60" w:type="dxa"/>
            <w:vAlign w:val="bottom"/>
            <w:tcBorders>
              <w:top w:val="single" w:sz="8" w:color="auto"/>
              <w:left w:val="single" w:sz="8" w:color="auto"/>
              <w:bottom w:val="single" w:sz="8" w:color="auto"/>
              <w:right w:val="single" w:sz="8" w:color="auto"/>
            </w:tcBorders>
            <w:shd w:val="clear" w:color="auto" w:fill="D9D9D9"/>
          </w:tcPr>
          <w:p>
            <w:pPr>
              <w:ind w:left="400"/>
              <w:spacing w:after="0"/>
              <w:rPr>
                <w:sz w:val="20"/>
                <w:szCs w:val="20"/>
                <w:color w:val="auto"/>
              </w:rPr>
            </w:pPr>
            <w:r>
              <w:rPr>
                <w:rFonts w:ascii="Arial" w:cs="Arial" w:eastAsia="Arial" w:hAnsi="Arial"/>
                <w:sz w:val="18"/>
                <w:szCs w:val="18"/>
                <w:b w:val="1"/>
                <w:bCs w:val="1"/>
                <w:color w:val="auto"/>
              </w:rPr>
              <w:t>Suite Number</w:t>
            </w:r>
          </w:p>
        </w:tc>
        <w:tc>
          <w:tcPr>
            <w:tcW w:w="2600" w:type="dxa"/>
            <w:vAlign w:val="bottom"/>
            <w:tcBorders>
              <w:top w:val="single" w:sz="8" w:color="auto"/>
              <w:bottom w:val="single" w:sz="8" w:color="auto"/>
              <w:right w:val="single" w:sz="8" w:color="auto"/>
            </w:tcBorders>
            <w:gridSpan w:val="3"/>
            <w:shd w:val="clear" w:color="auto" w:fill="D9D9D9"/>
          </w:tcPr>
          <w:p>
            <w:pPr>
              <w:jc w:val="right"/>
              <w:ind w:right="500"/>
              <w:spacing w:after="0"/>
              <w:rPr>
                <w:sz w:val="20"/>
                <w:szCs w:val="20"/>
                <w:color w:val="auto"/>
              </w:rPr>
            </w:pPr>
            <w:r>
              <w:rPr>
                <w:rFonts w:ascii="Arial" w:cs="Arial" w:eastAsia="Arial" w:hAnsi="Arial"/>
                <w:sz w:val="18"/>
                <w:szCs w:val="18"/>
                <w:b w:val="1"/>
                <w:bCs w:val="1"/>
                <w:color w:val="auto"/>
              </w:rPr>
              <w:t>Rentable Square Feet</w:t>
            </w:r>
          </w:p>
        </w:tc>
        <w:tc>
          <w:tcPr>
            <w:tcW w:w="600" w:type="dxa"/>
            <w:vAlign w:val="bottom"/>
            <w:tcBorders>
              <w:top w:val="single" w:sz="8" w:color="auto"/>
              <w:bottom w:val="single" w:sz="8" w:color="auto"/>
            </w:tcBorders>
            <w:shd w:val="clear" w:color="auto" w:fill="D9D9D9"/>
          </w:tcPr>
          <w:p>
            <w:pPr>
              <w:spacing w:after="0"/>
              <w:rPr>
                <w:sz w:val="19"/>
                <w:szCs w:val="19"/>
                <w:color w:val="auto"/>
              </w:rPr>
            </w:pPr>
          </w:p>
        </w:tc>
        <w:tc>
          <w:tcPr>
            <w:tcW w:w="2320" w:type="dxa"/>
            <w:vAlign w:val="bottom"/>
            <w:tcBorders>
              <w:top w:val="single" w:sz="8" w:color="auto"/>
              <w:bottom w:val="single" w:sz="8" w:color="auto"/>
              <w:right w:val="single" w:sz="8" w:color="auto"/>
            </w:tcBorders>
            <w:gridSpan w:val="2"/>
            <w:shd w:val="clear" w:color="auto" w:fill="D9D9D9"/>
          </w:tcPr>
          <w:p>
            <w:pPr>
              <w:jc w:val="center"/>
              <w:ind w:right="620"/>
              <w:spacing w:after="0"/>
              <w:rPr>
                <w:sz w:val="20"/>
                <w:szCs w:val="20"/>
                <w:color w:val="auto"/>
              </w:rPr>
            </w:pPr>
            <w:r>
              <w:rPr>
                <w:rFonts w:ascii="Arial" w:cs="Arial" w:eastAsia="Arial" w:hAnsi="Arial"/>
                <w:sz w:val="18"/>
                <w:szCs w:val="18"/>
                <w:b w:val="1"/>
                <w:bCs w:val="1"/>
                <w:color w:val="auto"/>
                <w:w w:val="92"/>
              </w:rPr>
              <w:t>Defined Term</w:t>
            </w:r>
          </w:p>
        </w:tc>
        <w:tc>
          <w:tcPr>
            <w:tcW w:w="2540" w:type="dxa"/>
            <w:vAlign w:val="bottom"/>
            <w:tcBorders>
              <w:top w:val="single" w:sz="8" w:color="auto"/>
              <w:bottom w:val="single" w:sz="8" w:color="auto"/>
              <w:right w:val="single" w:sz="8" w:color="auto"/>
            </w:tcBorders>
            <w:shd w:val="clear" w:color="auto" w:fill="D9D9D9"/>
          </w:tcPr>
          <w:p>
            <w:pPr>
              <w:ind w:left="880"/>
              <w:spacing w:after="0"/>
              <w:rPr>
                <w:sz w:val="20"/>
                <w:szCs w:val="20"/>
                <w:color w:val="auto"/>
              </w:rPr>
            </w:pPr>
            <w:r>
              <w:rPr>
                <w:rFonts w:ascii="Arial" w:cs="Arial" w:eastAsia="Arial" w:hAnsi="Arial"/>
                <w:sz w:val="18"/>
                <w:szCs w:val="18"/>
                <w:b w:val="1"/>
                <w:bCs w:val="1"/>
                <w:color w:val="auto"/>
              </w:rPr>
              <w:t>Reference</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140</w:t>
            </w:r>
          </w:p>
        </w:tc>
        <w:tc>
          <w:tcPr>
            <w:tcW w:w="26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14,075</w:t>
            </w:r>
          </w:p>
        </w:tc>
        <w:tc>
          <w:tcPr>
            <w:tcW w:w="600" w:type="dxa"/>
            <w:vAlign w:val="bottom"/>
          </w:tcPr>
          <w:p>
            <w:pPr>
              <w:spacing w:after="0"/>
              <w:rPr>
                <w:sz w:val="19"/>
                <w:szCs w:val="19"/>
                <w:color w:val="auto"/>
              </w:rPr>
            </w:pPr>
          </w:p>
        </w:tc>
        <w:tc>
          <w:tcPr>
            <w:tcW w:w="232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8"/>
                <w:szCs w:val="18"/>
                <w:color w:val="auto"/>
                <w:w w:val="90"/>
              </w:rPr>
              <w:t>Existing Premises</w:t>
            </w:r>
          </w:p>
        </w:tc>
        <w:tc>
          <w:tcPr>
            <w:tcW w:w="2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110</w:t>
            </w:r>
          </w:p>
        </w:tc>
        <w:tc>
          <w:tcPr>
            <w:tcW w:w="2600" w:type="dxa"/>
            <w:vAlign w:val="bottom"/>
            <w:tcBorders>
              <w:right w:val="single" w:sz="8" w:color="auto"/>
            </w:tcBorders>
            <w:gridSpan w:val="3"/>
          </w:tcPr>
          <w:p>
            <w:pPr>
              <w:jc w:val="center"/>
              <w:ind w:right="40"/>
              <w:spacing w:after="0" w:line="195" w:lineRule="exact"/>
              <w:rPr>
                <w:sz w:val="20"/>
                <w:szCs w:val="20"/>
                <w:color w:val="auto"/>
              </w:rPr>
            </w:pPr>
            <w:r>
              <w:rPr>
                <w:rFonts w:ascii="Arial" w:cs="Arial" w:eastAsia="Arial" w:hAnsi="Arial"/>
                <w:sz w:val="18"/>
                <w:szCs w:val="18"/>
                <w:color w:val="auto"/>
                <w:w w:val="87"/>
              </w:rPr>
              <w:t>10,069</w:t>
            </w:r>
          </w:p>
        </w:tc>
        <w:tc>
          <w:tcPr>
            <w:tcW w:w="2920" w:type="dxa"/>
            <w:vAlign w:val="bottom"/>
            <w:tcBorders>
              <w:right w:val="single" w:sz="8" w:color="auto"/>
            </w:tcBorders>
            <w:gridSpan w:val="3"/>
          </w:tcPr>
          <w:p>
            <w:pPr>
              <w:jc w:val="center"/>
              <w:ind w:right="40"/>
              <w:spacing w:after="0" w:line="195" w:lineRule="exact"/>
              <w:rPr>
                <w:sz w:val="20"/>
                <w:szCs w:val="20"/>
                <w:color w:val="auto"/>
              </w:rPr>
            </w:pPr>
            <w:r>
              <w:rPr>
                <w:rFonts w:ascii="Arial" w:cs="Arial" w:eastAsia="Arial" w:hAnsi="Arial"/>
                <w:sz w:val="18"/>
                <w:szCs w:val="18"/>
                <w:color w:val="auto"/>
                <w:w w:val="88"/>
              </w:rPr>
              <w:t>Expansion Premises #1</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8000 VMR Premises</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restart"/>
          </w:tcPr>
          <w:p>
            <w:pPr>
              <w:jc w:val="center"/>
              <w:spacing w:after="0" w:line="190" w:lineRule="exact"/>
              <w:rPr>
                <w:sz w:val="20"/>
                <w:szCs w:val="20"/>
                <w:color w:val="auto"/>
              </w:rPr>
            </w:pPr>
            <w:r>
              <w:rPr>
                <w:rFonts w:ascii="Arial" w:cs="Arial" w:eastAsia="Arial" w:hAnsi="Arial"/>
                <w:sz w:val="18"/>
                <w:szCs w:val="18"/>
                <w:color w:val="auto"/>
                <w:w w:val="86"/>
              </w:rPr>
              <w:t>180</w:t>
            </w:r>
          </w:p>
        </w:tc>
        <w:tc>
          <w:tcPr>
            <w:tcW w:w="1480" w:type="dxa"/>
            <w:vAlign w:val="bottom"/>
            <w:gridSpan w:val="2"/>
            <w:vMerge w:val="restart"/>
          </w:tcPr>
          <w:p>
            <w:pPr>
              <w:jc w:val="center"/>
              <w:ind w:left="990"/>
              <w:spacing w:after="0" w:line="190" w:lineRule="exact"/>
              <w:rPr>
                <w:sz w:val="20"/>
                <w:szCs w:val="20"/>
                <w:color w:val="auto"/>
              </w:rPr>
            </w:pPr>
            <w:r>
              <w:rPr>
                <w:rFonts w:ascii="Arial" w:cs="Arial" w:eastAsia="Arial" w:hAnsi="Arial"/>
                <w:sz w:val="18"/>
                <w:szCs w:val="18"/>
                <w:color w:val="auto"/>
                <w:w w:val="88"/>
              </w:rPr>
              <w:t>4,377</w:t>
            </w:r>
          </w:p>
        </w:tc>
        <w:tc>
          <w:tcPr>
            <w:tcW w:w="1120" w:type="dxa"/>
            <w:vAlign w:val="bottom"/>
            <w:tcBorders>
              <w:right w:val="single" w:sz="8" w:color="auto"/>
            </w:tcBorders>
          </w:tcPr>
          <w:p>
            <w:pPr>
              <w:spacing w:after="0"/>
              <w:rPr>
                <w:sz w:val="9"/>
                <w:szCs w:val="9"/>
                <w:color w:val="auto"/>
              </w:rPr>
            </w:pPr>
          </w:p>
        </w:tc>
        <w:tc>
          <w:tcPr>
            <w:tcW w:w="2920" w:type="dxa"/>
            <w:vAlign w:val="bottom"/>
            <w:tcBorders>
              <w:right w:val="single" w:sz="8" w:color="auto"/>
            </w:tcBorders>
            <w:gridSpan w:val="3"/>
            <w:vMerge w:val="restart"/>
          </w:tcPr>
          <w:p>
            <w:pPr>
              <w:jc w:val="center"/>
              <w:ind w:right="40"/>
              <w:spacing w:after="0" w:line="190" w:lineRule="exact"/>
              <w:rPr>
                <w:sz w:val="20"/>
                <w:szCs w:val="20"/>
                <w:color w:val="auto"/>
              </w:rPr>
            </w:pPr>
            <w:r>
              <w:rPr>
                <w:rFonts w:ascii="Arial" w:cs="Arial" w:eastAsia="Arial" w:hAnsi="Arial"/>
                <w:sz w:val="18"/>
                <w:szCs w:val="18"/>
                <w:color w:val="auto"/>
                <w:w w:val="88"/>
              </w:rPr>
              <w:t>Expansion Premises #2</w:t>
            </w:r>
          </w:p>
        </w:tc>
        <w:tc>
          <w:tcPr>
            <w:tcW w:w="25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6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2920" w:type="dxa"/>
            <w:vAlign w:val="bottom"/>
            <w:tcBorders>
              <w:right w:val="single" w:sz="8" w:color="auto"/>
            </w:tcBorders>
            <w:gridSpan w:val="3"/>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tcBorders>
              <w:left w:val="single" w:sz="8" w:color="auto"/>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14,446</w:t>
            </w:r>
          </w:p>
        </w:tc>
        <w:tc>
          <w:tcPr>
            <w:tcW w:w="600" w:type="dxa"/>
            <w:vAlign w:val="bottom"/>
          </w:tcPr>
          <w:p>
            <w:pPr>
              <w:spacing w:after="0"/>
              <w:rPr>
                <w:sz w:val="20"/>
                <w:szCs w:val="20"/>
                <w:color w:val="auto"/>
              </w:rPr>
            </w:pPr>
          </w:p>
        </w:tc>
        <w:tc>
          <w:tcPr>
            <w:tcW w:w="232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8"/>
                <w:szCs w:val="18"/>
                <w:color w:val="auto"/>
                <w:w w:val="88"/>
              </w:rPr>
              <w:t>Expansion Premises</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130</w:t>
            </w:r>
          </w:p>
        </w:tc>
        <w:tc>
          <w:tcPr>
            <w:tcW w:w="2600" w:type="dxa"/>
            <w:vAlign w:val="bottom"/>
            <w:tcBorders>
              <w:right w:val="single" w:sz="8" w:color="auto"/>
            </w:tcBorders>
            <w:gridSpan w:val="3"/>
          </w:tcPr>
          <w:p>
            <w:pPr>
              <w:jc w:val="right"/>
              <w:ind w:right="1100"/>
              <w:spacing w:after="0"/>
              <w:rPr>
                <w:sz w:val="20"/>
                <w:szCs w:val="20"/>
                <w:color w:val="auto"/>
              </w:rPr>
            </w:pPr>
            <w:r>
              <w:rPr>
                <w:rFonts w:ascii="Arial" w:cs="Arial" w:eastAsia="Arial" w:hAnsi="Arial"/>
                <w:sz w:val="18"/>
                <w:szCs w:val="18"/>
                <w:color w:val="auto"/>
              </w:rPr>
              <w:t>5,720</w:t>
            </w:r>
          </w:p>
        </w:tc>
        <w:tc>
          <w:tcPr>
            <w:tcW w:w="29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2022 Expansion Premises</w:t>
            </w:r>
          </w:p>
        </w:tc>
        <w:tc>
          <w:tcPr>
            <w:tcW w:w="2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Former [***] space</w:t>
            </w:r>
          </w:p>
        </w:tc>
        <w:tc>
          <w:tcPr>
            <w:tcW w:w="0" w:type="dxa"/>
            <w:vAlign w:val="bottom"/>
          </w:tcPr>
          <w:p>
            <w:pPr>
              <w:spacing w:after="0"/>
              <w:rPr>
                <w:sz w:val="1"/>
                <w:szCs w:val="1"/>
                <w:color w:val="auto"/>
              </w:rPr>
            </w:pPr>
          </w:p>
        </w:tc>
      </w:tr>
      <w:tr>
        <w:trPr>
          <w:trHeight w:val="202"/>
        </w:trPr>
        <w:tc>
          <w:tcPr>
            <w:tcW w:w="1860" w:type="dxa"/>
            <w:vAlign w:val="bottom"/>
            <w:tcBorders>
              <w:left w:val="single" w:sz="8" w:color="auto"/>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2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200</w:t>
            </w:r>
          </w:p>
        </w:tc>
        <w:tc>
          <w:tcPr>
            <w:tcW w:w="2600" w:type="dxa"/>
            <w:vAlign w:val="bottom"/>
            <w:tcBorders>
              <w:right w:val="single" w:sz="8" w:color="auto"/>
            </w:tcBorders>
            <w:gridSpan w:val="3"/>
          </w:tcPr>
          <w:p>
            <w:pPr>
              <w:jc w:val="center"/>
              <w:ind w:right="40"/>
              <w:spacing w:after="0" w:line="195" w:lineRule="exact"/>
              <w:rPr>
                <w:sz w:val="20"/>
                <w:szCs w:val="20"/>
                <w:color w:val="auto"/>
              </w:rPr>
            </w:pPr>
            <w:r>
              <w:rPr>
                <w:rFonts w:ascii="Arial" w:cs="Arial" w:eastAsia="Arial" w:hAnsi="Arial"/>
                <w:sz w:val="18"/>
                <w:szCs w:val="18"/>
                <w:color w:val="auto"/>
                <w:w w:val="87"/>
              </w:rPr>
              <w:t>24,846</w:t>
            </w:r>
          </w:p>
        </w:tc>
        <w:tc>
          <w:tcPr>
            <w:tcW w:w="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201</w:t>
            </w:r>
          </w:p>
        </w:tc>
        <w:tc>
          <w:tcPr>
            <w:tcW w:w="1480" w:type="dxa"/>
            <w:vAlign w:val="bottom"/>
            <w:gridSpan w:val="2"/>
          </w:tcPr>
          <w:p>
            <w:pPr>
              <w:jc w:val="center"/>
              <w:ind w:left="990"/>
              <w:spacing w:after="0"/>
              <w:rPr>
                <w:sz w:val="20"/>
                <w:szCs w:val="20"/>
                <w:color w:val="auto"/>
              </w:rPr>
            </w:pPr>
            <w:r>
              <w:rPr>
                <w:rFonts w:ascii="Arial" w:cs="Arial" w:eastAsia="Arial" w:hAnsi="Arial"/>
                <w:sz w:val="18"/>
                <w:szCs w:val="18"/>
                <w:color w:val="auto"/>
                <w:w w:val="88"/>
              </w:rPr>
              <w:t>7,300</w:t>
            </w:r>
          </w:p>
        </w:tc>
        <w:tc>
          <w:tcPr>
            <w:tcW w:w="11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60" w:type="dxa"/>
            <w:vAlign w:val="bottom"/>
            <w:tcBorders>
              <w:left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color w:val="auto"/>
                <w:w w:val="95"/>
              </w:rPr>
              <w:t>201A</w:t>
            </w:r>
          </w:p>
        </w:tc>
        <w:tc>
          <w:tcPr>
            <w:tcW w:w="1480" w:type="dxa"/>
            <w:vAlign w:val="bottom"/>
            <w:gridSpan w:val="2"/>
          </w:tcPr>
          <w:p>
            <w:pPr>
              <w:jc w:val="center"/>
              <w:ind w:left="990"/>
              <w:spacing w:after="0" w:line="190" w:lineRule="exact"/>
              <w:rPr>
                <w:sz w:val="20"/>
                <w:szCs w:val="20"/>
                <w:color w:val="auto"/>
              </w:rPr>
            </w:pPr>
            <w:r>
              <w:rPr>
                <w:rFonts w:ascii="Arial" w:cs="Arial" w:eastAsia="Arial" w:hAnsi="Arial"/>
                <w:sz w:val="18"/>
                <w:szCs w:val="18"/>
                <w:color w:val="auto"/>
                <w:w w:val="88"/>
              </w:rPr>
              <w:t>2,909</w:t>
            </w:r>
          </w:p>
        </w:tc>
        <w:tc>
          <w:tcPr>
            <w:tcW w:w="112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320" w:type="dxa"/>
            <w:vAlign w:val="bottom"/>
            <w:tcBorders>
              <w:right w:val="single" w:sz="8" w:color="auto"/>
            </w:tcBorders>
            <w:gridSpan w:val="2"/>
          </w:tcPr>
          <w:p>
            <w:pPr>
              <w:jc w:val="center"/>
              <w:ind w:right="620"/>
              <w:spacing w:after="0" w:line="190" w:lineRule="exact"/>
              <w:rPr>
                <w:sz w:val="20"/>
                <w:szCs w:val="20"/>
                <w:color w:val="auto"/>
              </w:rPr>
            </w:pPr>
            <w:r>
              <w:rPr>
                <w:rFonts w:ascii="Arial" w:cs="Arial" w:eastAsia="Arial" w:hAnsi="Arial"/>
                <w:sz w:val="18"/>
                <w:szCs w:val="18"/>
                <w:color w:val="auto"/>
                <w:w w:val="90"/>
              </w:rPr>
              <w:t>9000 VMR Premises</w:t>
            </w:r>
          </w:p>
        </w:tc>
        <w:tc>
          <w:tcPr>
            <w:tcW w:w="254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Former Lupin space</w:t>
            </w:r>
          </w:p>
        </w:tc>
        <w:tc>
          <w:tcPr>
            <w:tcW w:w="0" w:type="dxa"/>
            <w:vAlign w:val="bottom"/>
          </w:tcPr>
          <w:p>
            <w:pPr>
              <w:spacing w:after="0"/>
              <w:rPr>
                <w:sz w:val="1"/>
                <w:szCs w:val="1"/>
                <w:color w:val="auto"/>
              </w:rPr>
            </w:pPr>
          </w:p>
        </w:tc>
      </w:tr>
      <w:tr>
        <w:trPr>
          <w:trHeight w:val="21"/>
        </w:trPr>
        <w:tc>
          <w:tcPr>
            <w:tcW w:w="1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- 2</w:t>
      </w:r>
    </w:p>
    <w:p>
      <w:pPr>
        <w:spacing w:after="0" w:line="468" w:lineRule="exact"/>
        <w:rPr>
          <w:sz w:val="20"/>
          <w:szCs w:val="20"/>
          <w:color w:val="auto"/>
        </w:rPr>
      </w:pPr>
    </w:p>
    <w:p>
      <w:pPr>
        <w:sectPr>
          <w:pgSz w:w="11900" w:h="16838" w:orient="portrait"/>
          <w:cols w:equalWidth="0" w:num="2">
            <w:col w:w="8580" w:space="720"/>
            <w:col w:w="620"/>
          </w:cols>
          <w:pgMar w:left="980" w:top="661" w:right="999" w:bottom="1440" w:gutter="0" w:footer="0" w:header="0"/>
        </w:sectPr>
      </w:pPr>
    </w:p>
    <w:p>
      <w:pPr>
        <w:spacing w:after="0" w:line="24"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35,055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436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6292215" cy="436880"/>
                    </a:xfrm>
                    <a:prstGeom prst="rect">
                      <a:avLst/>
                    </a:prstGeom>
                    <a:noFill/>
                  </pic:spPr>
                </pic:pic>
              </a:graphicData>
            </a:graphic>
          </wp:anchor>
        </w:drawing>
      </w:r>
    </w:p>
    <w:p>
      <w:pPr>
        <w:spacing w:after="0" w:line="215" w:lineRule="exact"/>
        <w:rPr>
          <w:sz w:val="20"/>
          <w:szCs w:val="20"/>
          <w:color w:val="auto"/>
        </w:rPr>
      </w:pPr>
    </w:p>
    <w:p>
      <w:pPr>
        <w:ind w:left="620"/>
        <w:spacing w:after="0"/>
        <w:tabs>
          <w:tab w:leader="none" w:pos="28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69,296</w:t>
      </w:r>
    </w:p>
    <w:p>
      <w:pPr>
        <w:spacing w:after="0" w:line="239" w:lineRule="exact"/>
        <w:rPr>
          <w:sz w:val="20"/>
          <w:szCs w:val="20"/>
          <w:color w:val="auto"/>
        </w:rPr>
      </w:pPr>
    </w:p>
    <w:p>
      <w:pPr>
        <w:jc w:val="both"/>
        <w:ind w:firstLine="656"/>
        <w:spacing w:after="0" w:line="289" w:lineRule="auto"/>
        <w:tabs>
          <w:tab w:leader="none" w:pos="1296"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2022 Expansion Premises</w:t>
      </w:r>
      <w:r>
        <w:rPr>
          <w:rFonts w:ascii="Arial" w:cs="Arial" w:eastAsia="Arial" w:hAnsi="Arial"/>
          <w:sz w:val="17"/>
          <w:szCs w:val="17"/>
          <w:color w:val="auto"/>
        </w:rPr>
        <w:t>. Effective as of the 2022 Expansion Premises Commencement Date (as defined below),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Existing Premises shall be expanded to include the 2022 Expansion Premises, and (b)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to this Third Amendment, which depicts the 2022 Expansion Premises as the hatched area, is hereby added to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to the Lease.</w:t>
      </w:r>
    </w:p>
    <w:p>
      <w:pPr>
        <w:spacing w:after="0" w:line="157" w:lineRule="exact"/>
        <w:rPr>
          <w:rFonts w:ascii="Arial" w:cs="Arial" w:eastAsia="Arial" w:hAnsi="Arial"/>
          <w:sz w:val="17"/>
          <w:szCs w:val="17"/>
          <w:color w:val="auto"/>
        </w:rPr>
      </w:pPr>
    </w:p>
    <w:p>
      <w:pPr>
        <w:ind w:right="20" w:firstLine="656"/>
        <w:spacing w:after="0" w:line="312" w:lineRule="auto"/>
        <w:tabs>
          <w:tab w:leader="none" w:pos="1296"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Changes to Defined Terms</w:t>
      </w:r>
      <w:r>
        <w:rPr>
          <w:rFonts w:ascii="Arial" w:cs="Arial" w:eastAsia="Arial" w:hAnsi="Arial"/>
          <w:sz w:val="17"/>
          <w:szCs w:val="17"/>
          <w:color w:val="auto"/>
        </w:rPr>
        <w:t>. Effective as of the 2022 Expansion Premises Commencement Date,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amendments are hereby made to the definitions contained on pages 1 and 2 of the Lease in the Basic Lease Provisions.</w:t>
      </w:r>
    </w:p>
    <w:p>
      <w:pPr>
        <w:spacing w:after="0" w:line="139" w:lineRule="exact"/>
        <w:rPr>
          <w:rFonts w:ascii="Arial" w:cs="Arial" w:eastAsia="Arial" w:hAnsi="Arial"/>
          <w:sz w:val="17"/>
          <w:szCs w:val="17"/>
          <w:color w:val="auto"/>
        </w:rPr>
      </w:pPr>
    </w:p>
    <w:p>
      <w:pPr>
        <w:ind w:left="1300" w:right="20" w:hanging="320"/>
        <w:spacing w:after="0" w:line="282"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Premises (before 9000 VMR Effective Date)</w:t>
      </w:r>
      <w:r>
        <w:rPr>
          <w:rFonts w:ascii="Arial" w:cs="Arial" w:eastAsia="Arial" w:hAnsi="Arial"/>
          <w:sz w:val="18"/>
          <w:szCs w:val="18"/>
          <w:color w:val="auto"/>
        </w:rPr>
        <w:t>” shall be deleted in its entirety and replaced with the following definitions:</w:t>
      </w:r>
    </w:p>
    <w:p>
      <w:pPr>
        <w:spacing w:after="0" w:line="162" w:lineRule="exact"/>
        <w:rPr>
          <w:sz w:val="20"/>
          <w:szCs w:val="20"/>
          <w:color w:val="auto"/>
        </w:rPr>
      </w:pPr>
    </w:p>
    <w:p>
      <w:pPr>
        <w:jc w:val="both"/>
        <w:ind w:left="19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Premises (before 2022 Expansion Premises Commencement Date)</w:t>
      </w:r>
      <w:r>
        <w:rPr>
          <w:rFonts w:ascii="Arial" w:cs="Arial" w:eastAsia="Arial" w:hAnsi="Arial"/>
          <w:sz w:val="16"/>
          <w:szCs w:val="16"/>
          <w:color w:val="auto"/>
        </w:rPr>
        <w:t xml:space="preserve">: That portion of the Project, containing approximately 28,521 rentable square feet, which consists of the following: (a) approximately 14,075 rentable square feet, as shown as the hatched area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to this Lease (“</w:t>
      </w:r>
      <w:r>
        <w:rPr>
          <w:rFonts w:ascii="Arial" w:cs="Arial" w:eastAsia="Arial" w:hAnsi="Arial"/>
          <w:sz w:val="16"/>
          <w:szCs w:val="16"/>
          <w:b w:val="1"/>
          <w:bCs w:val="1"/>
          <w:color w:val="auto"/>
        </w:rPr>
        <w:t>Existing Premises</w:t>
      </w:r>
      <w:r>
        <w:rPr>
          <w:rFonts w:ascii="Arial" w:cs="Arial" w:eastAsia="Arial" w:hAnsi="Arial"/>
          <w:sz w:val="16"/>
          <w:szCs w:val="16"/>
          <w:color w:val="auto"/>
        </w:rPr>
        <w:t>”), and</w:t>
      </w:r>
    </w:p>
    <w:p>
      <w:pPr>
        <w:spacing w:after="0" w:line="2" w:lineRule="exact"/>
        <w:rPr>
          <w:sz w:val="20"/>
          <w:szCs w:val="20"/>
          <w:color w:val="auto"/>
        </w:rPr>
      </w:pPr>
    </w:p>
    <w:p>
      <w:pPr>
        <w:jc w:val="both"/>
        <w:ind w:left="1960" w:hanging="8"/>
        <w:spacing w:after="0" w:line="267" w:lineRule="auto"/>
        <w:tabs>
          <w:tab w:leader="none" w:pos="22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approximately 14,446 rentable square feet of space shown as the hatched area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the First Amendment to Lease Agreement between Landlord and Tenant (“</w:t>
      </w:r>
      <w:r>
        <w:rPr>
          <w:rFonts w:ascii="Arial" w:cs="Arial" w:eastAsia="Arial" w:hAnsi="Arial"/>
          <w:sz w:val="17"/>
          <w:szCs w:val="17"/>
          <w:b w:val="1"/>
          <w:bCs w:val="1"/>
          <w:color w:val="auto"/>
        </w:rPr>
        <w:t>Expansion Premises</w:t>
      </w:r>
      <w:r>
        <w:rPr>
          <w:rFonts w:ascii="Arial" w:cs="Arial" w:eastAsia="Arial" w:hAnsi="Arial"/>
          <w:sz w:val="17"/>
          <w:szCs w:val="17"/>
          <w:color w:val="auto"/>
        </w:rPr>
        <w:t>”). The Expansion Premises consists of (i) approximately 10,069 rentable square feet (“</w:t>
      </w:r>
      <w:r>
        <w:rPr>
          <w:rFonts w:ascii="Arial" w:cs="Arial" w:eastAsia="Arial" w:hAnsi="Arial"/>
          <w:sz w:val="17"/>
          <w:szCs w:val="17"/>
          <w:b w:val="1"/>
          <w:bCs w:val="1"/>
          <w:color w:val="auto"/>
        </w:rPr>
        <w:t>Expansion Premises #1</w:t>
      </w:r>
      <w:r>
        <w:rPr>
          <w:rFonts w:ascii="Arial" w:cs="Arial" w:eastAsia="Arial" w:hAnsi="Arial"/>
          <w:sz w:val="17"/>
          <w:szCs w:val="17"/>
          <w:color w:val="auto"/>
        </w:rPr>
        <w:t xml:space="preserve">”) identified as “Suite 110”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the First Amendment to Lease Agreement between Landlord and Tenant, and (ii) approximately 4,377 rentable square feet (“</w:t>
      </w:r>
      <w:r>
        <w:rPr>
          <w:rFonts w:ascii="Arial" w:cs="Arial" w:eastAsia="Arial" w:hAnsi="Arial"/>
          <w:sz w:val="17"/>
          <w:szCs w:val="17"/>
          <w:b w:val="1"/>
          <w:bCs w:val="1"/>
          <w:color w:val="auto"/>
        </w:rPr>
        <w:t>Expansion Premises #2</w:t>
      </w:r>
      <w:r>
        <w:rPr>
          <w:rFonts w:ascii="Arial" w:cs="Arial" w:eastAsia="Arial" w:hAnsi="Arial"/>
          <w:sz w:val="17"/>
          <w:szCs w:val="17"/>
          <w:color w:val="auto"/>
        </w:rPr>
        <w:t xml:space="preserve">”) identified as “Suite 170”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the First Amendment to Lease Agreement between Landlord and Tenant. Ewing Cole, Landlord’s architect, has measured the area of the Premises pursuant to the BOMA 2017 for Office Buildings: Standard Methods of Measurement as adopted by the Building Owners and Managers Association International (ANSI/BOMA Z65.1-2017). Tenant acknowledges receipt of such measurement and confirms that (A) Tenant has had an opportunity to confirm such measurement with an architect of its selection before the Commencement Date (with respect to the Existing Premises), and the Expansion Premises Commencement Date (with respect to the Expansion Premises), and (B) such measurement shall be conclusive as to the area of the Premises.”</w:t>
      </w:r>
    </w:p>
    <w:p>
      <w:pPr>
        <w:spacing w:after="0" w:line="179" w:lineRule="exact"/>
        <w:rPr>
          <w:sz w:val="20"/>
          <w:szCs w:val="20"/>
          <w:color w:val="auto"/>
        </w:rPr>
      </w:pPr>
    </w:p>
    <w:p>
      <w:pPr>
        <w:jc w:val="both"/>
        <w:ind w:left="19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Premises (from and after 2022 Expansion Premises Commencement Date but before 9000 VMR</w:t>
      </w:r>
      <w:r>
        <w:rPr>
          <w:rFonts w:ascii="Arial" w:cs="Arial" w:eastAsia="Arial" w:hAnsi="Arial"/>
          <w:sz w:val="16"/>
          <w:szCs w:val="16"/>
          <w:color w:val="auto"/>
        </w:rPr>
        <w:t xml:space="preserve"> </w:t>
      </w:r>
      <w:r>
        <w:rPr>
          <w:rFonts w:ascii="Arial" w:cs="Arial" w:eastAsia="Arial" w:hAnsi="Arial"/>
          <w:sz w:val="16"/>
          <w:szCs w:val="16"/>
          <w:b w:val="1"/>
          <w:bCs w:val="1"/>
          <w:color w:val="auto"/>
        </w:rPr>
        <w:t>Effective Date)</w:t>
      </w:r>
      <w:r>
        <w:rPr>
          <w:rFonts w:ascii="Arial" w:cs="Arial" w:eastAsia="Arial" w:hAnsi="Arial"/>
          <w:sz w:val="16"/>
          <w:szCs w:val="16"/>
          <w:color w:val="auto"/>
        </w:rPr>
        <w:t>: That portion of the Project, containing approximately 34,241 rentable square feet,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consists of the following: (a) approximately 14,075 rentable square feet, as shown as the hatched area on </w:t>
      </w:r>
      <w:r>
        <w:rPr>
          <w:rFonts w:ascii="Arial" w:cs="Arial" w:eastAsia="Arial" w:hAnsi="Arial"/>
          <w:sz w:val="16"/>
          <w:szCs w:val="16"/>
          <w:b w:val="1"/>
          <w:bCs w:val="1"/>
          <w:color w:val="auto"/>
        </w:rPr>
        <w:t xml:space="preserve">Exhibit A </w:t>
      </w:r>
      <w:r>
        <w:rPr>
          <w:rFonts w:ascii="Arial" w:cs="Arial" w:eastAsia="Arial" w:hAnsi="Arial"/>
          <w:sz w:val="16"/>
          <w:szCs w:val="16"/>
          <w:color w:val="auto"/>
        </w:rPr>
        <w:t>attached to this Lease (“</w:t>
      </w:r>
      <w:r>
        <w:rPr>
          <w:rFonts w:ascii="Arial" w:cs="Arial" w:eastAsia="Arial" w:hAnsi="Arial"/>
          <w:sz w:val="16"/>
          <w:szCs w:val="16"/>
          <w:b w:val="1"/>
          <w:bCs w:val="1"/>
          <w:color w:val="auto"/>
        </w:rPr>
        <w:t>Existing Premises</w:t>
      </w:r>
      <w:r>
        <w:rPr>
          <w:rFonts w:ascii="Arial" w:cs="Arial" w:eastAsia="Arial" w:hAnsi="Arial"/>
          <w:sz w:val="16"/>
          <w:szCs w:val="16"/>
          <w:color w:val="auto"/>
        </w:rPr>
        <w:t>”), (b) approximately 14,446 rentable square feet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space shown as the hatched area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to the First Amendment to Lease Agreement between Landlord and Tenant (“</w:t>
      </w:r>
      <w:r>
        <w:rPr>
          <w:rFonts w:ascii="Arial" w:cs="Arial" w:eastAsia="Arial" w:hAnsi="Arial"/>
          <w:sz w:val="16"/>
          <w:szCs w:val="16"/>
          <w:b w:val="1"/>
          <w:bCs w:val="1"/>
          <w:color w:val="auto"/>
        </w:rPr>
        <w:t>Expansion Premises</w:t>
      </w:r>
      <w:r>
        <w:rPr>
          <w:rFonts w:ascii="Arial" w:cs="Arial" w:eastAsia="Arial" w:hAnsi="Arial"/>
          <w:sz w:val="16"/>
          <w:szCs w:val="16"/>
          <w:color w:val="auto"/>
        </w:rPr>
        <w:t xml:space="preserve">”), and (c) approximately 5,720 rentable square feet of space shown as the hatched area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to the Third Amendment to Lease Agreement between Landlord and Tenant and known as Suite 130 in the 8000 VMR Building (“</w:t>
      </w:r>
      <w:r>
        <w:rPr>
          <w:rFonts w:ascii="Arial" w:cs="Arial" w:eastAsia="Arial" w:hAnsi="Arial"/>
          <w:sz w:val="16"/>
          <w:szCs w:val="16"/>
          <w:b w:val="1"/>
          <w:bCs w:val="1"/>
          <w:color w:val="auto"/>
        </w:rPr>
        <w:t>2022 Expansion Premises</w:t>
      </w:r>
      <w:r>
        <w:rPr>
          <w:rFonts w:ascii="Arial" w:cs="Arial" w:eastAsia="Arial" w:hAnsi="Arial"/>
          <w:sz w:val="16"/>
          <w:szCs w:val="16"/>
          <w:color w:val="auto"/>
        </w:rPr>
        <w:t>”). The Expansion Premises consists of (i) approximately 10,069 rentable square feet (“</w:t>
      </w:r>
      <w:r>
        <w:rPr>
          <w:rFonts w:ascii="Arial" w:cs="Arial" w:eastAsia="Arial" w:hAnsi="Arial"/>
          <w:sz w:val="16"/>
          <w:szCs w:val="16"/>
          <w:b w:val="1"/>
          <w:bCs w:val="1"/>
          <w:color w:val="auto"/>
        </w:rPr>
        <w:t>Expansion Premises</w:t>
      </w:r>
    </w:p>
    <w:p>
      <w:pPr>
        <w:spacing w:after="0" w:line="200" w:lineRule="exact"/>
        <w:rPr>
          <w:sz w:val="20"/>
          <w:szCs w:val="20"/>
          <w:color w:val="auto"/>
        </w:rPr>
      </w:pPr>
    </w:p>
    <w:p>
      <w:pPr>
        <w:spacing w:after="0" w:line="213"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- 3</w:t>
      </w:r>
    </w:p>
    <w:p>
      <w:pPr>
        <w:spacing w:after="0" w:line="468" w:lineRule="exact"/>
        <w:rPr>
          <w:sz w:val="20"/>
          <w:szCs w:val="20"/>
          <w:color w:val="auto"/>
        </w:rPr>
      </w:pPr>
    </w:p>
    <w:p>
      <w:pPr>
        <w:sectPr>
          <w:pgSz w:w="11900" w:h="16838" w:orient="portrait"/>
          <w:cols w:equalWidth="0" w:num="2">
            <w:col w:w="8580" w:space="720"/>
            <w:col w:w="620"/>
          </w:cols>
          <w:pgMar w:left="980" w:top="661" w:right="999" w:bottom="1440" w:gutter="0" w:footer="0" w:header="0"/>
        </w:sectPr>
      </w:pPr>
    </w:p>
    <w:p>
      <w:pPr>
        <w:spacing w:after="0" w:line="7" w:lineRule="exact"/>
        <w:rPr>
          <w:sz w:val="20"/>
          <w:szCs w:val="20"/>
          <w:color w:val="auto"/>
        </w:rPr>
      </w:pPr>
    </w:p>
    <w:p>
      <w:pPr>
        <w:jc w:val="both"/>
        <w:ind w:left="1960"/>
        <w:spacing w:after="0" w:line="269" w:lineRule="auto"/>
        <w:rPr>
          <w:sz w:val="20"/>
          <w:szCs w:val="20"/>
          <w:color w:val="auto"/>
        </w:rPr>
      </w:pPr>
      <w:r>
        <w:rPr>
          <w:rFonts w:ascii="Arial" w:cs="Arial" w:eastAsia="Arial" w:hAnsi="Arial"/>
          <w:sz w:val="17"/>
          <w:szCs w:val="17"/>
          <w:b w:val="1"/>
          <w:bCs w:val="1"/>
          <w:color w:val="auto"/>
        </w:rPr>
        <w:t>#1</w:t>
      </w:r>
      <w:r>
        <w:rPr>
          <w:rFonts w:ascii="Arial" w:cs="Arial" w:eastAsia="Arial" w:hAnsi="Arial"/>
          <w:sz w:val="17"/>
          <w:szCs w:val="17"/>
          <w:color w:val="auto"/>
        </w:rPr>
        <w:t>”) identified as “Suite 110” on</w:t>
      </w:r>
      <w:r>
        <w:rPr>
          <w:rFonts w:ascii="Arial" w:cs="Arial" w:eastAsia="Arial" w:hAnsi="Arial"/>
          <w:sz w:val="17"/>
          <w:szCs w:val="17"/>
          <w:b w:val="1"/>
          <w:bCs w:val="1"/>
          <w:color w:val="auto"/>
        </w:rPr>
        <w:t xml:space="preserve"> Exhibit A </w:t>
      </w:r>
      <w:r>
        <w:rPr>
          <w:rFonts w:ascii="Arial" w:cs="Arial" w:eastAsia="Arial" w:hAnsi="Arial"/>
          <w:sz w:val="17"/>
          <w:szCs w:val="17"/>
          <w:color w:val="auto"/>
        </w:rPr>
        <w:t>attached to the First Amendment to Lease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Tenant, and (ii) approximately 4,377 rentable square feet (“</w:t>
      </w:r>
      <w:r>
        <w:rPr>
          <w:rFonts w:ascii="Arial" w:cs="Arial" w:eastAsia="Arial" w:hAnsi="Arial"/>
          <w:sz w:val="17"/>
          <w:szCs w:val="17"/>
          <w:b w:val="1"/>
          <w:bCs w:val="1"/>
          <w:color w:val="auto"/>
        </w:rPr>
        <w:t>Expansion Premises #2</w:t>
      </w:r>
      <w:r>
        <w:rPr>
          <w:rFonts w:ascii="Arial" w:cs="Arial" w:eastAsia="Arial" w:hAnsi="Arial"/>
          <w:sz w:val="17"/>
          <w:szCs w:val="17"/>
          <w:color w:val="auto"/>
        </w:rPr>
        <w:t xml:space="preserve">”) identified as “Suite 170”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the First Amendment to Lease Agreement between Landlord and Tenant. Ewing Cole, Landlord’s architect, has measured the area of the Premises pursuant to the BOMA 2017 for Office Buildings: Standard Methods of Measurement as adopted by the Building Owners and Managers Association International (ANSI/BOMA Z65.1-2017). Tenant acknowledges receipt of such measurement and confirms that (A) Tenant has had an opportunity to confirm such measurement with an architect of its selection before the Commencement Date (with respect to the Existing Premises), the Expansion Premises Commencement Date (with respect to the Expansion Premises), and the 2022 Expansion Premises Commencement Date (with respect to the 2022 Expansion Premises), and (B) such measurement shall be conclusive as to the area of the Premises.”</w:t>
      </w:r>
    </w:p>
    <w:p>
      <w:pPr>
        <w:spacing w:after="0" w:line="182" w:lineRule="exact"/>
        <w:rPr>
          <w:sz w:val="20"/>
          <w:szCs w:val="20"/>
          <w:color w:val="auto"/>
        </w:rPr>
      </w:pPr>
    </w:p>
    <w:p>
      <w:pPr>
        <w:ind w:left="1300" w:right="20" w:hanging="320"/>
        <w:spacing w:after="0" w:line="282"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Premises (from and after 9000 VMR Effective Date)</w:t>
      </w:r>
      <w:r>
        <w:rPr>
          <w:rFonts w:ascii="Arial" w:cs="Arial" w:eastAsia="Arial" w:hAnsi="Arial"/>
          <w:sz w:val="18"/>
          <w:szCs w:val="18"/>
          <w:color w:val="auto"/>
        </w:rPr>
        <w:t>” shall be deleted in its entirety and replaced with the following:</w:t>
      </w:r>
    </w:p>
    <w:p>
      <w:pPr>
        <w:spacing w:after="0" w:line="162" w:lineRule="exact"/>
        <w:rPr>
          <w:sz w:val="20"/>
          <w:szCs w:val="20"/>
          <w:color w:val="auto"/>
        </w:rPr>
      </w:pPr>
    </w:p>
    <w:p>
      <w:pPr>
        <w:jc w:val="both"/>
        <w:ind w:left="19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Premises (from and after 9000 VMR Effective Date)</w:t>
      </w:r>
      <w:r>
        <w:rPr>
          <w:rFonts w:ascii="Arial" w:cs="Arial" w:eastAsia="Arial" w:hAnsi="Arial"/>
          <w:sz w:val="17"/>
          <w:szCs w:val="17"/>
          <w:color w:val="auto"/>
        </w:rPr>
        <w:t>: That portion of the Project, containing approximately 69,296 rentable square feet, which consists of the following: (a) approximately 28,521 rentable square feet (“</w:t>
      </w:r>
      <w:r>
        <w:rPr>
          <w:rFonts w:ascii="Arial" w:cs="Arial" w:eastAsia="Arial" w:hAnsi="Arial"/>
          <w:sz w:val="17"/>
          <w:szCs w:val="17"/>
          <w:b w:val="1"/>
          <w:bCs w:val="1"/>
          <w:color w:val="auto"/>
        </w:rPr>
        <w:t>8000 VMR Premises</w:t>
      </w:r>
      <w:r>
        <w:rPr>
          <w:rFonts w:ascii="Arial" w:cs="Arial" w:eastAsia="Arial" w:hAnsi="Arial"/>
          <w:sz w:val="17"/>
          <w:szCs w:val="17"/>
          <w:color w:val="auto"/>
        </w:rPr>
        <w:t xml:space="preserve">”) located in the 8000 VMR Building (as defined below) as shown as the hatched areas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to this Lease, (b) approximately 35,055 rentable square feet (“</w:t>
      </w:r>
      <w:r>
        <w:rPr>
          <w:rFonts w:ascii="Arial" w:cs="Arial" w:eastAsia="Arial" w:hAnsi="Arial"/>
          <w:sz w:val="17"/>
          <w:szCs w:val="17"/>
          <w:b w:val="1"/>
          <w:bCs w:val="1"/>
          <w:color w:val="auto"/>
        </w:rPr>
        <w:t>9000</w:t>
      </w:r>
      <w:r>
        <w:rPr>
          <w:rFonts w:ascii="Arial" w:cs="Arial" w:eastAsia="Arial" w:hAnsi="Arial"/>
          <w:sz w:val="17"/>
          <w:szCs w:val="17"/>
          <w:color w:val="auto"/>
        </w:rPr>
        <w:t xml:space="preserve"> </w:t>
      </w:r>
      <w:r>
        <w:rPr>
          <w:rFonts w:ascii="Arial" w:cs="Arial" w:eastAsia="Arial" w:hAnsi="Arial"/>
          <w:sz w:val="17"/>
          <w:szCs w:val="17"/>
          <w:b w:val="1"/>
          <w:bCs w:val="1"/>
          <w:color w:val="auto"/>
        </w:rPr>
        <w:t>VMR Premises</w:t>
      </w:r>
      <w:r>
        <w:rPr>
          <w:rFonts w:ascii="Arial" w:cs="Arial" w:eastAsia="Arial" w:hAnsi="Arial"/>
          <w:sz w:val="17"/>
          <w:szCs w:val="17"/>
          <w:color w:val="auto"/>
        </w:rPr>
        <w:t>”) located in the 9000 VMR Building (as defined below) as shown as the hatched areas on</w:t>
      </w:r>
      <w:r>
        <w:rPr>
          <w:rFonts w:ascii="Arial" w:cs="Arial" w:eastAsia="Arial" w:hAnsi="Arial"/>
          <w:sz w:val="17"/>
          <w:szCs w:val="17"/>
          <w:b w:val="1"/>
          <w:bCs w:val="1"/>
          <w:color w:val="auto"/>
        </w:rPr>
        <w:t xml:space="preserve"> Exhibits A-1 </w:t>
      </w:r>
      <w:r>
        <w:rPr>
          <w:rFonts w:ascii="Arial" w:cs="Arial" w:eastAsia="Arial" w:hAnsi="Arial"/>
          <w:sz w:val="17"/>
          <w:szCs w:val="17"/>
          <w:color w:val="auto"/>
        </w:rPr>
        <w:t>and</w:t>
      </w:r>
      <w:r>
        <w:rPr>
          <w:rFonts w:ascii="Arial" w:cs="Arial" w:eastAsia="Arial" w:hAnsi="Arial"/>
          <w:sz w:val="17"/>
          <w:szCs w:val="17"/>
          <w:b w:val="1"/>
          <w:bCs w:val="1"/>
          <w:color w:val="auto"/>
        </w:rPr>
        <w:t xml:space="preserve"> A-2 </w:t>
      </w:r>
      <w:r>
        <w:rPr>
          <w:rFonts w:ascii="Arial" w:cs="Arial" w:eastAsia="Arial" w:hAnsi="Arial"/>
          <w:sz w:val="17"/>
          <w:szCs w:val="17"/>
          <w:color w:val="auto"/>
        </w:rPr>
        <w:t>attached to this Lease, and (c) approximately 5,720 rentable square feet (“</w:t>
      </w:r>
      <w:r>
        <w:rPr>
          <w:rFonts w:ascii="Arial" w:cs="Arial" w:eastAsia="Arial" w:hAnsi="Arial"/>
          <w:sz w:val="17"/>
          <w:szCs w:val="17"/>
          <w:b w:val="1"/>
          <w:bCs w:val="1"/>
          <w:color w:val="auto"/>
        </w:rPr>
        <w:t>2022 Expansion Premises</w:t>
      </w:r>
      <w:r>
        <w:rPr>
          <w:rFonts w:ascii="Arial" w:cs="Arial" w:eastAsia="Arial" w:hAnsi="Arial"/>
          <w:sz w:val="17"/>
          <w:szCs w:val="17"/>
          <w:color w:val="auto"/>
        </w:rPr>
        <w:t>”) located in the premises known as Suite 130 in the 8000 VMR Building as shown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hatched area on </w:t>
      </w:r>
      <w:r>
        <w:rPr>
          <w:rFonts w:ascii="Arial" w:cs="Arial" w:eastAsia="Arial" w:hAnsi="Arial"/>
          <w:sz w:val="17"/>
          <w:szCs w:val="17"/>
          <w:b w:val="1"/>
          <w:bCs w:val="1"/>
          <w:color w:val="auto"/>
        </w:rPr>
        <w:t>Exhibit A-3</w:t>
      </w:r>
      <w:r>
        <w:rPr>
          <w:rFonts w:ascii="Arial" w:cs="Arial" w:eastAsia="Arial" w:hAnsi="Arial"/>
          <w:sz w:val="17"/>
          <w:szCs w:val="17"/>
          <w:color w:val="auto"/>
        </w:rPr>
        <w:t xml:space="preserve"> attached to this Lease. Ewing Cole, Landlord’s architect, has measured the area of the Premises pursuant to the BOMA 2017 for Office Buildings: Standard Methods of Measurement as adopted by the Building Owners and Managers Association International (ANSI/BOMA Z65.1-2017). Tenant acknowledges receipt of such measurement and confirms that (i) Tenant has had an opportunity to confirm such measurement with an architect of its selection before the Commencement Date (with respect to the 8000 VMR Premises and the 9000 VMR Premises) and the 2022 Expansion Premises Commencement Date (with respect to the 2022 Expansion Premises), and (ii) such measurement shall be conclusive as to the area of the Premises.”</w:t>
      </w:r>
    </w:p>
    <w:p>
      <w:pPr>
        <w:spacing w:after="0" w:line="182" w:lineRule="exact"/>
        <w:rPr>
          <w:sz w:val="20"/>
          <w:szCs w:val="20"/>
          <w:color w:val="auto"/>
        </w:rPr>
      </w:pPr>
    </w:p>
    <w:p>
      <w:pPr>
        <w:ind w:left="1300" w:right="20" w:hanging="320"/>
        <w:spacing w:after="0" w:line="282"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Rentable Area of Premises (before 9000 VMR Effective Date)</w:t>
      </w:r>
      <w:r>
        <w:rPr>
          <w:rFonts w:ascii="Arial" w:cs="Arial" w:eastAsia="Arial" w:hAnsi="Arial"/>
          <w:sz w:val="18"/>
          <w:szCs w:val="18"/>
          <w:color w:val="auto"/>
        </w:rPr>
        <w:t>” shall be deleted in its entirety and replaced with the following:</w:t>
      </w:r>
    </w:p>
    <w:p>
      <w:pPr>
        <w:spacing w:after="0" w:line="162" w:lineRule="exact"/>
        <w:rPr>
          <w:sz w:val="20"/>
          <w:szCs w:val="20"/>
          <w:color w:val="auto"/>
        </w:rPr>
      </w:pPr>
    </w:p>
    <w:p>
      <w:pPr>
        <w:ind w:left="1960" w:right="20"/>
        <w:spacing w:after="0" w:line="282" w:lineRule="auto"/>
        <w:rPr>
          <w:sz w:val="20"/>
          <w:szCs w:val="20"/>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Rentable Area of Premises (before 2022 Expansion Premises Commencement Date)</w:t>
      </w:r>
      <w:r>
        <w:rPr>
          <w:rFonts w:ascii="Arial" w:cs="Arial" w:eastAsia="Arial" w:hAnsi="Arial"/>
          <w:sz w:val="18"/>
          <w:szCs w:val="18"/>
          <w:color w:val="auto"/>
        </w:rPr>
        <w:t>” mean approximately 28,521 rentable square feet.</w:t>
      </w:r>
    </w:p>
    <w:p>
      <w:pPr>
        <w:spacing w:after="0" w:line="162" w:lineRule="exact"/>
        <w:rPr>
          <w:sz w:val="20"/>
          <w:szCs w:val="20"/>
          <w:color w:val="auto"/>
        </w:rPr>
      </w:pPr>
    </w:p>
    <w:p>
      <w:pPr>
        <w:ind w:left="1960"/>
        <w:spacing w:after="0" w:line="347" w:lineRule="auto"/>
        <w:rPr>
          <w:sz w:val="20"/>
          <w:szCs w:val="20"/>
          <w:color w:val="auto"/>
        </w:rPr>
      </w:pPr>
      <w:r>
        <w:rPr>
          <w:rFonts w:ascii="Arial" w:cs="Arial" w:eastAsia="Arial" w:hAnsi="Arial"/>
          <w:sz w:val="16"/>
          <w:szCs w:val="16"/>
          <w:color w:val="auto"/>
        </w:rPr>
        <w:t>The defined term “</w:t>
      </w:r>
      <w:r>
        <w:rPr>
          <w:rFonts w:ascii="Arial" w:cs="Arial" w:eastAsia="Arial" w:hAnsi="Arial"/>
          <w:sz w:val="16"/>
          <w:szCs w:val="16"/>
          <w:b w:val="1"/>
          <w:bCs w:val="1"/>
          <w:color w:val="auto"/>
        </w:rPr>
        <w:t>Rentable Area of Premises (from and after 2022 Expansion Premises Commencement</w:t>
      </w:r>
      <w:r>
        <w:rPr>
          <w:rFonts w:ascii="Arial" w:cs="Arial" w:eastAsia="Arial" w:hAnsi="Arial"/>
          <w:sz w:val="16"/>
          <w:szCs w:val="16"/>
          <w:color w:val="auto"/>
        </w:rPr>
        <w:t xml:space="preserve"> </w:t>
      </w:r>
      <w:r>
        <w:rPr>
          <w:rFonts w:ascii="Arial" w:cs="Arial" w:eastAsia="Arial" w:hAnsi="Arial"/>
          <w:sz w:val="16"/>
          <w:szCs w:val="16"/>
          <w:b w:val="1"/>
          <w:bCs w:val="1"/>
          <w:color w:val="auto"/>
        </w:rPr>
        <w:t>Date but before 9000 VMR Effective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approximately 34,241 rentable square feet.</w:t>
      </w:r>
    </w:p>
    <w:p>
      <w:pPr>
        <w:spacing w:after="0" w:line="116" w:lineRule="exact"/>
        <w:rPr>
          <w:sz w:val="20"/>
          <w:szCs w:val="20"/>
          <w:color w:val="auto"/>
        </w:rPr>
      </w:pPr>
    </w:p>
    <w:p>
      <w:pPr>
        <w:ind w:left="1300" w:hanging="320"/>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Rentable Area of Premises (from and after 9000 VMR Effective</w:t>
      </w:r>
    </w:p>
    <w:p>
      <w:pPr>
        <w:spacing w:after="0" w:line="200" w:lineRule="exact"/>
        <w:rPr>
          <w:sz w:val="20"/>
          <w:szCs w:val="20"/>
          <w:color w:val="auto"/>
        </w:rPr>
      </w:pPr>
    </w:p>
    <w:p>
      <w:pPr>
        <w:spacing w:after="0" w:line="272"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- 4</w:t>
      </w:r>
    </w:p>
    <w:p>
      <w:pPr>
        <w:spacing w:after="0" w:line="468" w:lineRule="exact"/>
        <w:rPr>
          <w:sz w:val="20"/>
          <w:szCs w:val="20"/>
          <w:color w:val="auto"/>
        </w:rPr>
      </w:pPr>
    </w:p>
    <w:p>
      <w:pPr>
        <w:sectPr>
          <w:pgSz w:w="11900" w:h="16838" w:orient="portrait"/>
          <w:cols w:equalWidth="0" w:num="2">
            <w:col w:w="8580" w:space="720"/>
            <w:col w:w="620"/>
          </w:cols>
          <w:pgMar w:left="980" w:top="661" w:right="999" w:bottom="1440" w:gutter="0" w:footer="0" w:header="0"/>
        </w:sectPr>
      </w:pPr>
    </w:p>
    <w:p>
      <w:pPr>
        <w:spacing w:after="0" w:line="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approximately 69,296 rentable square feet.</w:t>
      </w:r>
    </w:p>
    <w:p>
      <w:pPr>
        <w:sectPr>
          <w:pgSz w:w="11900" w:h="16838" w:orient="portrait"/>
          <w:cols w:equalWidth="0" w:num="1">
            <w:col w:w="9920"/>
          </w:cols>
          <w:pgMar w:left="980" w:top="661" w:right="999" w:bottom="1440" w:gutter="0" w:footer="0" w:header="0"/>
          <w:type w:val="continuous"/>
        </w:sectPr>
      </w:pPr>
    </w:p>
    <w:p>
      <w:pPr>
        <w:spacing w:after="0" w:line="248" w:lineRule="exact"/>
        <w:rPr>
          <w:sz w:val="20"/>
          <w:szCs w:val="20"/>
          <w:color w:val="auto"/>
        </w:rPr>
      </w:pPr>
    </w:p>
    <w:p>
      <w:pPr>
        <w:ind w:left="1300" w:hanging="320"/>
        <w:spacing w:after="0"/>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defined term “</w:t>
      </w:r>
      <w:r>
        <w:rPr>
          <w:rFonts w:ascii="Arial" w:cs="Arial" w:eastAsia="Arial" w:hAnsi="Arial"/>
          <w:sz w:val="16"/>
          <w:szCs w:val="16"/>
          <w:b w:val="1"/>
          <w:bCs w:val="1"/>
          <w:color w:val="auto"/>
        </w:rPr>
        <w:t>Base Rent (Commencement Date)</w:t>
      </w:r>
      <w:r>
        <w:rPr>
          <w:rFonts w:ascii="Arial" w:cs="Arial" w:eastAsia="Arial" w:hAnsi="Arial"/>
          <w:sz w:val="16"/>
          <w:szCs w:val="16"/>
          <w:color w:val="auto"/>
        </w:rPr>
        <w:t>” shall be deleted in its entirety and replaced with the following:</w:t>
      </w:r>
    </w:p>
    <w:p>
      <w:pPr>
        <w:spacing w:after="0" w:line="248" w:lineRule="exact"/>
        <w:rPr>
          <w:sz w:val="20"/>
          <w:szCs w:val="20"/>
          <w:color w:val="auto"/>
        </w:rPr>
      </w:pPr>
    </w:p>
    <w:p>
      <w:pPr>
        <w:jc w:val="both"/>
        <w:ind w:left="1960"/>
        <w:spacing w:after="0" w:line="289" w:lineRule="auto"/>
        <w:rPr>
          <w:sz w:val="20"/>
          <w:szCs w:val="20"/>
          <w:color w:val="auto"/>
        </w:rPr>
      </w:pPr>
      <w:r>
        <w:rPr>
          <w:rFonts w:ascii="Arial" w:cs="Arial" w:eastAsia="Arial" w:hAnsi="Arial"/>
          <w:sz w:val="17"/>
          <w:szCs w:val="17"/>
          <w:color w:val="auto"/>
        </w:rPr>
        <w:t>The defined term “</w:t>
      </w:r>
      <w:r>
        <w:rPr>
          <w:rFonts w:ascii="Arial" w:cs="Arial" w:eastAsia="Arial" w:hAnsi="Arial"/>
          <w:sz w:val="17"/>
          <w:szCs w:val="17"/>
          <w:b w:val="1"/>
          <w:bCs w:val="1"/>
          <w:color w:val="auto"/>
        </w:rPr>
        <w:t>Base Rent (before 2022 Expansion Premises Commencement Date)</w:t>
      </w:r>
      <w:r>
        <w:rPr>
          <w:rFonts w:ascii="Arial" w:cs="Arial" w:eastAsia="Arial" w:hAnsi="Arial"/>
          <w:sz w:val="17"/>
          <w:szCs w:val="17"/>
          <w:color w:val="auto"/>
        </w:rPr>
        <w:t>” shall mean (i) as of December 1, 2021, $[***] per month, with respect to the Existing Premises, and (ii) as of the Expansion Premises Commencement Date, $[***] per month, with respect to the Expansion Premises.</w:t>
      </w:r>
    </w:p>
    <w:p>
      <w:pPr>
        <w:spacing w:after="0" w:line="158" w:lineRule="exact"/>
        <w:rPr>
          <w:sz w:val="20"/>
          <w:szCs w:val="20"/>
          <w:color w:val="auto"/>
        </w:rPr>
      </w:pPr>
    </w:p>
    <w:p>
      <w:pPr>
        <w:jc w:val="both"/>
        <w:ind w:left="1960"/>
        <w:spacing w:after="0" w:line="272" w:lineRule="auto"/>
        <w:rPr>
          <w:sz w:val="20"/>
          <w:szCs w:val="20"/>
          <w:color w:val="auto"/>
        </w:rPr>
      </w:pPr>
      <w:r>
        <w:rPr>
          <w:rFonts w:ascii="Arial" w:cs="Arial" w:eastAsia="Arial" w:hAnsi="Arial"/>
          <w:sz w:val="17"/>
          <w:szCs w:val="17"/>
          <w:color w:val="auto"/>
        </w:rPr>
        <w:t>The defined term “</w:t>
      </w:r>
      <w:r>
        <w:rPr>
          <w:rFonts w:ascii="Arial" w:cs="Arial" w:eastAsia="Arial" w:hAnsi="Arial"/>
          <w:sz w:val="17"/>
          <w:szCs w:val="17"/>
          <w:b w:val="1"/>
          <w:bCs w:val="1"/>
          <w:color w:val="auto"/>
        </w:rPr>
        <w:t>Base Rent (from and after 2022 Expansion Premises Commencement Date)</w:t>
      </w:r>
      <w:r>
        <w:rPr>
          <w:rFonts w:ascii="Arial" w:cs="Arial" w:eastAsia="Arial" w:hAnsi="Arial"/>
          <w:sz w:val="17"/>
          <w:szCs w:val="17"/>
          <w:color w:val="auto"/>
        </w:rPr>
        <w:t>” shall mean (i) as of December 1, 2021, $[***] per month, with respect to the Existing Premises, (ii) as of the Expansion Premises Commencement Date, $[***]per month, with respect to the Expansion Premises, and</w:t>
      </w:r>
    </w:p>
    <w:p>
      <w:pPr>
        <w:spacing w:after="0" w:line="2" w:lineRule="exact"/>
        <w:rPr>
          <w:sz w:val="20"/>
          <w:szCs w:val="20"/>
          <w:color w:val="auto"/>
        </w:rPr>
      </w:pPr>
    </w:p>
    <w:p>
      <w:pPr>
        <w:ind w:left="1960" w:hanging="8"/>
        <w:spacing w:after="0" w:line="260" w:lineRule="auto"/>
        <w:tabs>
          <w:tab w:leader="none" w:pos="2293" w:val="left"/>
        </w:tabs>
        <w:numPr>
          <w:ilvl w:val="1"/>
          <w:numId w:val="94"/>
        </w:numPr>
        <w:rPr>
          <w:rFonts w:ascii="Arial" w:cs="Arial" w:eastAsia="Arial" w:hAnsi="Arial"/>
          <w:sz w:val="18"/>
          <w:szCs w:val="18"/>
          <w:color w:val="auto"/>
        </w:rPr>
      </w:pPr>
      <w:r>
        <w:rPr>
          <w:rFonts w:ascii="Arial" w:cs="Arial" w:eastAsia="Arial" w:hAnsi="Arial"/>
          <w:sz w:val="18"/>
          <w:szCs w:val="18"/>
          <w:color w:val="auto"/>
        </w:rPr>
        <w:t>as of the 2022 Expansion Premises Commencement Date, $[***], per month, with respect to the 2022 Expansion Premises.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Base Rent (effective as of September 1, 2025)</w:t>
      </w:r>
      <w:r>
        <w:rPr>
          <w:rFonts w:ascii="Arial" w:cs="Arial" w:eastAsia="Arial" w:hAnsi="Arial"/>
          <w:sz w:val="18"/>
          <w:szCs w:val="18"/>
          <w:color w:val="auto"/>
        </w:rPr>
        <w:t>” shall mean the following:</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per month (8000 VMR Premises)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per month (9000 VMR Premises)</w:t>
      </w:r>
      <w:r>
        <w:rPr>
          <w:rFonts w:ascii="Arial" w:cs="Arial" w:eastAsia="Arial" w:hAnsi="Arial"/>
          <w:sz w:val="18"/>
          <w:szCs w:val="18"/>
          <w:b w:val="1"/>
          <w:bCs w:val="1"/>
          <w:color w:val="auto"/>
        </w:rPr>
        <w: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per month (2022 Expansion Premises)</w:t>
      </w:r>
    </w:p>
    <w:p>
      <w:pPr>
        <w:spacing w:after="0" w:line="211" w:lineRule="exact"/>
        <w:rPr>
          <w:sz w:val="20"/>
          <w:szCs w:val="20"/>
          <w:color w:val="auto"/>
        </w:rPr>
      </w:pPr>
    </w:p>
    <w:p>
      <w:pPr>
        <w:jc w:val="both"/>
        <w:ind w:left="1960" w:hanging="8"/>
        <w:spacing w:after="0" w:line="257" w:lineRule="auto"/>
        <w:tabs>
          <w:tab w:leader="none" w:pos="2149"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If the 9000 VMR Effective Date occurs before September 1, 2025, the Base Rent for the 9000 VMR Premises shall be an amount (based on an annual per rentable square foot basis) that is then being paid by Tenant for the 8000 VMR Premises as of the 9000 VMR Effective Date, and the Base Rent for the 9000 VMR Premises shall be increased in the same manner and amount, and at the same time, as the Base Rent for the 8000 VMR Premises.</w:t>
      </w:r>
    </w:p>
    <w:p>
      <w:pPr>
        <w:spacing w:after="0" w:line="183" w:lineRule="exact"/>
        <w:rPr>
          <w:rFonts w:ascii="Arial" w:cs="Arial" w:eastAsia="Arial" w:hAnsi="Arial"/>
          <w:sz w:val="18"/>
          <w:szCs w:val="18"/>
          <w:b w:val="1"/>
          <w:bCs w:val="1"/>
          <w:color w:val="auto"/>
        </w:rPr>
      </w:pPr>
    </w:p>
    <w:p>
      <w:pPr>
        <w:ind w:left="1300" w:hanging="320"/>
        <w:spacing w:after="0" w:line="282"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Tenant’s Share of Operating Expenses (before 9000 VMR Effective Date)</w:t>
      </w:r>
      <w:r>
        <w:rPr>
          <w:rFonts w:ascii="Arial" w:cs="Arial" w:eastAsia="Arial" w:hAnsi="Arial"/>
          <w:sz w:val="18"/>
          <w:szCs w:val="18"/>
          <w:color w:val="auto"/>
        </w:rPr>
        <w:t>” shall be deleted in its entirety and replaced with the following:</w:t>
      </w:r>
    </w:p>
    <w:p>
      <w:pPr>
        <w:spacing w:after="0" w:line="162" w:lineRule="exact"/>
        <w:rPr>
          <w:sz w:val="20"/>
          <w:szCs w:val="20"/>
          <w:color w:val="auto"/>
        </w:rPr>
      </w:pPr>
    </w:p>
    <w:p>
      <w:pPr>
        <w:jc w:val="both"/>
        <w:ind w:left="1960"/>
        <w:spacing w:after="0" w:line="258" w:lineRule="auto"/>
        <w:rPr>
          <w:sz w:val="20"/>
          <w:szCs w:val="20"/>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Tenant’s Share of Operating Expenses (before 2022 Expansion Premises</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mean (i) with respect to the Existing Premises, [***] %, and (ii)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Expansion Premises, [***] %. From the Expansion Premises Commencement Date to the day before the 2022 Expansion Premises Commencement Date, the aggregate amount of Tenant’s Share of Operating Expenses shall be [***] %.</w:t>
      </w:r>
    </w:p>
    <w:p>
      <w:pPr>
        <w:spacing w:after="0" w:line="183" w:lineRule="exact"/>
        <w:rPr>
          <w:sz w:val="20"/>
          <w:szCs w:val="20"/>
          <w:color w:val="auto"/>
        </w:rPr>
      </w:pPr>
    </w:p>
    <w:p>
      <w:pPr>
        <w:jc w:val="both"/>
        <w:ind w:left="1960"/>
        <w:spacing w:after="0" w:line="298" w:lineRule="auto"/>
        <w:rPr>
          <w:sz w:val="20"/>
          <w:szCs w:val="20"/>
          <w:color w:val="auto"/>
        </w:rPr>
      </w:pPr>
      <w:r>
        <w:rPr>
          <w:rFonts w:ascii="Arial" w:cs="Arial" w:eastAsia="Arial" w:hAnsi="Arial"/>
          <w:sz w:val="16"/>
          <w:szCs w:val="16"/>
          <w:color w:val="auto"/>
        </w:rPr>
        <w:t>The defined term “</w:t>
      </w:r>
      <w:r>
        <w:rPr>
          <w:rFonts w:ascii="Arial" w:cs="Arial" w:eastAsia="Arial" w:hAnsi="Arial"/>
          <w:sz w:val="16"/>
          <w:szCs w:val="16"/>
          <w:b w:val="1"/>
          <w:bCs w:val="1"/>
          <w:color w:val="auto"/>
        </w:rPr>
        <w:t>Tenant’s Share of Operating Expenses (from and after 2022 Expansion Premises</w:t>
      </w:r>
      <w:r>
        <w:rPr>
          <w:rFonts w:ascii="Arial" w:cs="Arial" w:eastAsia="Arial" w:hAnsi="Arial"/>
          <w:sz w:val="16"/>
          <w:szCs w:val="16"/>
          <w:color w:val="auto"/>
        </w:rPr>
        <w:t xml:space="preserve"> </w:t>
      </w:r>
      <w:r>
        <w:rPr>
          <w:rFonts w:ascii="Arial" w:cs="Arial" w:eastAsia="Arial" w:hAnsi="Arial"/>
          <w:sz w:val="16"/>
          <w:szCs w:val="16"/>
          <w:b w:val="1"/>
          <w:bCs w:val="1"/>
          <w:color w:val="auto"/>
        </w:rPr>
        <w:t>Commencement Date but before 9000 VMR Effective Date)</w:t>
      </w:r>
      <w:r>
        <w:rPr>
          <w:rFonts w:ascii="Arial" w:cs="Arial" w:eastAsia="Arial" w:hAnsi="Arial"/>
          <w:sz w:val="16"/>
          <w:szCs w:val="16"/>
          <w:color w:val="auto"/>
        </w:rPr>
        <w:t>” shall mean (i) with respect to the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 %, (ii) with respect to the Expansion Premises, [***]%, and (iii) with respect to the 2022 Expansion Premises, [***]%. From the 2022 Expansion Premises Commencement Date to the day before the 9000 VMR Effective Date, the aggregate amount of Tenant’s Share of Operating Expenses shall be [***] %.</w:t>
      </w:r>
    </w:p>
    <w:p>
      <w:pPr>
        <w:spacing w:after="0" w:line="154" w:lineRule="exact"/>
        <w:rPr>
          <w:sz w:val="20"/>
          <w:szCs w:val="20"/>
          <w:color w:val="auto"/>
        </w:rPr>
      </w:pPr>
    </w:p>
    <w:p>
      <w:pPr>
        <w:ind w:left="1300" w:right="20" w:hanging="320"/>
        <w:spacing w:after="0" w:line="282"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Tenant’s Share of Operating Expenses (from and after 9000 VMR Effective Date)</w:t>
      </w:r>
      <w:r>
        <w:rPr>
          <w:rFonts w:ascii="Arial" w:cs="Arial" w:eastAsia="Arial" w:hAnsi="Arial"/>
          <w:sz w:val="18"/>
          <w:szCs w:val="18"/>
          <w:color w:val="auto"/>
        </w:rPr>
        <w:t>” shall mean [***] %.</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- 5</w:t>
      </w:r>
    </w:p>
    <w:p>
      <w:pPr>
        <w:spacing w:after="0" w:line="468" w:lineRule="exact"/>
        <w:rPr>
          <w:sz w:val="20"/>
          <w:szCs w:val="20"/>
          <w:color w:val="auto"/>
        </w:rPr>
      </w:pPr>
    </w:p>
    <w:p>
      <w:pPr>
        <w:sectPr>
          <w:pgSz w:w="11900" w:h="16838" w:orient="portrait"/>
          <w:cols w:equalWidth="0" w:num="2">
            <w:col w:w="8580" w:space="720"/>
            <w:col w:w="620"/>
          </w:cols>
          <w:pgMar w:left="980" w:top="661" w:right="999" w:bottom="1440" w:gutter="0" w:footer="0" w:header="0"/>
        </w:sectPr>
      </w:pPr>
    </w:p>
    <w:p>
      <w:pPr>
        <w:spacing w:after="0" w:line="7" w:lineRule="exact"/>
        <w:rPr>
          <w:sz w:val="20"/>
          <w:szCs w:val="20"/>
          <w:color w:val="auto"/>
        </w:rPr>
      </w:pPr>
    </w:p>
    <w:p>
      <w:pPr>
        <w:jc w:val="both"/>
        <w:ind w:firstLine="656"/>
        <w:spacing w:after="0" w:line="291" w:lineRule="auto"/>
        <w:tabs>
          <w:tab w:leader="none" w:pos="1296"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Delivery of 2022 Expansion Premises</w:t>
      </w:r>
      <w:r>
        <w:rPr>
          <w:rFonts w:ascii="Arial" w:cs="Arial" w:eastAsia="Arial" w:hAnsi="Arial"/>
          <w:sz w:val="16"/>
          <w:szCs w:val="16"/>
          <w:color w:val="auto"/>
        </w:rPr>
        <w:t>. Landlord shall use reasonable efforts to deliver the 2022 Expansion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Tenant on July 1, 2022 in their vacant, “as is” (but broom clean) condition as more fully described in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below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 The date on which Landlord Delivers the 2022 Expansion Premises to Tenant is referred to as the “</w:t>
      </w:r>
      <w:r>
        <w:rPr>
          <w:rFonts w:ascii="Arial" w:cs="Arial" w:eastAsia="Arial" w:hAnsi="Arial"/>
          <w:sz w:val="16"/>
          <w:szCs w:val="16"/>
          <w:b w:val="1"/>
          <w:bCs w:val="1"/>
          <w:color w:val="auto"/>
        </w:rPr>
        <w:t>2022 Expansion</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 Commencement Date</w:t>
      </w:r>
      <w:r>
        <w:rPr>
          <w:rFonts w:ascii="Arial" w:cs="Arial" w:eastAsia="Arial" w:hAnsi="Arial"/>
          <w:sz w:val="16"/>
          <w:szCs w:val="16"/>
          <w:color w:val="auto"/>
        </w:rPr>
        <w:t>.” Upon request of Landlord, Tenant shall execute and deliver a written acknowledgement of the 2022</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Expansion Premises Commencement Date when it is established in the 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Tenant’s failure to execute and deliver such acknowledgement shall not affect Landlord’s rights under this Third Amendment or the Lease. If Landlord fails to Deliver timely the 2022 Expansion Premises, Landlord shall not be liable to Tenant for any loss or damage resulting therefrom, and this Third Amendment and the Lease with respect to the 2022 Expansion Premises shall not be void or voidable.</w:t>
      </w:r>
    </w:p>
    <w:p>
      <w:pPr>
        <w:spacing w:after="0" w:line="163" w:lineRule="exact"/>
        <w:rPr>
          <w:rFonts w:ascii="Arial" w:cs="Arial" w:eastAsia="Arial" w:hAnsi="Arial"/>
          <w:sz w:val="16"/>
          <w:szCs w:val="16"/>
          <w:color w:val="auto"/>
        </w:rPr>
      </w:pPr>
    </w:p>
    <w:p>
      <w:pPr>
        <w:jc w:val="both"/>
        <w:ind w:left="1300" w:hanging="320"/>
        <w:spacing w:after="0" w:line="254"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Except as set forth in this Third Amendment, if applicable: (i) Landlord shall, at its expense, Deliver the 2022 Expansion Premises to Tenant with the interior of the 2022 Expansion Premises demolished to the exterior walls leaving in place only the main HVAC trunk lines and the 2 rooftop HVAC units serving the 2022 Expansion Premises (collectively, “</w:t>
      </w:r>
      <w:r>
        <w:rPr>
          <w:rFonts w:ascii="Arial" w:cs="Arial" w:eastAsia="Arial" w:hAnsi="Arial"/>
          <w:sz w:val="18"/>
          <w:szCs w:val="18"/>
          <w:b w:val="1"/>
          <w:bCs w:val="1"/>
          <w:color w:val="auto"/>
        </w:rPr>
        <w:t>Demolition Work</w:t>
      </w:r>
      <w:r>
        <w:rPr>
          <w:rFonts w:ascii="Arial" w:cs="Arial" w:eastAsia="Arial" w:hAnsi="Arial"/>
          <w:sz w:val="18"/>
          <w:szCs w:val="18"/>
          <w:color w:val="auto"/>
        </w:rPr>
        <w:t>”), (ii) Tenant shall accept the 2022 Expansion Premises in such condition as of the 2022 Expansion Premises Commencement Date, (iii) Landlord shall have no obligation for any defects in the 2022 Expansion Premises, and (iv) Tenant’s taking possession of the 2022 Expansion Premises shall be conclusive evidence that Tenant accepts the 2022 Expansion Premises and that the 2022 Expansion Premises were in good condition at the time possession was taken.</w:t>
      </w:r>
    </w:p>
    <w:p>
      <w:pPr>
        <w:spacing w:after="0" w:line="191"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Neither Landlord nor any of its agents has made any representation or warranty with respect to the condition of all or any portion of the 2022 Expansion Premises, and/or the suitability of the 2022 Expansion Premises for the conduct of Tenant’s business, and Tenant waives any implied warranty that the 2022 Expansion Premises are suitable for the Permitted Use. Tenant shall use the 2022 Expansion Premises only for the Permitted Use under the Lease in compliance with the provisions of Section 7 of the Lease.</w:t>
      </w:r>
    </w:p>
    <w:p>
      <w:pPr>
        <w:spacing w:after="0" w:line="18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Except for Landlord’s performance of the Demolition Work and as set forth in this Section 5, Landlord shall have no obligation to perform any work at the Building in connection with Tenant’s occupancy of the 2022 Expansion Premises or obtain any permits, approvals, or entitlements related to Tenant’s specific use of the 2022 Expansion Premises or Tenant’s business operations therein.</w:t>
      </w:r>
    </w:p>
    <w:p>
      <w:pPr>
        <w:spacing w:after="0" w:line="18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As of the Effective Date, Landlord is leasing the 2022 Expansion Premises to [***] LLC, a Maryland limited liability company (“</w:t>
      </w:r>
      <w:r>
        <w:rPr>
          <w:rFonts w:ascii="Arial" w:cs="Arial" w:eastAsia="Arial" w:hAnsi="Arial"/>
          <w:sz w:val="17"/>
          <w:szCs w:val="17"/>
          <w:b w:val="1"/>
          <w:bCs w:val="1"/>
          <w:color w:val="auto"/>
        </w:rPr>
        <w:t>[***]</w:t>
      </w:r>
      <w:r>
        <w:rPr>
          <w:rFonts w:ascii="Arial" w:cs="Arial" w:eastAsia="Arial" w:hAnsi="Arial"/>
          <w:sz w:val="17"/>
          <w:szCs w:val="17"/>
          <w:color w:val="auto"/>
        </w:rPr>
        <w:t>”), and the lease agreement (“</w:t>
      </w:r>
      <w:r>
        <w:rPr>
          <w:rFonts w:ascii="Arial" w:cs="Arial" w:eastAsia="Arial" w:hAnsi="Arial"/>
          <w:sz w:val="17"/>
          <w:szCs w:val="17"/>
          <w:b w:val="1"/>
          <w:bCs w:val="1"/>
          <w:color w:val="auto"/>
        </w:rPr>
        <w:t>[***] Lease</w:t>
      </w:r>
      <w:r>
        <w:rPr>
          <w:rFonts w:ascii="Arial" w:cs="Arial" w:eastAsia="Arial" w:hAnsi="Arial"/>
          <w:sz w:val="17"/>
          <w:szCs w:val="17"/>
          <w:color w:val="auto"/>
        </w:rPr>
        <w:t>”) between Landlord and [***] is scheduled to expire on October 31, 2023. This Third Amendment is contingent on Landlord and [***] agreeing in writing to terminate the [***] Lease and [***] vacating the 2022 Expansion Premises on or before May 31, 2022 (“</w:t>
      </w:r>
      <w:r>
        <w:rPr>
          <w:rFonts w:ascii="Arial" w:cs="Arial" w:eastAsia="Arial" w:hAnsi="Arial"/>
          <w:sz w:val="17"/>
          <w:szCs w:val="17"/>
          <w:b w:val="1"/>
          <w:bCs w:val="1"/>
          <w:color w:val="auto"/>
        </w:rPr>
        <w:t>Termination Agreement</w:t>
      </w:r>
      <w:r>
        <w:rPr>
          <w:rFonts w:ascii="Arial" w:cs="Arial" w:eastAsia="Arial" w:hAnsi="Arial"/>
          <w:sz w:val="17"/>
          <w:szCs w:val="17"/>
          <w:color w:val="auto"/>
        </w:rPr>
        <w:t>”), which Termination Agreement shall be on terms and conditions acceptable to Landlord in its sole and absolute discretion (“</w:t>
      </w:r>
      <w:r>
        <w:rPr>
          <w:rFonts w:ascii="Arial" w:cs="Arial" w:eastAsia="Arial" w:hAnsi="Arial"/>
          <w:sz w:val="17"/>
          <w:szCs w:val="17"/>
          <w:b w:val="1"/>
          <w:bCs w:val="1"/>
          <w:color w:val="auto"/>
        </w:rPr>
        <w:t>Contingency</w:t>
      </w:r>
      <w:r>
        <w:rPr>
          <w:rFonts w:ascii="Arial" w:cs="Arial" w:eastAsia="Arial" w:hAnsi="Arial"/>
          <w:sz w:val="17"/>
          <w:szCs w:val="17"/>
          <w:color w:val="auto"/>
        </w:rPr>
        <w:t>”). Landlord will notify Tenant promptly of the execution and delivery of the Termination Agreement. Tenant acknowledges that Landlord makes no promise, guaranty, or assurance that it will be able to enter into the Termination Agreement and, as a result, Landlord makes no guaranty, representation, or assurance that Landlord will be able to Deliver the 2022 Expansion Premises to Tenant by the 2022 Expansion Premises Commencement Date and that Landlord shall have no obligation or duty to seek the vacation or removal of [***] from the 2022 Expansion Premises. If Landlord is unable to</w:t>
      </w:r>
    </w:p>
    <w:p>
      <w:pPr>
        <w:spacing w:after="0" w:line="200" w:lineRule="exact"/>
        <w:rPr>
          <w:sz w:val="20"/>
          <w:szCs w:val="20"/>
          <w:color w:val="auto"/>
        </w:rPr>
      </w:pPr>
    </w:p>
    <w:p>
      <w:pPr>
        <w:spacing w:after="0" w:line="225"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- 6</w:t>
      </w:r>
    </w:p>
    <w:p>
      <w:pPr>
        <w:spacing w:after="0" w:line="468" w:lineRule="exact"/>
        <w:rPr>
          <w:sz w:val="20"/>
          <w:szCs w:val="20"/>
          <w:color w:val="auto"/>
        </w:rPr>
      </w:pPr>
    </w:p>
    <w:p>
      <w:pPr>
        <w:sectPr>
          <w:pgSz w:w="11900" w:h="16838" w:orient="portrait"/>
          <w:cols w:equalWidth="0" w:num="2">
            <w:col w:w="8580" w:space="720"/>
            <w:col w:w="620"/>
          </w:cols>
          <w:pgMar w:left="980" w:top="661" w:right="999" w:bottom="1440" w:gutter="0" w:footer="0" w:header="0"/>
        </w:sectPr>
      </w:pPr>
    </w:p>
    <w:p>
      <w:pPr>
        <w:spacing w:after="0" w:line="11"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Deliver the 2022 Expansion Premises on or before August 31, 2022, Tenant shall have the right to terminate this Third Amendment by sending written notice thereof to Landlord by no later than September 15, 2022, whereupon neither Landlord nor Tenant shall have any further rights, duties, or obligations under this Third Amendment. If Tenant does not elect to so terminate this Third Amendment by September 15, 2022, such right to terminate this Third Amendment shall be waived.</w:t>
      </w:r>
    </w:p>
    <w:p>
      <w:pPr>
        <w:spacing w:after="0" w:line="188" w:lineRule="exact"/>
        <w:rPr>
          <w:sz w:val="20"/>
          <w:szCs w:val="20"/>
          <w:color w:val="auto"/>
        </w:rPr>
      </w:pPr>
    </w:p>
    <w:p>
      <w:pPr>
        <w:jc w:val="both"/>
        <w:ind w:left="1300" w:hanging="320"/>
        <w:spacing w:after="0" w:line="263"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Tenant, at its sole expense, shall make any alterations or modifications to the interior of the 2022 Expansion Premises that are required by Legal Requirements (including, without limitation, compliance of the 2022 Expansion Premises with the ADA).</w:t>
      </w:r>
    </w:p>
    <w:p>
      <w:pPr>
        <w:spacing w:after="0" w:line="183" w:lineRule="exact"/>
        <w:rPr>
          <w:rFonts w:ascii="Arial" w:cs="Arial" w:eastAsia="Arial" w:hAnsi="Arial"/>
          <w:sz w:val="18"/>
          <w:szCs w:val="18"/>
          <w:color w:val="auto"/>
        </w:rPr>
      </w:pPr>
    </w:p>
    <w:p>
      <w:pPr>
        <w:jc w:val="both"/>
        <w:ind w:left="1300" w:hanging="320"/>
        <w:spacing w:after="0" w:line="272" w:lineRule="auto"/>
        <w:tabs>
          <w:tab w:leader="none" w:pos="13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Notwithstanding any contrary provision contained in this Section 5, Tenant shall have a period of 60 days after Landlord’s Delivery of the 2022 Expansion Premises to Tenant to reasonably identify in writing any latent defects in the mechanical, electrical, and plumbing systems and the structural components serving the 2022 Expansion Premises. For purposes of this paragraph, “</w:t>
      </w:r>
      <w:r>
        <w:rPr>
          <w:rFonts w:ascii="Arial" w:cs="Arial" w:eastAsia="Arial" w:hAnsi="Arial"/>
          <w:sz w:val="17"/>
          <w:szCs w:val="17"/>
          <w:b w:val="1"/>
          <w:bCs w:val="1"/>
          <w:color w:val="auto"/>
        </w:rPr>
        <w:t>latent defects</w:t>
      </w:r>
      <w:r>
        <w:rPr>
          <w:rFonts w:ascii="Arial" w:cs="Arial" w:eastAsia="Arial" w:hAnsi="Arial"/>
          <w:sz w:val="17"/>
          <w:szCs w:val="17"/>
          <w:color w:val="auto"/>
        </w:rPr>
        <w:t>” means those material defects in such systems and/or components that could not have been identified or discovered through a reasonable inspection of such systems or components conducted by a qualified technician. Landlord will promptly repair such identified latent defects (subject to Landlord’s reasonable confirmation that such defects are, in fact, latent defects).</w:t>
      </w:r>
    </w:p>
    <w:p>
      <w:pPr>
        <w:spacing w:after="0" w:line="173" w:lineRule="exact"/>
        <w:rPr>
          <w:rFonts w:ascii="Arial" w:cs="Arial" w:eastAsia="Arial" w:hAnsi="Arial"/>
          <w:sz w:val="17"/>
          <w:szCs w:val="17"/>
          <w:color w:val="auto"/>
        </w:rPr>
      </w:pPr>
    </w:p>
    <w:p>
      <w:pPr>
        <w:jc w:val="both"/>
        <w:ind w:firstLine="656"/>
        <w:spacing w:after="0" w:line="286" w:lineRule="auto"/>
        <w:tabs>
          <w:tab w:leader="none" w:pos="1296"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Base Rent for 2022 Expansion Premises</w:t>
      </w:r>
      <w:r>
        <w:rPr>
          <w:rFonts w:ascii="Arial" w:cs="Arial" w:eastAsia="Arial" w:hAnsi="Arial"/>
          <w:sz w:val="16"/>
          <w:szCs w:val="16"/>
          <w:color w:val="auto"/>
        </w:rPr>
        <w:t>. (a) Tenant shall continue to pay Base Rent with respect to the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and the Expansion Premises at the rates set forth in the Lease, (b) commencing on the 2022 Expansion Premises Commencement Date (but subject to the 2022 Expansion Premises Base Rent Abatement [as defined below]), Base Rent for the 2022 Expansion Premises shall be payable at the rate of $ [***] per month, and (c) commencing on the 2022 Expansion Premises Commencement Date, Base Rent for the 2022 Expansion Premises shall be increased as of the date or dates on which Tenant uses the Additional 2022 Expansion Premises TI Allowance (as defined in the 2022 Expansion Premises Work Letter attached hereto as a part hereof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(such increase to be calculated based on the amount of the Additional 2022 Expansion Premises TI Allowance used by Tenant, such amount to be amortized over the Base Term based on an interest rate of [***] % per annum; the resulting amount so amortized shall be added to the monthly installments of Base Rent for the 2022 Expansion Premises). Notwithstanding any contrary provision contained in the Lease, the Base Rent for the 2022 Expansion Premises shall thereafter be increased on each anniversary of the 2022 Expansion Premises Commencement Date by multiplying the Base Rent payable for the 2022 Expansion Premises immediately before such date by the Rent Adjustment Percentage (i.e., [***]%) and adding the resulting amount to the Base Rent payable for the 2022 Expansion Premises immediately before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more fully set forth in Section 5(b)2 of the Work Letter, the Rent Adjustment Percentage shall not apply to the 2022 Expansion Premises TI Allowance. Base Rent for the 2022 Expansion Premises, as so adjusted, shall thereafter be due as provided in the Lease.</w:t>
      </w:r>
    </w:p>
    <w:p>
      <w:pPr>
        <w:spacing w:after="0" w:line="167" w:lineRule="exact"/>
        <w:rPr>
          <w:rFonts w:ascii="Arial" w:cs="Arial" w:eastAsia="Arial" w:hAnsi="Arial"/>
          <w:sz w:val="16"/>
          <w:szCs w:val="16"/>
          <w:color w:val="auto"/>
        </w:rPr>
      </w:pPr>
    </w:p>
    <w:p>
      <w:pPr>
        <w:jc w:val="both"/>
        <w:ind w:firstLine="1296"/>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2022 Expansion Premises Base Rent Abatement</w:t>
      </w:r>
      <w:r>
        <w:rPr>
          <w:rFonts w:ascii="Arial" w:cs="Arial" w:eastAsia="Arial" w:hAnsi="Arial"/>
          <w:sz w:val="16"/>
          <w:szCs w:val="16"/>
          <w:color w:val="auto"/>
        </w:rPr>
        <w:t xml:space="preserve">. Notwithstanding anything to the contrary contained in this Third Amendment, but provided Tenant is not in Default hereunder or under the Lease, Landlord hereby grants Tenant an abatement of the Base Rent payable for the 2022 Expansion Premises during the period beginning on the 2022 Expansion Premises Commencement Date and ending </w:t>
      </w:r>
      <w:r>
        <w:rPr>
          <w:rFonts w:ascii="Arial" w:cs="Arial" w:eastAsia="Arial" w:hAnsi="Arial"/>
          <w:sz w:val="19"/>
          <w:szCs w:val="19"/>
          <w:color w:val="auto"/>
        </w:rPr>
        <w:t>[***]</w:t>
      </w:r>
      <w:r>
        <w:rPr>
          <w:rFonts w:ascii="Arial" w:cs="Arial" w:eastAsia="Arial" w:hAnsi="Arial"/>
          <w:sz w:val="16"/>
          <w:szCs w:val="16"/>
          <w:color w:val="auto"/>
        </w:rPr>
        <w:t xml:space="preserve"> after the 2022 Expansion Premises Commencement Date (“</w:t>
      </w:r>
      <w:r>
        <w:rPr>
          <w:rFonts w:ascii="Arial" w:cs="Arial" w:eastAsia="Arial" w:hAnsi="Arial"/>
          <w:sz w:val="16"/>
          <w:szCs w:val="16"/>
          <w:b w:val="1"/>
          <w:bCs w:val="1"/>
          <w:color w:val="auto"/>
        </w:rPr>
        <w:t>2022 Expansion Premises Base Rent Abatement</w:t>
      </w:r>
      <w:r>
        <w:rPr>
          <w:rFonts w:ascii="Arial" w:cs="Arial" w:eastAsia="Arial" w:hAnsi="Arial"/>
          <w:sz w:val="16"/>
          <w:szCs w:val="16"/>
          <w:color w:val="auto"/>
        </w:rPr>
        <w:t>”). For the avoidance of doubt, if the 2022 Expansion Premises Commencement Date occurs on the first day of a month, the 2022 Expansion Premises Base Rent Abatement will be measured from that date. If the 2022 Expansion Premises Commencement Date occurs on a day other than the first day of a month, the 2022 Expansion Premises Base Rent Abatement will be measured from the first day of the</w:t>
      </w:r>
    </w:p>
    <w:p>
      <w:pPr>
        <w:spacing w:after="0" w:line="200" w:lineRule="exact"/>
        <w:rPr>
          <w:sz w:val="20"/>
          <w:szCs w:val="20"/>
          <w:color w:val="auto"/>
        </w:rPr>
      </w:pPr>
    </w:p>
    <w:p>
      <w:pPr>
        <w:spacing w:after="0" w:line="210"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- 7</w:t>
      </w:r>
    </w:p>
    <w:p>
      <w:pPr>
        <w:spacing w:after="0" w:line="468" w:lineRule="exact"/>
        <w:rPr>
          <w:sz w:val="20"/>
          <w:szCs w:val="20"/>
          <w:color w:val="auto"/>
        </w:rPr>
      </w:pPr>
    </w:p>
    <w:p>
      <w:pPr>
        <w:sectPr>
          <w:pgSz w:w="11900" w:h="16838" w:orient="portrait"/>
          <w:cols w:equalWidth="0" w:num="2">
            <w:col w:w="8580" w:space="720"/>
            <w:col w:w="620"/>
          </w:cols>
          <w:pgMar w:left="980" w:top="661" w:right="999" w:bottom="1440" w:gutter="0" w:footer="0" w:header="0"/>
        </w:sectPr>
      </w:pPr>
    </w:p>
    <w:p>
      <w:pPr>
        <w:spacing w:after="0" w:line="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following month. Except as provided in the preceding sentences, Tenant shall pay the full amount of Base Rent due for the 2022 Expansion Premises in accordance with the provisions of this Third Amendment and the Lease. The administration rent set forth in Section 5 of the Lease shall not be abated and shall be based on the amount of Base Rent with respect to the 2022 Expansion Premises that would have been payable but for the 2022 Expansion Premises Base Rent Abatement. Notwithstanding anything to the contrary in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the adjustment in the Base Rent as set forth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based on the full and unabated amount of Base Rent payable with respect to the 2022 Expansion Premises for the first </w:t>
      </w:r>
      <w:r>
        <w:rPr>
          <w:rFonts w:ascii="Arial" w:cs="Arial" w:eastAsia="Arial" w:hAnsi="Arial"/>
          <w:sz w:val="21"/>
          <w:szCs w:val="21"/>
          <w:color w:val="auto"/>
        </w:rPr>
        <w:t>[***]</w:t>
      </w:r>
      <w:r>
        <w:rPr>
          <w:rFonts w:ascii="Arial" w:cs="Arial" w:eastAsia="Arial" w:hAnsi="Arial"/>
          <w:sz w:val="18"/>
          <w:szCs w:val="18"/>
          <w:color w:val="auto"/>
        </w:rPr>
        <w:t xml:space="preserve"> period from and after the 2022 Expansion Premises Commencement Date.</w:t>
      </w:r>
    </w:p>
    <w:p>
      <w:pPr>
        <w:spacing w:after="0" w:line="187" w:lineRule="exact"/>
        <w:rPr>
          <w:sz w:val="20"/>
          <w:szCs w:val="20"/>
          <w:color w:val="auto"/>
        </w:rPr>
      </w:pPr>
    </w:p>
    <w:p>
      <w:pPr>
        <w:jc w:val="both"/>
        <w:ind w:firstLine="656"/>
        <w:spacing w:after="0" w:line="255" w:lineRule="auto"/>
        <w:tabs>
          <w:tab w:leader="none" w:pos="1296"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Extension Right</w:t>
      </w:r>
      <w:r>
        <w:rPr>
          <w:rFonts w:ascii="Arial" w:cs="Arial" w:eastAsia="Arial" w:hAnsi="Arial"/>
          <w:sz w:val="18"/>
          <w:szCs w:val="18"/>
          <w:color w:val="auto"/>
        </w:rPr>
        <w:t>. The Extension Right set forth in Section 40 of the Lease applies to, and shall be exercised (if at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only with respect to, the entire Premises. The Extension Term shall be for the period beginning on April 1, 2030 and ending, unless earlier terminated in accordance with the terms and conditions of the Lease, on March 31, 2035. For the avoidance of doubt, the Market Rate shall not include the adjustments for the TI Allowance as described in Section 4 of the Lease, the Expansion Premises TI Allowance as described in the First Amendment, and the 2022 Expansion Premises TI Allowance as described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Work Letter attached to this Third Amendment, but may include build-out allowances to the extent they are then provided as market concessions in the Market Area.</w:t>
      </w:r>
    </w:p>
    <w:p>
      <w:pPr>
        <w:spacing w:after="0" w:line="188" w:lineRule="exact"/>
        <w:rPr>
          <w:rFonts w:ascii="Arial" w:cs="Arial" w:eastAsia="Arial" w:hAnsi="Arial"/>
          <w:sz w:val="18"/>
          <w:szCs w:val="18"/>
          <w:color w:val="auto"/>
        </w:rPr>
      </w:pPr>
    </w:p>
    <w:p>
      <w:pPr>
        <w:ind w:firstLine="656"/>
        <w:spacing w:after="0" w:line="282" w:lineRule="auto"/>
        <w:tabs>
          <w:tab w:leader="none" w:pos="1296"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Amendment to Section 20(h)</w:t>
      </w:r>
      <w:r>
        <w:rPr>
          <w:rFonts w:ascii="Arial" w:cs="Arial" w:eastAsia="Arial" w:hAnsi="Arial"/>
          <w:sz w:val="18"/>
          <w:szCs w:val="18"/>
          <w:color w:val="auto"/>
        </w:rPr>
        <w:t>. Section 20(h) of the Lease, captioned “Work Letter and 9000 VMR Work Letter,”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deleted and replaced with the following new Section 20(h):</w:t>
      </w:r>
    </w:p>
    <w:p>
      <w:pPr>
        <w:spacing w:after="0" w:line="161" w:lineRule="exact"/>
        <w:rPr>
          <w:rFonts w:ascii="Arial" w:cs="Arial" w:eastAsia="Arial" w:hAnsi="Arial"/>
          <w:sz w:val="18"/>
          <w:szCs w:val="18"/>
          <w:color w:val="auto"/>
        </w:rPr>
      </w:pPr>
    </w:p>
    <w:p>
      <w:pPr>
        <w:jc w:val="both"/>
        <w:ind w:left="1300" w:firstLine="4"/>
        <w:spacing w:after="0" w:line="256" w:lineRule="auto"/>
        <w:tabs>
          <w:tab w:leader="none" w:pos="1948"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Work Letter, Expansion Premises Work Letter, 2022 Expansion Premises Work Letter, and 9000 VMR Work Letter</w:t>
      </w:r>
      <w:r>
        <w:rPr>
          <w:rFonts w:ascii="Arial" w:cs="Arial" w:eastAsia="Arial" w:hAnsi="Arial"/>
          <w:sz w:val="18"/>
          <w:szCs w:val="18"/>
          <w:color w:val="auto"/>
        </w:rPr>
        <w:t>. Tenant fails to perform any obligation imposed on it under the terms and conditions of the Work Letter,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Expansion Premises Work Letter, the 2022 Expansion Premises Work Letter, or the 9000 VMR Work Letter (as applicable), which failure is not cured within any applicable notice and cure period specifically set forth in the Work Letter, the Expansion Premises Work Letter, the 2022 Expansion Premises Work Letter, or the 9000 VMR Work Letter, as applicable.</w:t>
      </w:r>
    </w:p>
    <w:p>
      <w:pPr>
        <w:spacing w:after="0" w:line="187" w:lineRule="exact"/>
        <w:rPr>
          <w:rFonts w:ascii="Arial" w:cs="Arial" w:eastAsia="Arial" w:hAnsi="Arial"/>
          <w:sz w:val="18"/>
          <w:szCs w:val="18"/>
          <w:color w:val="auto"/>
        </w:rPr>
      </w:pPr>
    </w:p>
    <w:p>
      <w:pPr>
        <w:ind w:firstLine="656"/>
        <w:spacing w:after="0" w:line="282" w:lineRule="auto"/>
        <w:tabs>
          <w:tab w:leader="none" w:pos="1296"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Amendment to Section 21(f)</w:t>
      </w:r>
      <w:r>
        <w:rPr>
          <w:rFonts w:ascii="Arial" w:cs="Arial" w:eastAsia="Arial" w:hAnsi="Arial"/>
          <w:sz w:val="18"/>
          <w:szCs w:val="18"/>
          <w:color w:val="auto"/>
        </w:rPr>
        <w:t>. Section 21(f) of the Lease, captioned “Suspension of Funding,” is hereby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with the following new Section 21(f):</w:t>
      </w:r>
    </w:p>
    <w:p>
      <w:pPr>
        <w:spacing w:after="0" w:line="161" w:lineRule="exact"/>
        <w:rPr>
          <w:rFonts w:ascii="Arial" w:cs="Arial" w:eastAsia="Arial" w:hAnsi="Arial"/>
          <w:sz w:val="18"/>
          <w:szCs w:val="18"/>
          <w:color w:val="auto"/>
        </w:rPr>
      </w:pPr>
    </w:p>
    <w:p>
      <w:pPr>
        <w:jc w:val="both"/>
        <w:ind w:left="1300" w:firstLine="4"/>
        <w:spacing w:after="0" w:line="266" w:lineRule="auto"/>
        <w:tabs>
          <w:tab w:leader="none" w:pos="1948" w:val="left"/>
        </w:tabs>
        <w:numPr>
          <w:ilvl w:val="1"/>
          <w:numId w:val="102"/>
        </w:numPr>
        <w:rPr>
          <w:rFonts w:ascii="Arial" w:cs="Arial" w:eastAsia="Arial" w:hAnsi="Arial"/>
          <w:sz w:val="18"/>
          <w:szCs w:val="18"/>
          <w:color w:val="auto"/>
        </w:rPr>
      </w:pPr>
      <w:r>
        <w:rPr>
          <w:rFonts w:ascii="Arial" w:cs="Arial" w:eastAsia="Arial" w:hAnsi="Arial"/>
          <w:sz w:val="18"/>
          <w:szCs w:val="18"/>
          <w:b w:val="1"/>
          <w:bCs w:val="1"/>
          <w:color w:val="auto"/>
        </w:rPr>
        <w:t>Suspension of Funding</w:t>
      </w:r>
      <w:r>
        <w:rPr>
          <w:rFonts w:ascii="Arial" w:cs="Arial" w:eastAsia="Arial" w:hAnsi="Arial"/>
          <w:sz w:val="18"/>
          <w:szCs w:val="18"/>
          <w:color w:val="auto"/>
        </w:rPr>
        <w:t>. Upon a Default by Tenant hereunder and during the continuance thereof,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right to suspend funding of any TI Allowance, the Expansion Premises TI Allowance, and the 2022 Expansion Premises TI Allowance.</w:t>
      </w:r>
    </w:p>
    <w:p>
      <w:pPr>
        <w:spacing w:after="0" w:line="175" w:lineRule="exact"/>
        <w:rPr>
          <w:rFonts w:ascii="Arial" w:cs="Arial" w:eastAsia="Arial" w:hAnsi="Arial"/>
          <w:sz w:val="18"/>
          <w:szCs w:val="18"/>
          <w:color w:val="auto"/>
        </w:rPr>
      </w:pPr>
    </w:p>
    <w:p>
      <w:pPr>
        <w:ind w:firstLine="656"/>
        <w:spacing w:after="0" w:line="282" w:lineRule="auto"/>
        <w:tabs>
          <w:tab w:leader="none" w:pos="1296"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Amendment to Section 30(a)</w:t>
      </w:r>
      <w:r>
        <w:rPr>
          <w:rFonts w:ascii="Arial" w:cs="Arial" w:eastAsia="Arial" w:hAnsi="Arial"/>
          <w:sz w:val="18"/>
          <w:szCs w:val="18"/>
          <w:color w:val="auto"/>
        </w:rPr>
        <w:t>. Section 30(a) of the Lease, captioned “Prohibition/Compliance/Indemnity,”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deleting the proviso and replacing it with the following new proviso:</w:t>
      </w:r>
    </w:p>
    <w:p>
      <w:pPr>
        <w:spacing w:after="0" w:line="166" w:lineRule="exact"/>
        <w:rPr>
          <w:sz w:val="20"/>
          <w:szCs w:val="20"/>
          <w:color w:val="auto"/>
        </w:rPr>
      </w:pPr>
    </w:p>
    <w:p>
      <w:pPr>
        <w:jc w:val="both"/>
        <w:ind w:left="1300" w:firstLine="4"/>
        <w:spacing w:after="0" w:line="271" w:lineRule="auto"/>
        <w:tabs>
          <w:tab w:leader="none" w:pos="139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Tenant shall have no indemnification, remediation, or other obligation or responsibility under this </w:t>
      </w:r>
      <w:r>
        <w:rPr>
          <w:rFonts w:ascii="Arial" w:cs="Arial" w:eastAsia="Arial" w:hAnsi="Arial"/>
          <w:sz w:val="17"/>
          <w:szCs w:val="17"/>
          <w:u w:val="single" w:color="auto"/>
          <w:color w:val="auto"/>
        </w:rPr>
        <w:t>Section 30</w:t>
      </w:r>
      <w:r>
        <w:rPr>
          <w:rFonts w:ascii="Arial" w:cs="Arial" w:eastAsia="Arial" w:hAnsi="Arial"/>
          <w:sz w:val="17"/>
          <w:szCs w:val="17"/>
          <w:color w:val="auto"/>
        </w:rPr>
        <w:t xml:space="preserve"> for any contamination or Environmental Claim if Tenant proves by a preponderance of the evidence that such contamination or Environmental Claim arises from any Hazardous Materials brought into, kept, used, stored, handled, treated, generated in or about, or released or disposed of from the Premises by Landlord or another tenant unrelated or unaffiliated with Tenant or that existed in the Existing Premises as of the Commencement Date, in the Expansion Premises as of the Expansion Premises Commencement Date, or in the 2022 Expansion Premises as of the 2022 Expansion Premises Commencement Date, and were not brought into, kept, used, stored, handled, treated, generated in or about, or released or disposed of from the</w:t>
      </w:r>
    </w:p>
    <w:p>
      <w:pPr>
        <w:spacing w:after="0" w:line="200" w:lineRule="exact"/>
        <w:rPr>
          <w:sz w:val="20"/>
          <w:szCs w:val="20"/>
          <w:color w:val="auto"/>
        </w:rPr>
      </w:pPr>
    </w:p>
    <w:p>
      <w:pPr>
        <w:spacing w:after="0" w:line="221"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- 8</w:t>
      </w:r>
    </w:p>
    <w:p>
      <w:pPr>
        <w:spacing w:after="0" w:line="468" w:lineRule="exact"/>
        <w:rPr>
          <w:sz w:val="20"/>
          <w:szCs w:val="20"/>
          <w:color w:val="auto"/>
        </w:rPr>
      </w:pPr>
    </w:p>
    <w:p>
      <w:pPr>
        <w:sectPr>
          <w:pgSz w:w="11900" w:h="16838" w:orient="portrait"/>
          <w:cols w:equalWidth="0" w:num="2">
            <w:col w:w="8580" w:space="720"/>
            <w:col w:w="620"/>
          </w:cols>
          <w:pgMar w:left="980" w:top="661" w:right="999" w:bottom="1440" w:gutter="0" w:footer="0" w:header="0"/>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Premises by Tenant or any Tenant Party.</w:t>
      </w:r>
    </w:p>
    <w:p>
      <w:pPr>
        <w:spacing w:after="0" w:line="221"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1" w:lineRule="auto"/>
        <w:tabs>
          <w:tab w:leader="none" w:pos="1944"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Lease, as amended by this Third Amendment, is the entire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subject matter hereof and supersedes all prior and contemporaneous oral and written agreements and discussions. The Lease, as so amended by this Third Amendment, may be amended only by an agreement in writing, signed by the parties hereto.</w:t>
      </w:r>
    </w:p>
    <w:p>
      <w:pPr>
        <w:spacing w:after="0" w:line="179" w:lineRule="exact"/>
        <w:rPr>
          <w:rFonts w:ascii="Arial" w:cs="Arial" w:eastAsia="Arial" w:hAnsi="Arial"/>
          <w:sz w:val="18"/>
          <w:szCs w:val="18"/>
          <w:color w:val="auto"/>
        </w:rPr>
      </w:pPr>
    </w:p>
    <w:p>
      <w:pPr>
        <w:jc w:val="both"/>
        <w:ind w:firstLine="1304"/>
        <w:spacing w:after="0" w:line="266" w:lineRule="auto"/>
        <w:tabs>
          <w:tab w:leader="none" w:pos="1944"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Third Amendment is binding upon and shall inure to the benefit of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agents, employees, members, representatives, officers, directors, divisions, subsidiaries, affiliates, assigns, heirs, successors in interest and shareholders.</w:t>
      </w:r>
    </w:p>
    <w:p>
      <w:pPr>
        <w:spacing w:after="0" w:line="175" w:lineRule="exact"/>
        <w:rPr>
          <w:rFonts w:ascii="Arial" w:cs="Arial" w:eastAsia="Arial" w:hAnsi="Arial"/>
          <w:sz w:val="18"/>
          <w:szCs w:val="18"/>
          <w:color w:val="auto"/>
        </w:rPr>
      </w:pPr>
    </w:p>
    <w:p>
      <w:pPr>
        <w:jc w:val="both"/>
        <w:ind w:firstLine="1304"/>
        <w:spacing w:after="0" w:line="256" w:lineRule="auto"/>
        <w:tabs>
          <w:tab w:leader="none" w:pos="1944"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Broker</w:t>
      </w:r>
      <w:r>
        <w:rPr>
          <w:rFonts w:ascii="Arial" w:cs="Arial" w:eastAsia="Arial" w:hAnsi="Arial"/>
          <w:sz w:val="18"/>
          <w:szCs w:val="18"/>
          <w:color w:val="auto"/>
        </w:rPr>
        <w:t>. Landlord and Tenant each represents and warrants that it has not dealt with any broker, agent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Third Amendment and that no Broker brought about this Third Amendment, other than [***] (“[***]”). [***] shall be paid by Landlord pursuant to a separate agreement between Landlord and [***]. Landlord and Tenant each hereby agree to indemnify and hold the other harmless from and against any claims by any Broker, other than the brokers named in this Section, claiming a commission or other form of compensation by virtue of having dealt with Tenant or Landlord, as applicable, with regard to this Third Amendment.</w:t>
      </w:r>
    </w:p>
    <w:p>
      <w:pPr>
        <w:spacing w:after="0" w:line="187" w:lineRule="exact"/>
        <w:rPr>
          <w:rFonts w:ascii="Arial" w:cs="Arial" w:eastAsia="Arial" w:hAnsi="Arial"/>
          <w:sz w:val="18"/>
          <w:szCs w:val="18"/>
          <w:color w:val="auto"/>
        </w:rPr>
      </w:pPr>
    </w:p>
    <w:p>
      <w:pPr>
        <w:jc w:val="both"/>
        <w:ind w:firstLine="1304"/>
        <w:spacing w:after="0" w:line="294" w:lineRule="auto"/>
        <w:tabs>
          <w:tab w:leader="none" w:pos="1944" w:val="left"/>
        </w:tabs>
        <w:numPr>
          <w:ilvl w:val="1"/>
          <w:numId w:val="105"/>
        </w:numPr>
        <w:rPr>
          <w:rFonts w:ascii="Arial" w:cs="Arial" w:eastAsia="Arial" w:hAnsi="Arial"/>
          <w:sz w:val="16"/>
          <w:szCs w:val="16"/>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Third Amendment may be executed in 2 or more counterparts, each of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an original, but all of which together shall constitute one and the same instrument. Counterparts may be delivered via facsimile, electronic mail (including pdf or any electronic signature process complying with the U.S. federal ESIGN Act of 2000, including DocuSign) or other transmission method and any counterpart so delivered shall be deemed to have been duly and validly delivered and be valid and effective for all purposes. Electronic signatures shall be deemed original signatures for purposes of this Third Amendment and all matters related thereto, with such electronic signatures having the same legal effect as original signatures.</w:t>
      </w:r>
    </w:p>
    <w:p>
      <w:pPr>
        <w:spacing w:after="0" w:line="159" w:lineRule="exact"/>
        <w:rPr>
          <w:rFonts w:ascii="Arial" w:cs="Arial" w:eastAsia="Arial" w:hAnsi="Arial"/>
          <w:sz w:val="16"/>
          <w:szCs w:val="16"/>
          <w:color w:val="auto"/>
        </w:rPr>
      </w:pPr>
    </w:p>
    <w:p>
      <w:pPr>
        <w:jc w:val="both"/>
        <w:ind w:firstLine="1304"/>
        <w:spacing w:after="0" w:line="298" w:lineRule="auto"/>
        <w:tabs>
          <w:tab w:leader="none" w:pos="1944" w:val="left"/>
        </w:tabs>
        <w:numPr>
          <w:ilvl w:val="1"/>
          <w:numId w:val="105"/>
        </w:numPr>
        <w:rPr>
          <w:rFonts w:ascii="Arial" w:cs="Arial" w:eastAsia="Arial" w:hAnsi="Arial"/>
          <w:sz w:val="16"/>
          <w:szCs w:val="16"/>
          <w:color w:val="auto"/>
        </w:rPr>
      </w:pPr>
      <w:r>
        <w:rPr>
          <w:rFonts w:ascii="Arial" w:cs="Arial" w:eastAsia="Arial" w:hAnsi="Arial"/>
          <w:sz w:val="16"/>
          <w:szCs w:val="16"/>
          <w:b w:val="1"/>
          <w:bCs w:val="1"/>
          <w:color w:val="auto"/>
        </w:rPr>
        <w:t>Ratification; Conflicts</w:t>
      </w:r>
      <w:r>
        <w:rPr>
          <w:rFonts w:ascii="Arial" w:cs="Arial" w:eastAsia="Arial" w:hAnsi="Arial"/>
          <w:sz w:val="16"/>
          <w:szCs w:val="16"/>
          <w:color w:val="auto"/>
        </w:rPr>
        <w:t>. Except as amended and/or modified by this Third Amendment, the Lease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Regardless of whether specifically amended by this Third Amendment, all of the terms and provisions of the Lease are hereby amended to the extent necessary to give effect to the purpose and intent of this Third Amendment.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APPEAR ON NEXT PAGE]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- 9</w:t>
      </w:r>
    </w:p>
    <w:p>
      <w:pPr>
        <w:spacing w:after="0" w:line="468" w:lineRule="exact"/>
        <w:rPr>
          <w:sz w:val="20"/>
          <w:szCs w:val="20"/>
          <w:color w:val="auto"/>
        </w:rPr>
      </w:pPr>
    </w:p>
    <w:p>
      <w:pPr>
        <w:sectPr>
          <w:pgSz w:w="11900" w:h="16838" w:orient="portrait"/>
          <w:cols w:equalWidth="0" w:num="2">
            <w:col w:w="8580" w:space="720"/>
            <w:col w:w="620"/>
          </w:cols>
          <w:pgMar w:left="980" w:top="661" w:right="999" w:bottom="1440" w:gutter="0" w:footer="0" w:header="0"/>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executed this Third Amendment under seal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NEXTCURE, INC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2620" w:type="dxa"/>
            <w:vAlign w:val="bottom"/>
            <w:gridSpan w:val="2"/>
          </w:tcPr>
          <w:p>
            <w:pPr>
              <w:spacing w:after="0"/>
              <w:rPr>
                <w:sz w:val="20"/>
                <w:szCs w:val="20"/>
                <w:color w:val="auto"/>
              </w:rPr>
            </w:pPr>
            <w:r>
              <w:rPr>
                <w:rFonts w:ascii="Arial" w:cs="Arial" w:eastAsia="Arial" w:hAnsi="Arial"/>
                <w:sz w:val="18"/>
                <w:szCs w:val="18"/>
                <w:color w:val="auto"/>
              </w:rPr>
              <w:t>By: /s/ Michael Richman</w:t>
            </w:r>
          </w:p>
        </w:tc>
        <w:tc>
          <w:tcPr>
            <w:tcW w:w="580" w:type="dxa"/>
            <w:vAlign w:val="bottom"/>
          </w:tcPr>
          <w:p>
            <w:pPr>
              <w:spacing w:after="0"/>
              <w:rPr>
                <w:sz w:val="20"/>
                <w:szCs w:val="20"/>
                <w:color w:val="auto"/>
              </w:rPr>
            </w:pPr>
            <w:r>
              <w:rPr>
                <w:rFonts w:ascii="Arial" w:cs="Arial" w:eastAsia="Arial" w:hAnsi="Arial"/>
                <w:sz w:val="18"/>
                <w:szCs w:val="18"/>
                <w:color w:val="auto"/>
                <w:w w:val="96"/>
              </w:rPr>
              <w:t>(SEAL)</w:t>
            </w:r>
          </w:p>
        </w:tc>
      </w:t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2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580" w:type="dxa"/>
            <w:vAlign w:val="bottom"/>
          </w:tcPr>
          <w:p>
            <w:pPr>
              <w:spacing w:after="0"/>
              <w:rPr>
                <w:sz w:val="18"/>
                <w:szCs w:val="18"/>
                <w:color w:val="auto"/>
              </w:rPr>
            </w:pPr>
          </w:p>
        </w:tc>
      </w:tr>
    </w:tbl>
    <w:p>
      <w:pPr>
        <w:spacing w:after="0" w:line="156" w:lineRule="exact"/>
        <w:rPr>
          <w:sz w:val="20"/>
          <w:szCs w:val="20"/>
          <w:color w:val="auto"/>
        </w:rPr>
      </w:pPr>
    </w:p>
    <w:p>
      <w:pPr>
        <w:ind w:left="4960"/>
        <w:spacing w:after="0" w:line="184" w:lineRule="exact"/>
        <w:rPr>
          <w:sz w:val="20"/>
          <w:szCs w:val="20"/>
          <w:color w:val="auto"/>
        </w:rPr>
      </w:pPr>
      <w:r>
        <w:rPr>
          <w:rFonts w:ascii="Arial" w:cs="Arial" w:eastAsia="Arial" w:hAnsi="Arial"/>
          <w:sz w:val="16"/>
          <w:szCs w:val="16"/>
          <w:color w:val="auto"/>
        </w:rPr>
        <w:t>X</w:t>
      </w:r>
      <w:r>
        <w:rPr>
          <w:rFonts w:ascii="MS PGothic" w:cs="MS PGothic" w:eastAsia="MS PGothic" w:hAnsi="MS PGothic"/>
          <w:sz w:val="16"/>
          <w:szCs w:val="16"/>
          <w:color w:val="auto"/>
        </w:rPr>
        <w:t>☐</w:t>
      </w:r>
      <w:r>
        <w:rPr>
          <w:rFonts w:ascii="Arial" w:cs="Arial" w:eastAsia="Arial" w:hAnsi="Arial"/>
          <w:sz w:val="16"/>
          <w:szCs w:val="16"/>
          <w:color w:val="auto"/>
        </w:rPr>
        <w:t xml:space="preserve"> I hereby certify that the signature, name, and title above are my</w:t>
      </w:r>
    </w:p>
    <w:p>
      <w:pPr>
        <w:spacing w:after="0" w:line="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signature, name, and title.</w:t>
      </w:r>
    </w:p>
    <w:p>
      <w:pPr>
        <w:spacing w:after="0" w:line="200" w:lineRule="exact"/>
        <w:rPr>
          <w:sz w:val="20"/>
          <w:szCs w:val="20"/>
          <w:color w:val="auto"/>
        </w:rPr>
      </w:pP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ARE-8000/9000/10000 VIRGINIA MANOR, LLC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ARE-QRS CORP.,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425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Name:Gregory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425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SVP-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425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6"/>
          <w:szCs w:val="16"/>
          <w:b w:val="1"/>
          <w:bCs w:val="1"/>
          <w:color w:val="auto"/>
        </w:rPr>
        <w:t>Third Amendment to Lease Agreement –-NextCure,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140, 8000 Virginia Manor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- 10</w:t>
      </w:r>
    </w:p>
    <w:p>
      <w:pPr>
        <w:spacing w:after="0" w:line="468" w:lineRule="exact"/>
        <w:rPr>
          <w:sz w:val="20"/>
          <w:szCs w:val="20"/>
          <w:color w:val="auto"/>
        </w:rPr>
      </w:pPr>
    </w:p>
    <w:p>
      <w:pPr>
        <w:sectPr>
          <w:pgSz w:w="11900" w:h="16838" w:orient="portrait"/>
          <w:cols w:equalWidth="0" w:num="2">
            <w:col w:w="8480" w:space="720"/>
            <w:col w:w="720"/>
          </w:cols>
          <w:pgMar w:left="980" w:top="661" w:right="999" w:bottom="1440" w:gutter="0" w:footer="0" w:header="0"/>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EXPANSION PREMISES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OF 2022 EXPANSION PREMISES COMMENCEMENT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EXPANSION PREMISES WORK LETTER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ectPr>
          <w:pgSz w:w="11900" w:h="16838" w:orient="portrait"/>
          <w:cols w:equalWidth="0" w:num="1">
            <w:col w:w="9920"/>
          </w:cols>
          <w:pgMar w:left="980" w:top="661" w:right="999" w:bottom="1440"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2022 Expansion Premises Tenant Improvement Progress Report</w:t>
      </w:r>
    </w:p>
    <w:p>
      <w:pPr>
        <w:spacing w:after="0" w:line="279" w:lineRule="exact"/>
        <w:rPr>
          <w:sz w:val="20"/>
          <w:szCs w:val="20"/>
          <w:color w:val="auto"/>
        </w:rPr>
      </w:pPr>
    </w:p>
    <w:p>
      <w:pPr>
        <w:jc w:val="both"/>
        <w:ind w:left="5960"/>
        <w:spacing w:after="0" w:line="275" w:lineRule="auto"/>
        <w:rPr>
          <w:sz w:val="20"/>
          <w:szCs w:val="20"/>
          <w:color w:val="auto"/>
        </w:rPr>
      </w:pPr>
      <w:r>
        <w:rPr>
          <w:rFonts w:ascii="Arial" w:cs="Arial" w:eastAsia="Arial" w:hAnsi="Arial"/>
          <w:sz w:val="17"/>
          <w:szCs w:val="17"/>
          <w:color w:val="auto"/>
        </w:rPr>
        <w:t>Copyright © 2012. Alexandria Real Estate Equities, Inc. ALL RIGHTS RESERVED. Confidential and Proprietary. Do Not Copy or Distribute. Alexandria and Alexandria Logo are registered trademarks of Alexandria Real Estate Equities,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386715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-701675</wp:posOffset>
            </wp:positionV>
            <wp:extent cx="711200" cy="2571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1200" cy="25717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0" w:name="page151"/>
    <w:bookmarkEnd w:id="150"/>
    <w:p>
      <w:pPr>
        <w:jc w:val="right"/>
        <w:ind w:right="219"/>
        <w:spacing w:after="0"/>
        <w:rPr>
          <w:sz w:val="20"/>
          <w:szCs w:val="20"/>
          <w:color w:val="auto"/>
        </w:rPr>
      </w:pPr>
      <w:r>
        <w:rPr>
          <w:rFonts w:ascii="Arial" w:cs="Arial" w:eastAsia="Arial" w:hAnsi="Arial"/>
          <w:sz w:val="20"/>
          <w:szCs w:val="20"/>
          <w:b w:val="1"/>
          <w:bCs w:val="1"/>
          <w:color w:val="auto"/>
        </w:rPr>
        <w:t>Exhibit 23.1</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310" w:lineRule="exact"/>
        <w:rPr>
          <w:sz w:val="20"/>
          <w:szCs w:val="20"/>
          <w:color w:val="auto"/>
        </w:rPr>
      </w:pPr>
    </w:p>
    <w:p>
      <w:pPr>
        <w:ind w:left="860" w:right="1059" w:hanging="327"/>
        <w:spacing w:after="0" w:line="303" w:lineRule="auto"/>
        <w:tabs>
          <w:tab w:leader="none" w:pos="8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Registration Statement (Form S-8 No. 333-231438) pertaining to the NextCure, Inc. 2019 Employee Stock Purchase Plan,</w:t>
      </w:r>
    </w:p>
    <w:p>
      <w:pPr>
        <w:spacing w:after="0" w:line="229" w:lineRule="exact"/>
        <w:rPr>
          <w:rFonts w:ascii="Arial" w:cs="Arial" w:eastAsia="Arial" w:hAnsi="Arial"/>
          <w:sz w:val="20"/>
          <w:szCs w:val="20"/>
          <w:color w:val="auto"/>
        </w:rPr>
      </w:pPr>
    </w:p>
    <w:p>
      <w:pPr>
        <w:ind w:left="860" w:right="279" w:hanging="327"/>
        <w:spacing w:after="0" w:line="303" w:lineRule="auto"/>
        <w:tabs>
          <w:tab w:leader="none" w:pos="8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Registration Statement (Form S-8 No. 333-231436) pertaining to the NextCure, Inc. 2015 Omnibus Incentive Plan and the NextCure, Inc. 2019 Omnibus Incentive Plan,</w:t>
      </w:r>
    </w:p>
    <w:p>
      <w:pPr>
        <w:spacing w:after="0" w:line="188" w:lineRule="exact"/>
        <w:rPr>
          <w:rFonts w:ascii="Arial" w:cs="Arial" w:eastAsia="Arial" w:hAnsi="Arial"/>
          <w:sz w:val="20"/>
          <w:szCs w:val="20"/>
          <w:color w:val="auto"/>
        </w:rPr>
      </w:pPr>
    </w:p>
    <w:p>
      <w:pPr>
        <w:ind w:left="860" w:right="1059" w:hanging="327"/>
        <w:spacing w:after="0" w:line="303" w:lineRule="auto"/>
        <w:tabs>
          <w:tab w:leader="none" w:pos="8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Registration Statement (Form S-8 No. 333-260776) pertaining to the NextCure, Inc. 2019 Employee Stock Purchase Plan,</w:t>
      </w:r>
    </w:p>
    <w:p>
      <w:pPr>
        <w:spacing w:after="0" w:line="188" w:lineRule="exact"/>
        <w:rPr>
          <w:rFonts w:ascii="Arial" w:cs="Arial" w:eastAsia="Arial" w:hAnsi="Arial"/>
          <w:sz w:val="20"/>
          <w:szCs w:val="20"/>
          <w:color w:val="auto"/>
        </w:rPr>
      </w:pPr>
    </w:p>
    <w:p>
      <w:pPr>
        <w:ind w:left="860" w:right="279" w:hanging="327"/>
        <w:spacing w:after="0" w:line="303" w:lineRule="auto"/>
        <w:tabs>
          <w:tab w:leader="none" w:pos="8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Registration Statement (Form S-8 No. 333-260779) pertaining to the NextCure, Inc. 2019 Omnibus Incentive Plan, and</w:t>
      </w:r>
    </w:p>
    <w:p>
      <w:pPr>
        <w:spacing w:after="0" w:line="188" w:lineRule="exact"/>
        <w:rPr>
          <w:rFonts w:ascii="Arial" w:cs="Arial" w:eastAsia="Arial" w:hAnsi="Arial"/>
          <w:sz w:val="20"/>
          <w:szCs w:val="20"/>
          <w:color w:val="auto"/>
        </w:rPr>
      </w:pPr>
    </w:p>
    <w:p>
      <w:pPr>
        <w:ind w:left="860" w:hanging="327"/>
        <w:spacing w:after="0"/>
        <w:tabs>
          <w:tab w:leader="none" w:pos="8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Registration Statement (Form S-3 No. 333-241706) of NextCure, Inc.;</w:t>
      </w:r>
    </w:p>
    <w:p>
      <w:pPr>
        <w:spacing w:after="0" w:line="270" w:lineRule="exact"/>
        <w:rPr>
          <w:sz w:val="20"/>
          <w:szCs w:val="20"/>
          <w:color w:val="auto"/>
        </w:rPr>
      </w:pPr>
    </w:p>
    <w:p>
      <w:pPr>
        <w:ind w:left="200" w:right="239"/>
        <w:spacing w:after="0" w:line="331" w:lineRule="auto"/>
        <w:rPr>
          <w:sz w:val="20"/>
          <w:szCs w:val="20"/>
          <w:color w:val="auto"/>
        </w:rPr>
      </w:pPr>
      <w:r>
        <w:rPr>
          <w:rFonts w:ascii="Arial" w:cs="Arial" w:eastAsia="Arial" w:hAnsi="Arial"/>
          <w:sz w:val="19"/>
          <w:szCs w:val="19"/>
          <w:color w:val="auto"/>
        </w:rPr>
        <w:t>of our report dated March 3, 2022, with respect to the financial statements of NextCure, Inc. included in this Annual Report (Form 10-K) of NextCure, Inc. for the year ended December 31, 2021.</w:t>
      </w:r>
    </w:p>
    <w:p>
      <w:pPr>
        <w:spacing w:after="0" w:line="38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/s/ Ernst &amp; Young LLP</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0"/>
          <w:szCs w:val="20"/>
          <w:color w:val="auto"/>
        </w:rPr>
        <w:t>Baltimore, Maryland</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0"/>
          <w:szCs w:val="20"/>
          <w:color w:val="auto"/>
        </w:rPr>
        <w:t>March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180" w:hanging="320"/>
        <w:spacing w:after="0" w:line="259"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320"/>
        <w:spacing w:after="0" w:line="311" w:lineRule="auto"/>
        <w:tabs>
          <w:tab w:leader="none" w:pos="13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320"/>
        <w:spacing w:after="0" w:line="263"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320"/>
        <w:spacing w:after="0" w:line="259"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80" w:hanging="328"/>
        <w:spacing w:after="0" w:line="263" w:lineRule="auto"/>
        <w:tabs>
          <w:tab w:leader="none" w:pos="6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86" w:lineRule="exact"/>
        <w:rPr>
          <w:rFonts w:ascii="Arial" w:cs="Arial" w:eastAsia="Arial" w:hAnsi="Arial"/>
          <w:sz w:val="18"/>
          <w:szCs w:val="18"/>
          <w:color w:val="auto"/>
        </w:rPr>
      </w:pPr>
    </w:p>
    <w:p>
      <w:pPr>
        <w:ind w:left="1300" w:right="180" w:hanging="320"/>
        <w:spacing w:after="0" w:line="259"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320"/>
        <w:spacing w:after="0" w:line="311" w:lineRule="auto"/>
        <w:tabs>
          <w:tab w:leader="none" w:pos="13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320"/>
        <w:spacing w:after="0" w:line="263"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320"/>
        <w:spacing w:after="0" w:line="259"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80" w:hanging="328"/>
        <w:spacing w:after="0" w:line="263" w:lineRule="auto"/>
        <w:tabs>
          <w:tab w:leader="none" w:pos="6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Annual Report on Form 10-K of NextCure, Inc. (the “Company”) for the year ended December 31, 2021,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4"/>
        <w:spacing w:after="0"/>
        <w:tabs>
          <w:tab w:leader="none" w:pos="10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100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1)"/>
      <w:numFmt w:val="lowerRoman"/>
      <w:start w:val="2"/>
    </w:lvl>
  </w:abstractNum>
  <w:abstractNum w:abstractNumId="19">
    <w:nsid w:val="5FF87E05"/>
    <w:multiLevelType w:val="hybridMultilevel"/>
    <w:lvl w:ilvl="0">
      <w:lvlJc w:val="left"/>
      <w:lvlText w:val="(%1)"/>
      <w:numFmt w:val="lowerRoman"/>
      <w:start w:val="4"/>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1)"/>
      <w:numFmt w:val="lowerRoman"/>
      <w:start w:val="2"/>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1)"/>
      <w:numFmt w:val="lowerRoman"/>
      <w:start w:val="4"/>
    </w:lvl>
  </w:abstractNum>
  <w:abstractNum w:abstractNumId="58">
    <w:nsid w:val="100F59DC"/>
    <w:multiLevelType w:val="hybridMultilevel"/>
    <w:lvl w:ilvl="0">
      <w:lvlJc w:val="left"/>
      <w:lvlText w:val="(%1)"/>
      <w:numFmt w:val="lowerRoman"/>
      <w:start w:val="2"/>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1:"/>
      <w:numFmt w:val="decimal"/>
      <w:start w:val="2"/>
    </w:lvl>
  </w:abstractNum>
  <w:abstractNum w:abstractNumId="61">
    <w:nsid w:val="6F6DD9AC"/>
    <w:multiLevelType w:val="hybridMultilevel"/>
    <w:lvl w:ilvl="0">
      <w:lvlJc w:val="left"/>
      <w:lvlText w:val="%1."/>
      <w:numFmt w:val="decimal"/>
      <w:start w:val="1"/>
    </w:lvl>
  </w:abstractNum>
  <w:abstractNum w:abstractNumId="62">
    <w:nsid w:val="94211F2"/>
    <w:multiLevelType w:val="hybridMultilevel"/>
    <w:lvl w:ilvl="0">
      <w:lvlJc w:val="left"/>
      <w:lvlText w:val="(%1)"/>
      <w:numFmt w:val="lowerLetter"/>
      <w:start w:val="1"/>
    </w:lvl>
  </w:abstractNum>
  <w:abstractNum w:abstractNumId="63">
    <w:nsid w:val="885E1B"/>
    <w:multiLevelType w:val="hybridMultilevel"/>
    <w:lvl w:ilvl="0">
      <w:lvlJc w:val="left"/>
      <w:lvlText w:val="(%1)"/>
      <w:numFmt w:val="lowerLetter"/>
      <w:start w:val="2"/>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5"/>
    </w:lvl>
  </w:abstractNum>
  <w:abstractNum w:abstractNumId="66">
    <w:nsid w:val="1716703B"/>
    <w:multiLevelType w:val="hybridMultilevel"/>
    <w:lvl w:ilvl="0">
      <w:lvlJc w:val="left"/>
      <w:lvlText w:val="[***]"/>
      <w:numFmt w:val="bullet"/>
      <w:start w:val="1"/>
    </w:lvl>
    <w:lvl w:ilvl="1">
      <w:lvlJc w:val="left"/>
      <w:lvlText w:val="(%2)"/>
      <w:numFmt w:val="lowerLetter"/>
      <w:start w:val="1"/>
    </w:lvl>
  </w:abstractNum>
  <w:abstractNum w:abstractNumId="67">
    <w:nsid w:val="14E17E33"/>
    <w:multiLevelType w:val="hybridMultilevel"/>
    <w:lvl w:ilvl="0">
      <w:lvlJc w:val="left"/>
      <w:lvlText w:val="%1."/>
      <w:numFmt w:val="decimal"/>
      <w:start w:val="1"/>
    </w:lvl>
    <w:lvl w:ilvl="1">
      <w:lvlJc w:val="left"/>
      <w:lvlText w:val="%2."/>
      <w:numFmt w:val="lowerLetter"/>
      <w:start w:val="1"/>
    </w:lvl>
  </w:abstractNum>
  <w:abstractNum w:abstractNumId="68">
    <w:nsid w:val="3222E7CD"/>
    <w:multiLevelType w:val="hybridMultilevel"/>
    <w:lvl w:ilvl="0">
      <w:lvlJc w:val="left"/>
      <w:lvlText w:val="%1"/>
      <w:numFmt w:val="decimal"/>
      <w:start w:val="1"/>
    </w:lvl>
    <w:lvl w:ilvl="1">
      <w:lvlJc w:val="left"/>
      <w:lvlText w:val="%2."/>
      <w:numFmt w:val="lowerLetter"/>
      <w:start w:val="3"/>
    </w:lvl>
  </w:abstractNum>
  <w:abstractNum w:abstractNumId="69">
    <w:nsid w:val="74DE0EE3"/>
    <w:multiLevelType w:val="hybridMultilevel"/>
    <w:lvl w:ilvl="0">
      <w:lvlJc w:val="left"/>
      <w:lvlText w:val="%1."/>
      <w:numFmt w:val="decimal"/>
      <w:start w:val="3"/>
    </w:lvl>
    <w:lvl w:ilvl="1">
      <w:lvlJc w:val="left"/>
      <w:lvlText w:val="%2."/>
      <w:numFmt w:val="lowerLetter"/>
      <w:start w:val="1"/>
    </w:lvl>
  </w:abstractNum>
  <w:abstractNum w:abstractNumId="70">
    <w:nsid w:val="68EBC55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1">
    <w:nsid w:val="2DF6D648"/>
    <w:multiLevelType w:val="hybridMultilevel"/>
    <w:lvl w:ilvl="0">
      <w:lvlJc w:val="left"/>
      <w:lvlText w:val="%1"/>
      <w:numFmt w:val="lowerLetter"/>
      <w:start w:val="1"/>
    </w:lvl>
    <w:lvl w:ilvl="1">
      <w:lvlJc w:val="left"/>
      <w:lvlText w:val="%2."/>
      <w:numFmt w:val="lowerRoman"/>
      <w:start w:val="2"/>
    </w:lvl>
  </w:abstractNum>
  <w:abstractNum w:abstractNumId="72">
    <w:nsid w:val="46B7D447"/>
    <w:multiLevelType w:val="hybridMultilevel"/>
    <w:lvl w:ilvl="0">
      <w:lvlJc w:val="left"/>
      <w:lvlText w:val="%1."/>
      <w:numFmt w:val="lowerLetter"/>
      <w:start w:val="2"/>
    </w:lvl>
    <w:lvl w:ilvl="1">
      <w:lvlJc w:val="left"/>
      <w:lvlText w:val="%2."/>
      <w:numFmt w:val="lowerRoman"/>
      <w:start w:val="1"/>
    </w:lvl>
  </w:abstractNum>
  <w:abstractNum w:abstractNumId="73">
    <w:nsid w:val="4A2AC315"/>
    <w:multiLevelType w:val="hybridMultilevel"/>
    <w:lvl w:ilvl="0">
      <w:lvlJc w:val="left"/>
      <w:lvlText w:val="%1"/>
      <w:numFmt w:val="decimal"/>
      <w:start w:val="1"/>
    </w:lvl>
    <w:lvl w:ilvl="1">
      <w:lvlJc w:val="left"/>
      <w:lvlText w:val="%2."/>
      <w:numFmt w:val="lowerLetter"/>
      <w:start w:val="3"/>
    </w:lvl>
  </w:abstractNum>
  <w:abstractNum w:abstractNumId="74">
    <w:nsid w:val="39EE015C"/>
    <w:multiLevelType w:val="hybridMultilevel"/>
    <w:lvl w:ilvl="0">
      <w:lvlJc w:val="left"/>
      <w:lvlText w:val="%1."/>
      <w:numFmt w:val="decimal"/>
      <w:start w:val="5"/>
    </w:lvl>
    <w:lvl w:ilvl="1">
      <w:lvlJc w:val="left"/>
      <w:lvlText w:val="%2."/>
      <w:numFmt w:val="lowerLetter"/>
      <w:start w:val="1"/>
    </w:lvl>
  </w:abstractNum>
  <w:abstractNum w:abstractNumId="75">
    <w:nsid w:val="57FC4FBB"/>
    <w:multiLevelType w:val="hybridMultilevel"/>
    <w:lvl w:ilvl="0">
      <w:lvlJc w:val="left"/>
      <w:lvlText w:val="%1."/>
      <w:numFmt w:val="lowerLetter"/>
      <w:start w:val="2"/>
    </w:lvl>
  </w:abstractNum>
  <w:abstractNum w:abstractNumId="76">
    <w:nsid w:val="CC1016F"/>
    <w:multiLevelType w:val="hybridMultilevel"/>
    <w:lvl w:ilvl="0">
      <w:lvlJc w:val="left"/>
      <w:lvlText w:val="%1."/>
      <w:numFmt w:val="lowerLetter"/>
      <w:start w:val="4"/>
    </w:lvl>
  </w:abstractNum>
  <w:abstractNum w:abstractNumId="77">
    <w:nsid w:val="43F1842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78">
    <w:nsid w:val="60EF0119"/>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79">
    <w:nsid w:val="26F324BA"/>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80">
    <w:nsid w:val="7F01579B"/>
    <w:multiLevelType w:val="hybridMultilevel"/>
    <w:lvl w:ilvl="0">
      <w:lvlJc w:val="left"/>
      <w:lvlText w:val="%1."/>
      <w:numFmt w:val="decimal"/>
      <w:start w:val="10"/>
    </w:lvl>
    <w:lvl w:ilvl="1">
      <w:lvlJc w:val="left"/>
      <w:lvlText w:val="%2."/>
      <w:numFmt w:val="lowerLetter"/>
      <w:start w:val="1"/>
    </w:lvl>
  </w:abstractNum>
  <w:abstractNum w:abstractNumId="81">
    <w:nsid w:val="49DA307D"/>
    <w:multiLevelType w:val="hybridMultilevel"/>
    <w:lvl w:ilvl="0">
      <w:lvlJc w:val="left"/>
      <w:lvlText w:val="%1."/>
      <w:numFmt w:val="upperLetter"/>
      <w:start w:val="1"/>
    </w:lvl>
  </w:abstractNum>
  <w:abstractNum w:abstractNumId="82">
    <w:nsid w:val="7055A5F5"/>
    <w:multiLevelType w:val="hybridMultilevel"/>
    <w:lvl w:ilvl="0">
      <w:lvlJc w:val="left"/>
      <w:lvlText w:val="%1."/>
      <w:numFmt w:val="decimal"/>
      <w:start w:val="1"/>
    </w:lvl>
  </w:abstractNum>
  <w:abstractNum w:abstractNumId="83">
    <w:nsid w:val="5FB8370B"/>
    <w:multiLevelType w:val="hybridMultilevel"/>
    <w:lvl w:ilvl="0">
      <w:lvlJc w:val="left"/>
      <w:lvlText w:val="%1."/>
      <w:numFmt w:val="decimal"/>
      <w:start w:val="3"/>
    </w:lvl>
  </w:abstractNum>
  <w:abstractNum w:abstractNumId="84">
    <w:nsid w:val="50801EE1"/>
    <w:multiLevelType w:val="hybridMultilevel"/>
    <w:lvl w:ilvl="0">
      <w:lvlJc w:val="left"/>
      <w:lvlText w:val="%1."/>
      <w:numFmt w:val="decimal"/>
      <w:start w:val="5"/>
    </w:lvl>
    <w:lvl w:ilvl="1">
      <w:lvlJc w:val="left"/>
      <w:lvlText w:val="%2."/>
      <w:numFmt w:val="lowerLetter"/>
      <w:start w:val="1"/>
    </w:lvl>
  </w:abstractNum>
  <w:abstractNum w:abstractNumId="85">
    <w:nsid w:val="488AC1A"/>
    <w:multiLevelType w:val="hybridMultilevel"/>
    <w:lvl w:ilvl="0">
      <w:lvlJc w:val="left"/>
      <w:lvlText w:val="%1."/>
      <w:numFmt w:val="upperLetter"/>
      <w:start w:val="1"/>
    </w:lvl>
  </w:abstractNum>
  <w:abstractNum w:abstractNumId="86">
    <w:nsid w:val="5FB8011C"/>
    <w:multiLevelType w:val="hybridMultilevel"/>
    <w:lvl w:ilvl="0">
      <w:lvlJc w:val="left"/>
      <w:lvlText w:val="%1."/>
      <w:numFmt w:val="decimal"/>
      <w:start w:val="1"/>
    </w:lvl>
  </w:abstractNum>
  <w:abstractNum w:abstractNumId="87">
    <w:nsid w:val="6AA78F7F"/>
    <w:multiLevelType w:val="hybridMultilevel"/>
    <w:lvl w:ilvl="0">
      <w:lvlJc w:val="left"/>
      <w:lvlText w:val="%1."/>
      <w:numFmt w:val="decimal"/>
      <w:start w:val="3"/>
    </w:lvl>
    <w:lvl w:ilvl="1">
      <w:lvlJc w:val="left"/>
      <w:lvlText w:val="%2."/>
      <w:numFmt w:val="lowerLetter"/>
      <w:start w:val="1"/>
    </w:lvl>
  </w:abstractNum>
  <w:abstractNum w:abstractNumId="88">
    <w:nsid w:val="7672BD23"/>
    <w:multiLevelType w:val="hybridMultilevel"/>
    <w:lvl w:ilvl="0">
      <w:lvlJc w:val="left"/>
      <w:lvlText w:val="(%1)"/>
      <w:numFmt w:val="lowerLetter"/>
      <w:start w:val="2"/>
    </w:lvl>
  </w:abstractNum>
  <w:abstractNum w:abstractNumId="89">
    <w:nsid w:val="6FC75AF8"/>
    <w:multiLevelType w:val="hybridMultilevel"/>
    <w:lvl w:ilvl="0">
      <w:lvlJc w:val="left"/>
      <w:lvlText w:val="%1."/>
      <w:numFmt w:val="lowerLetter"/>
      <w:start w:val="2"/>
    </w:lvl>
  </w:abstractNum>
  <w:abstractNum w:abstractNumId="90">
    <w:nsid w:val="6A5F7029"/>
    <w:multiLevelType w:val="hybridMultilevel"/>
    <w:lvl w:ilvl="0">
      <w:lvlJc w:val="left"/>
      <w:lvlText w:val="%1."/>
      <w:numFmt w:val="lowerLetter"/>
      <w:start w:val="3"/>
    </w:lvl>
  </w:abstractNum>
  <w:abstractNum w:abstractNumId="91">
    <w:nsid w:val="7D5E18F8"/>
    <w:multiLevelType w:val="hybridMultilevel"/>
    <w:lvl w:ilvl="0">
      <w:lvlJc w:val="left"/>
      <w:lvlText w:val="%1."/>
      <w:numFmt w:val="lowerLetter"/>
      <w:start w:val="4"/>
    </w:lvl>
  </w:abstractNum>
  <w:abstractNum w:abstractNumId="92">
    <w:nsid w:val="5F3534A4"/>
    <w:multiLevelType w:val="hybridMultilevel"/>
    <w:lvl w:ilvl="0">
      <w:lvlJc w:val="left"/>
      <w:lvlText w:val="%1."/>
      <w:numFmt w:val="lowerLetter"/>
      <w:start w:val="5"/>
    </w:lvl>
  </w:abstractNum>
  <w:abstractNum w:abstractNumId="93">
    <w:nsid w:val="73A1821B"/>
    <w:multiLevelType w:val="hybridMultilevel"/>
    <w:lvl w:ilvl="0">
      <w:lvlJc w:val="left"/>
      <w:lvlText w:val="%1"/>
      <w:numFmt w:val="lowerLetter"/>
      <w:start w:val="1"/>
    </w:lvl>
    <w:lvl w:ilvl="1">
      <w:lvlJc w:val="left"/>
      <w:lvlText w:val="(%2)"/>
      <w:numFmt w:val="lowerRoman"/>
      <w:start w:val="3"/>
    </w:lvl>
  </w:abstractNum>
  <w:abstractNum w:abstractNumId="94">
    <w:nsid w:val="7DE67713"/>
    <w:multiLevelType w:val="hybridMultilevel"/>
    <w:lvl w:ilvl="0">
      <w:lvlJc w:val="left"/>
      <w:lvlText w:val="%1."/>
      <w:numFmt w:val="lowerLetter"/>
      <w:start w:val="6"/>
    </w:lvl>
    <w:lvl w:ilvl="1">
      <w:lvlJc w:val="left"/>
      <w:lvlText w:val="%2"/>
      <w:numFmt w:val="lowerRoman"/>
      <w:start w:val="1"/>
    </w:lvl>
  </w:abstractNum>
  <w:abstractNum w:abstractNumId="95">
    <w:nsid w:val="555C55B5"/>
    <w:multiLevelType w:val="hybridMultilevel"/>
    <w:lvl w:ilvl="0">
      <w:lvlJc w:val="left"/>
      <w:lvlText w:val="%1."/>
      <w:numFmt w:val="lowerLetter"/>
      <w:start w:val="6"/>
    </w:lvl>
    <w:lvl w:ilvl="1">
      <w:lvlJc w:val="left"/>
      <w:lvlText w:val="†"/>
      <w:numFmt w:val="bullet"/>
      <w:start w:val="1"/>
    </w:lvl>
  </w:abstractNum>
  <w:abstractNum w:abstractNumId="96">
    <w:nsid w:val="3FA62ACA"/>
    <w:multiLevelType w:val="hybridMultilevel"/>
    <w:lvl w:ilvl="0">
      <w:lvlJc w:val="left"/>
      <w:lvlText w:val="%1."/>
      <w:numFmt w:val="lowerLetter"/>
      <w:start w:val="8"/>
    </w:lvl>
  </w:abstractNum>
  <w:abstractNum w:abstractNumId="97">
    <w:nsid w:val="14FCE74E"/>
    <w:multiLevelType w:val="hybridMultilevel"/>
    <w:lvl w:ilvl="0">
      <w:lvlJc w:val="left"/>
      <w:lvlText w:val="%1."/>
      <w:numFmt w:val="decimal"/>
      <w:start w:val="5"/>
    </w:lvl>
    <w:lvl w:ilvl="1">
      <w:lvlJc w:val="left"/>
      <w:lvlText w:val="%2."/>
      <w:numFmt w:val="lowerLetter"/>
      <w:start w:val="1"/>
    </w:lvl>
  </w:abstractNum>
  <w:abstractNum w:abstractNumId="98">
    <w:nsid w:val="6A3DD3E8"/>
    <w:multiLevelType w:val="hybridMultilevel"/>
    <w:lvl w:ilvl="0">
      <w:lvlJc w:val="left"/>
      <w:lvlText w:val="%1"/>
      <w:numFmt w:val="decimal"/>
      <w:start w:val="1"/>
    </w:lvl>
    <w:lvl w:ilvl="1">
      <w:lvlJc w:val="left"/>
      <w:lvlText w:val="%2."/>
      <w:numFmt w:val="lowerLetter"/>
      <w:start w:val="5"/>
    </w:lvl>
  </w:abstractNum>
  <w:abstractNum w:abstractNumId="99">
    <w:nsid w:val="71C91298"/>
    <w:multiLevelType w:val="hybridMultilevel"/>
    <w:lvl w:ilvl="0">
      <w:lvlJc w:val="left"/>
      <w:lvlText w:val="%1."/>
      <w:numFmt w:val="decimal"/>
      <w:start w:val="6"/>
    </w:lvl>
    <w:lvl w:ilvl="1">
      <w:lvlJc w:val="left"/>
      <w:lvlText w:val="%2"/>
      <w:numFmt w:val="lowerLetter"/>
      <w:start w:val="1"/>
    </w:lvl>
  </w:abstractNum>
  <w:abstractNum w:abstractNumId="100">
    <w:nsid w:val="9DAF632"/>
    <w:multiLevelType w:val="hybridMultilevel"/>
    <w:lvl w:ilvl="0">
      <w:lvlJc w:val="left"/>
      <w:lvlText w:val="%1."/>
      <w:numFmt w:val="decimal"/>
      <w:start w:val="7"/>
    </w:lvl>
    <w:lvl w:ilvl="1">
      <w:lvlJc w:val="left"/>
      <w:lvlText w:val="(%2)"/>
      <w:numFmt w:val="lowerLetter"/>
      <w:start w:val="8"/>
    </w:lvl>
  </w:abstractNum>
  <w:abstractNum w:abstractNumId="101">
    <w:nsid w:val="53299938"/>
    <w:multiLevelType w:val="hybridMultilevel"/>
    <w:lvl w:ilvl="0">
      <w:lvlJc w:val="left"/>
      <w:lvlText w:val="%1"/>
      <w:numFmt w:val="decimal"/>
      <w:start w:val="1"/>
    </w:lvl>
    <w:lvl w:ilvl="1">
      <w:lvlJc w:val="left"/>
      <w:lvlText w:val="(%2)"/>
      <w:numFmt w:val="lowerLetter"/>
      <w:start w:val="6"/>
    </w:lvl>
  </w:abstractNum>
  <w:abstractNum w:abstractNumId="102">
    <w:nsid w:val="1FBFE8E0"/>
    <w:multiLevelType w:val="hybridMultilevel"/>
    <w:lvl w:ilvl="0">
      <w:lvlJc w:val="left"/>
      <w:lvlText w:val="%1."/>
      <w:numFmt w:val="decimal"/>
      <w:start w:val="10"/>
    </w:lvl>
    <w:lvl w:ilvl="1">
      <w:lvlJc w:val="left"/>
      <w:lvlText w:val="%2"/>
      <w:numFmt w:val="lowerLetter"/>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1."/>
      <w:numFmt w:val="decimal"/>
      <w:start w:val="11"/>
    </w:lvl>
    <w:lvl w:ilvl="1">
      <w:lvlJc w:val="left"/>
      <w:lvlText w:val="%2."/>
      <w:numFmt w:val="lowerLetter"/>
      <w:start w:val="1"/>
    </w:lvl>
  </w:abstractNum>
  <w:abstractNum w:abstractNumId="105">
    <w:nsid w:val="59ADEA3D"/>
    <w:multiLevelType w:val="hybridMultilevel"/>
    <w:lvl w:ilvl="0">
      <w:lvlJc w:val="left"/>
      <w:lvlText w:val="(%1)"/>
      <w:numFmt w:val="decimal"/>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lvl w:ilvl="1">
      <w:lvlJc w:val="left"/>
      <w:lvlText w:val="(%2)"/>
      <w:numFmt w:val="lowerLetter"/>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0" Type="http://schemas.openxmlformats.org/officeDocument/2006/relationships/image" Target="media/image128.png"/><Relationship Id="rId156"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jpe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jpeg"/><Relationship Id="rId187" Type="http://schemas.openxmlformats.org/officeDocument/2006/relationships/image" Target="media/image157.png"/><Relationship Id="rId188" Type="http://schemas.openxmlformats.org/officeDocument/2006/relationships/image" Target="media/image158.jpe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jpe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jpe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jpeg"/><Relationship Id="rId201" Type="http://schemas.openxmlformats.org/officeDocument/2006/relationships/image" Target="media/image171.png"/><Relationship Id="rId202" Type="http://schemas.openxmlformats.org/officeDocument/2006/relationships/image" Target="media/image172.jpeg"/><Relationship Id="rId203" Type="http://schemas.openxmlformats.org/officeDocument/2006/relationships/image" Target="media/image173.png"/><Relationship Id="rId204" Type="http://schemas.openxmlformats.org/officeDocument/2006/relationships/image" Target="media/image174.jpeg"/><Relationship Id="rId205" Type="http://schemas.openxmlformats.org/officeDocument/2006/relationships/image" Target="media/image175.png"/><Relationship Id="rId206" Type="http://schemas.openxmlformats.org/officeDocument/2006/relationships/image" Target="media/image176.jpeg"/><Relationship Id="rId207" Type="http://schemas.openxmlformats.org/officeDocument/2006/relationships/image" Target="media/image177.png"/><Relationship Id="rId208" Type="http://schemas.openxmlformats.org/officeDocument/2006/relationships/image" Target="media/image178.jpeg"/><Relationship Id="rId209" Type="http://schemas.openxmlformats.org/officeDocument/2006/relationships/image" Target="media/image179.png"/><Relationship Id="rId210" Type="http://schemas.openxmlformats.org/officeDocument/2006/relationships/image" Target="media/image180.jpeg"/><Relationship Id="rId211" Type="http://schemas.openxmlformats.org/officeDocument/2006/relationships/image" Target="media/image181.png"/><Relationship Id="rId212" Type="http://schemas.openxmlformats.org/officeDocument/2006/relationships/image" Target="media/image182.jpe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jpeg"/><Relationship Id="rId218" Type="http://schemas.openxmlformats.org/officeDocument/2006/relationships/image" Target="media/image188.png"/><Relationship Id="rId219" Type="http://schemas.openxmlformats.org/officeDocument/2006/relationships/image" Target="media/image189.jpe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135" Type="http://schemas.openxmlformats.org/officeDocument/2006/relationships/hyperlink" Target="http://www.sec.gov/Archives/edgar/data/1661059/000104746919003060/a2238817zex-3_1.htm" TargetMode="External"/><Relationship Id="rId136" Type="http://schemas.openxmlformats.org/officeDocument/2006/relationships/hyperlink" Target="http://www.sec.gov/Archives/edgar/data/1661059/000104746919003060/a2238817zex-3_2.htm" TargetMode="External"/><Relationship Id="rId137" Type="http://schemas.openxmlformats.org/officeDocument/2006/relationships/hyperlink" Target="http://www.sec.gov/Archives/edgar/data/1661059/000104746919002203/a2238441zex-4_1.htm" TargetMode="External"/><Relationship Id="rId138" Type="http://schemas.openxmlformats.org/officeDocument/2006/relationships/hyperlink" Target="https://www.sec.gov/Archives/edgar/data/1661059/000155837020002566/nxtc-20191231ex42d841f91.htm" TargetMode="External"/><Relationship Id="rId139" Type="http://schemas.openxmlformats.org/officeDocument/2006/relationships/hyperlink" Target="http://www.sec.gov/Archives/edgar/data/1661059/000104746919002203/a2238441zex-10_1.htm" TargetMode="External"/><Relationship Id="rId141" Type="http://schemas.openxmlformats.org/officeDocument/2006/relationships/hyperlink" Target="http://www.sec.gov/Archives/edgar/data/1661059/000104746919002203/a2238441zex-10_2.htm" TargetMode="External"/><Relationship Id="rId142" Type="http://schemas.openxmlformats.org/officeDocument/2006/relationships/hyperlink" Target="https://www.sec.gov/Archives/edgar/data/0001661059/000155837021002384/nxtc-20201231ex10322e166.htm" TargetMode="External"/><Relationship Id="rId143" Type="http://schemas.openxmlformats.org/officeDocument/2006/relationships/hyperlink" Target="https://www.sec.gov/Archives/edgar/data/1661059/000104746919002203/a2238441zex-10_6.htm" TargetMode="External"/><Relationship Id="rId144" Type="http://schemas.openxmlformats.org/officeDocument/2006/relationships/hyperlink" Target="http://www.sec.gov/Archives/edgar/data/1661059/000104746919002203/a2238441zex-10_7.htm" TargetMode="External"/><Relationship Id="rId145" Type="http://schemas.openxmlformats.org/officeDocument/2006/relationships/hyperlink" Target="http://www.sec.gov/Archives/edgar/data/1661059/000104746919002652/a2238596zex-10_8.htm" TargetMode="External"/><Relationship Id="rId146" Type="http://schemas.openxmlformats.org/officeDocument/2006/relationships/hyperlink" Target="http://www.sec.gov/Archives/edgar/data/1661059/000104746919002652/a2238596zex-10_9.htm" TargetMode="External"/><Relationship Id="rId147" Type="http://schemas.openxmlformats.org/officeDocument/2006/relationships/hyperlink" Target="http://www.sec.gov/Archives/edgar/data/1661059/000104746919002652/a2238596zex-10_10.htm" TargetMode="External"/><Relationship Id="rId148" Type="http://schemas.openxmlformats.org/officeDocument/2006/relationships/hyperlink" Target="http://www.sec.gov/Archives/edgar/data/1661059/000104746919002652/a2238596zex-10_11.htm" TargetMode="External"/><Relationship Id="rId149" Type="http://schemas.openxmlformats.org/officeDocument/2006/relationships/hyperlink" Target="http://www.sec.gov/Archives/edgar/data/1661059/000104746919002652/a2238596zex-10_12.htm" TargetMode="External"/><Relationship Id="rId150" Type="http://schemas.openxmlformats.org/officeDocument/2006/relationships/hyperlink" Target="https://www.sec.gov/Archives/edgar/data/1661059/000110465920104856/tm2030788d1_ex10-1.htm" TargetMode="External"/><Relationship Id="rId151" Type="http://schemas.openxmlformats.org/officeDocument/2006/relationships/hyperlink" Target="http://www.sec.gov/Archives/edgar/data/1661059/000104746919002203/a2238441zex-10_5.htm" TargetMode="External"/><Relationship Id="rId152" Type="http://schemas.openxmlformats.org/officeDocument/2006/relationships/hyperlink" Target="https://www.sec.gov/Archives/edgar/data/1661059/000110465920089093/tm2026202d1_ex10-1.htm" TargetMode="External"/><Relationship Id="rId153" Type="http://schemas.openxmlformats.org/officeDocument/2006/relationships/hyperlink" Target="https://www.sec.gov/Archives/edgar/data/1661059/000110465920089093/tm2026202d1_ex10-2.htm" TargetMode="External"/><Relationship Id="rId154" Type="http://schemas.openxmlformats.org/officeDocument/2006/relationships/hyperlink" Target="https://www.sec.gov/Archives/edgar/data/1661059/000110465920089093/tm2026202d1_ex10-3.htm" TargetMode="External"/><Relationship Id="rId155" Type="http://schemas.openxmlformats.org/officeDocument/2006/relationships/hyperlink" Target="http://www.sec.gov/Archives/edgar/data/1661059/000104746919002203/a2238441zex-10_14.htm" TargetMode="External"/><Relationship Id="rId157" Type="http://schemas.openxmlformats.org/officeDocument/2006/relationships/hyperlink" Target="http://www.sec.gov/Archives/edgar/data/1661059/000155837019010701/nxtc-20190930ex101b27cfe.htm" TargetMode="External"/><Relationship Id="rId158" Type="http://schemas.openxmlformats.org/officeDocument/2006/relationships/hyperlink" Target="https://www.sec.gov/Archives/edgar/data/1661059/000155837021014632/nxtc-20210930xex10d1.htm" TargetMode="External"/><Relationship Id="rId159" Type="http://schemas.openxmlformats.org/officeDocument/2006/relationships/hyperlink" Target="http://www.sec.gov/Archives/edgar/data/1661059/000104746919002203/a2238441z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2022-03-03T16:12:44Z</dcterms:created>
  <dcterms:modified xsi:type="dcterms:W3CDTF">2022-03-03T16:12:44Z</dcterms:modified>
</cp:coreProperties>
</file>