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lineRule="auto" w:line="307" w:before="0" w:after="160"/>
        <w:ind w:left="0" w:right="0" w:hanging="0"/>
        <w:jc w:val="left"/>
        <w:rPr/>
      </w:pPr>
      <w:bookmarkStart w:id="0" w:name="nxtc-20260806x8k.htm"/>
      <w:bookmarkStart w:id="1" w:name="ksnxtc20260806x8k"/>
      <w:bookmarkEnd w:id="0"/>
      <w:bookmarkEnd w:id="1"/>
      <w:r>
        <w:rPr/>
        <w:t>​</w:t>
      </w:r>
    </w:p>
    <w:p>
      <w:pPr>
        <w:pStyle w:val="TextBody"/>
        <w:pBdr>
          <w:bottom w:val="single" w:sz="8"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36"/>
        </w:rPr>
      </w:pPr>
      <w:bookmarkStart w:id="2" w:name="_a05671f1_94b5_44d0_8d16_8e29cd502ade"/>
      <w:bookmarkEnd w:id="2"/>
      <w:r>
        <w:rPr>
          <w:rFonts w:ascii="Times New Roman;Times;serif" w:hAnsi="Times New Roman;Times;serif"/>
          <w:b/>
          <w:sz w:val="36"/>
        </w:rPr>
        <w:t>UNITED STATES</w:t>
        <w:b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br/>
        <w:t>Pursuant to Section 13 or 15(d) of the Securities Exchange Act of 1934</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August 6, 2026</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NextCure,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 </w:t>
      </w:r>
    </w:p>
    <w:tbl>
      <w:tblPr>
        <w:tblW w:w="9160" w:type="dxa"/>
        <w:jc w:val="left"/>
        <w:tblInd w:w="0" w:type="dxa"/>
        <w:tblLayout w:type="fixed"/>
        <w:tblCellMar>
          <w:top w:w="0" w:type="dxa"/>
          <w:left w:w="0" w:type="dxa"/>
          <w:bottom w:w="0" w:type="dxa"/>
          <w:right w:w="0" w:type="dxa"/>
        </w:tblCellMar>
      </w:tblPr>
      <w:tblGrid>
        <w:gridCol w:w="3676"/>
        <w:gridCol w:w="146"/>
        <w:gridCol w:w="2296"/>
        <w:gridCol w:w="146"/>
        <w:gridCol w:w="289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Delaware</w:t>
              <w:br/>
            </w:r>
            <w:r>
              <w:rPr>
                <w:rFonts w:ascii="Times New Roman;Times;serif" w:hAnsi="Times New Roman;Times;serif"/>
                <w:sz w:val="20"/>
              </w:rPr>
              <w:t>(State or other jurisdiction of incorporation)</w:t>
            </w:r>
          </w:p>
        </w:tc>
        <w:tc>
          <w:tcPr>
            <w:tcW w:w="146"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001-38905</w:t>
              <w:br/>
            </w:r>
            <w:r>
              <w:rPr>
                <w:rFonts w:ascii="Times New Roman;Times;serif" w:hAnsi="Times New Roman;Times;serif"/>
                <w:sz w:val="20"/>
              </w:rPr>
              <w:t>(Commission File Number)</w:t>
            </w:r>
          </w:p>
        </w:tc>
        <w:tc>
          <w:tcPr>
            <w:tcW w:w="146" w:type="dxa"/>
            <w:tcBorders/>
            <w:vAlign w:val="center"/>
          </w:tcPr>
          <w:p>
            <w:pPr>
              <w:pStyle w:val="TableContents"/>
              <w:bidi w:val="0"/>
              <w:spacing w:lineRule="auto" w:line="285" w:before="0" w:after="0"/>
              <w:ind w:left="0" w:right="0" w:hanging="0"/>
              <w:jc w:val="left"/>
              <w:rPr/>
            </w:pPr>
            <w:r>
              <w:rPr/>
              <w:t> </w:t>
            </w:r>
          </w:p>
        </w:tc>
        <w:tc>
          <w:tcPr>
            <w:tcW w:w="2896" w:type="dxa"/>
            <w:tcBorders/>
            <w:vAlign w:val="center"/>
          </w:tcPr>
          <w:p>
            <w:pPr>
              <w:pStyle w:val="TableContents"/>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47-5231247</w:t>
              <w:br/>
            </w:r>
            <w:r>
              <w:rPr>
                <w:rFonts w:ascii="Times New Roman;Times;serif" w:hAnsi="Times New Roman;Times;serif"/>
                <w:sz w:val="20"/>
              </w:rPr>
              <w:t>(IRS Employer Identification No.)</w:t>
            </w:r>
          </w:p>
        </w:tc>
      </w:tr>
    </w:tbl>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p>
      <w:pPr>
        <w:pStyle w:val="Normal"/>
        <w:bidi w:val="0"/>
        <w:spacing w:before="0" w:after="0"/>
        <w:jc w:val="left"/>
        <w:rPr>
          <w:sz w:val="4"/>
          <w:szCs w:val="4"/>
        </w:rPr>
      </w:pPr>
      <w:r>
        <w:rPr>
          <w:sz w:val="4"/>
          <w:szCs w:val="4"/>
        </w:rPr>
      </w:r>
      <w:bookmarkStart w:id="3" w:name="Tc_CmICEdJIckGUkMnEr2KYIw_3_0"/>
      <w:bookmarkStart w:id="4" w:name="Tc_Bq0wnSn-R0C3rTzu1osDNg_2_2"/>
      <w:bookmarkStart w:id="5" w:name="Tc_cXi4N9-vUU6VJU-S-32UVA_2_0"/>
      <w:bookmarkStart w:id="6" w:name="Tc_TGnovYeSzEKJpPpF_hLesQ_1_0"/>
      <w:bookmarkStart w:id="7" w:name="_2aff84aa_b833_42e6_86ca_720304bb3c4b"/>
      <w:bookmarkStart w:id="8" w:name="Tc_CmICEdJIckGUkMnEr2KYIw_3_0"/>
      <w:bookmarkStart w:id="9" w:name="Tc_Bq0wnSn-R0C3rTzu1osDNg_2_2"/>
      <w:bookmarkStart w:id="10" w:name="Tc_cXi4N9-vUU6VJU-S-32UVA_2_0"/>
      <w:bookmarkStart w:id="11" w:name="Tc_TGnovYeSzEKJpPpF_hLesQ_1_0"/>
      <w:bookmarkStart w:id="12" w:name="_2aff84aa_b833_42e6_86ca_720304bb3c4b"/>
      <w:bookmarkEnd w:id="8"/>
      <w:bookmarkEnd w:id="9"/>
      <w:bookmarkEnd w:id="10"/>
      <w:bookmarkEnd w:id="11"/>
      <w:bookmarkEnd w:id="12"/>
    </w:p>
    <w:tbl>
      <w:tblPr>
        <w:tblW w:w="4483" w:type="dxa"/>
        <w:jc w:val="left"/>
        <w:tblInd w:w="0" w:type="dxa"/>
        <w:tblLayout w:type="fixed"/>
        <w:tblCellMar>
          <w:top w:w="0" w:type="dxa"/>
          <w:left w:w="0" w:type="dxa"/>
          <w:bottom w:w="0" w:type="dxa"/>
          <w:right w:w="0" w:type="dxa"/>
        </w:tblCellMar>
      </w:tblPr>
      <w:tblGrid>
        <w:gridCol w:w="3301"/>
        <w:gridCol w:w="146"/>
        <w:gridCol w:w="1036"/>
      </w:tblGrid>
      <w:tr>
        <w:trPr/>
        <w:tc>
          <w:tcPr>
            <w:tcW w:w="3301"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307" w:before="0" w:after="16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710" cy="29210"/>
                      <wp:effectExtent l="0" t="0" r="0" b="0"/>
                      <wp:wrapNone/>
                      <wp:docPr id="3" name="Frame3"/>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57860" cy="29210"/>
                      <wp:effectExtent l="0" t="0" r="0" b="0"/>
                      <wp:wrapNone/>
                      <wp:docPr id="4" name="Frame4"/>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8000 Virginia Manor Road, Suite 140</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Beltsville, Maryland</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20705</w: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pPr>
            <w:r>
              <w:rPr/>
              <w:t> </w:t>
            </w:r>
          </w:p>
        </w:tc>
      </w:tr>
    </w:tbl>
    <w:p>
      <w:pPr>
        <w:pStyle w:val="TextBody"/>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(240) 399-4900</w:t>
      </w:r>
      <w:r>
        <w:rPr>
          <w:rFonts w:ascii="Helvetica;sans-serif" w:hAnsi="Helvetica;sans-serif"/>
          <w:sz w:val="22"/>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p>
    <w:p>
      <w:pPr>
        <w:pStyle w:val="TextBody"/>
        <w:bidi w:val="0"/>
        <w:spacing w:lineRule="auto" w:line="307" w:before="0" w:after="0"/>
        <w:ind w:left="0" w:right="0" w:hanging="0"/>
        <w:jc w:val="center"/>
        <w:rPr>
          <w:rFonts w:ascii="Times New Roman;Times;serif" w:hAnsi="Times New Roman;Times;serif"/>
          <w:b/>
          <w:sz w:val="18"/>
        </w:rPr>
      </w:pPr>
      <w:r>
        <w:rPr>
          <w:rFonts w:ascii="Times New Roman;Times;serif" w:hAnsi="Times New Roman;Times;serif"/>
          <w:b/>
          <w:sz w:val="18"/>
        </w:rPr>
        <w:t>9000 Virginia Manor Road, Suite 200</w:t>
      </w:r>
    </w:p>
    <w:p>
      <w:pPr>
        <w:pStyle w:val="TextBody"/>
        <w:bidi w:val="0"/>
        <w:spacing w:lineRule="auto" w:line="307" w:before="0" w:after="0"/>
        <w:ind w:left="0" w:right="0" w:hanging="0"/>
        <w:jc w:val="center"/>
        <w:rPr>
          <w:rFonts w:ascii="Times New Roman;Times;serif" w:hAnsi="Times New Roman;Times;serif"/>
          <w:b/>
          <w:sz w:val="18"/>
        </w:rPr>
      </w:pPr>
      <w:r>
        <w:rPr>
          <w:rFonts w:ascii="Times New Roman;Times;serif" w:hAnsi="Times New Roman;Times;serif"/>
          <w:b/>
          <w:sz w:val="18"/>
        </w:rPr>
        <w:t>Beltsville, MD 20705</w:t>
      </w:r>
    </w:p>
    <w:p>
      <w:pPr>
        <w:pStyle w:val="TextBody"/>
        <w:bidi w:val="0"/>
        <w:spacing w:lineRule="auto" w:line="285" w:before="0" w:after="0"/>
        <w:ind w:left="0" w:right="0" w:hanging="0"/>
        <w:jc w:val="center"/>
        <w:rPr/>
      </w:pPr>
      <w:r>
        <w:rPr/>
        <w:t> </w:t>
      </w:r>
      <w:r>
        <w:rPr>
          <w:rFonts w:ascii="Times New Roman;Times;serif" w:hAnsi="Times New Roman;Times;serif"/>
          <w:sz w:val="20"/>
        </w:rPr>
        <w:t>(Former name or former address, if changed since last report.)</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lineRule="auto" w:line="285" w:before="0" w:after="0"/>
        <w:ind w:left="0" w:right="0" w:hanging="0"/>
        <w:jc w:val="left"/>
        <w:rPr/>
      </w:pPr>
      <w:r>
        <w:rPr/>
        <w:t>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A6ZjSUUumkGkGB21KEppdg_2_2"/>
      <w:bookmarkStart w:id="14" w:name="Tc_ufY7vzwuHESRaOR3_23rkw_2_1"/>
      <w:bookmarkStart w:id="15" w:name="Tc_Sb2D_QWae0OBZrdvf8EHEA_2_0"/>
      <w:bookmarkStart w:id="16" w:name="_6dbbe4be_96f8_4435_8798_5ad7ad542be8"/>
      <w:bookmarkStart w:id="17" w:name="Tc_A6ZjSUUumkGkGB21KEppdg_2_2"/>
      <w:bookmarkStart w:id="18" w:name="Tc_ufY7vzwuHESRaOR3_23rkw_2_1"/>
      <w:bookmarkStart w:id="19" w:name="Tc_Sb2D_QWae0OBZrdvf8EHEA_2_0"/>
      <w:bookmarkStart w:id="20" w:name="_6dbbe4be_96f8_4435_8798_5ad7ad542be8"/>
      <w:bookmarkEnd w:id="17"/>
      <w:bookmarkEnd w:id="18"/>
      <w:bookmarkEnd w:id="19"/>
      <w:bookmarkEnd w:id="20"/>
    </w:p>
    <w:tbl>
      <w:tblPr>
        <w:tblW w:w="8238" w:type="dxa"/>
        <w:jc w:val="left"/>
        <w:tblInd w:w="0" w:type="dxa"/>
        <w:tblLayout w:type="fixed"/>
        <w:tblCellMar>
          <w:top w:w="0" w:type="dxa"/>
          <w:left w:w="0" w:type="dxa"/>
          <w:bottom w:w="0" w:type="dxa"/>
          <w:right w:w="0" w:type="dxa"/>
        </w:tblCellMar>
      </w:tblPr>
      <w:tblGrid>
        <w:gridCol w:w="3196"/>
        <w:gridCol w:w="1561"/>
        <w:gridCol w:w="34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left"/>
              <w:rPr/>
            </w:pPr>
            <w:r>
              <w:rPr/>
              <w:t> </w:t>
            </w:r>
          </w:p>
        </w:tc>
        <w:tc>
          <w:tcPr>
            <w:tcW w:w="3481" w:type="dxa"/>
            <w:tcBorders/>
            <w:vAlign w:val="center"/>
          </w:tcPr>
          <w:p>
            <w:pPr>
              <w:pStyle w:val="TableContents"/>
              <w:bidi w:val="0"/>
              <w:spacing w:before="0" w:after="0"/>
              <w:ind w:left="0" w:right="0" w:hanging="0"/>
              <w:jc w:val="left"/>
              <w:rPr/>
            </w:pPr>
            <w:r>
              <w:rPr/>
              <w:t> </w:t>
            </w:r>
          </w:p>
        </w:tc>
      </w:tr>
      <w:tr>
        <w:trPr/>
        <w:tc>
          <w:tcPr>
            <w:tcW w:w="3196"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96"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NXTC</w:t>
            </w:r>
          </w:p>
        </w:tc>
        <w:tc>
          <w:tcPr>
            <w:tcW w:w="3481" w:type="dxa"/>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left"/>
        <w:rPr/>
      </w:pPr>
      <w:r>
        <w:rPr/>
        <w:t> </w:t>
      </w:r>
    </w:p>
    <w:p>
      <w:pPr>
        <w:pStyle w:val="TextBody"/>
        <w:bidi w:val="0"/>
        <w:spacing w:lineRule="auto" w:line="285" w:before="0" w:after="0"/>
        <w:ind w:left="0" w:right="0" w:hanging="0"/>
        <w:jc w:val="left"/>
        <w:rPr>
          <w:rFonts w:ascii="Helvetica;sans-serif" w:hAnsi="Helvetica;sans-serif"/>
          <w:sz w:val="22"/>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rFonts w:ascii="Helvetica;sans-serif" w:hAnsi="Helvetica;sans-serif"/>
          <w:sz w:val="22"/>
        </w:rPr>
        <w:t xml:space="preserve"> ☐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Helvetica;sans-serif" w:hAnsi="Helvetica;sans-serif"/>
          <w:sz w:val="20"/>
        </w:rPr>
        <w:t>☐</w:t>
      </w:r>
    </w:p>
    <w:p>
      <w:pPr>
        <w:pStyle w:val="TextBody"/>
        <w:pBdr>
          <w:bottom w:val="single" w:sz="8"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bookmarkStart w:id="21" w:name="_e8dc0a8d_446a_418d_b519_6ba29feac041"/>
      <w:bookmarkEnd w:id="21"/>
      <w:r>
        <w:rPr>
          <w:rFonts w:ascii="Helvetica;sans-serif" w:hAnsi="Helvetica;sans-serif"/>
          <w:b/>
          <w:i w:val="false"/>
          <w:caps w:val="false"/>
          <w:smallCaps w:val="false"/>
          <w:sz w:val="20"/>
          <w:shd w:fill="FFFFFF" w:val="clear"/>
        </w:rPr>
        <w:t xml:space="preserve">Item 2.02 </w:t>
      </w:r>
      <w:r>
        <w:rPr>
          <w:rFonts w:ascii="Times New Roman;Times;serif" w:hAnsi="Times New Roman;Times;serif"/>
          <w:b/>
          <w:sz w:val="20"/>
        </w:rPr>
        <w:t>Results of Operations and Financial Condition</w:t>
      </w:r>
    </w:p>
    <w:p>
      <w:pPr>
        <w:pStyle w:val="TextBody"/>
        <w:bidi w:val="0"/>
        <w:spacing w:lineRule="auto" w:line="307" w:before="0" w:after="160"/>
        <w:ind w:left="0" w:right="0" w:hanging="0"/>
        <w:jc w:val="left"/>
        <w:rPr/>
      </w:pPr>
      <w:r>
        <w:rPr/>
        <w:t>​</w:t>
      </w:r>
    </w:p>
    <w:p>
      <w:pPr>
        <w:pStyle w:val="TextBody"/>
        <w:bidi w:val="0"/>
        <w:spacing w:lineRule="auto" w:line="285" w:before="0" w:after="160"/>
        <w:ind w:left="0" w:right="0" w:firstLine="720"/>
        <w:jc w:val="left"/>
        <w:rPr>
          <w:rFonts w:ascii="Helvetica;sans-serif" w:hAnsi="Helvetica;sans-serif"/>
          <w:sz w:val="20"/>
        </w:rPr>
      </w:pPr>
      <w:r>
        <w:rPr>
          <w:rFonts w:ascii="Times New Roman;Times;serif" w:hAnsi="Times New Roman;Times;serif"/>
          <w:sz w:val="20"/>
        </w:rPr>
        <w:t xml:space="preserve">On August 6, 2026, </w:t>
      </w:r>
      <w:r>
        <w:rPr>
          <w:rFonts w:ascii="Times New Roman;Times;serif" w:hAnsi="Times New Roman;Times;serif"/>
          <w:color w:val="212529"/>
          <w:sz w:val="20"/>
        </w:rPr>
        <w:t>NextCure, Inc. (the “Company”)</w:t>
      </w:r>
      <w:r>
        <w:rPr>
          <w:rFonts w:ascii="Helvetica;sans-serif" w:hAnsi="Helvetica;sans-serif"/>
          <w:sz w:val="20"/>
        </w:rPr>
        <w:t xml:space="preserve"> </w:t>
      </w:r>
      <w:r>
        <w:rPr>
          <w:rFonts w:ascii="Times New Roman;Times;serif" w:hAnsi="Times New Roman;Times;serif"/>
          <w:sz w:val="20"/>
        </w:rPr>
        <w:t>issued a press release announcing its financial results for the quarter ended June 30, 2026. The Company is furnishing a copy of the press release, which is attached hereto as Exhibit 99.1.</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information furnished in this Item 2.02 (including Exhibit 99.1) shall not be deemed to be “filed” for purposes of Section 18 of the Securities Exchange Act of 1934, as amended (the “Exchange Act”), or otherwise subject to the liabilities of that section, and is not incorporated by reference into any filing under the securities Act of 1933, as amended, or the Exchange Act, except as shall be expressly set forth by specific reference in such a filing.</w:t>
      </w:r>
    </w:p>
    <w:p>
      <w:pPr>
        <w:pStyle w:val="TextBody"/>
        <w:shd w:fill="FFFFFF" w:val="clear"/>
        <w:bidi w:val="0"/>
        <w:spacing w:lineRule="auto" w:line="307" w:before="0" w:after="160"/>
        <w:ind w:left="0" w:right="0" w:firstLine="720"/>
        <w:jc w:val="left"/>
        <w:rPr>
          <w:color w:val="212529"/>
        </w:rPr>
      </w:pPr>
      <w:r>
        <w:rPr>
          <w:color w:val="212529"/>
        </w:rPr>
        <w:t>​</w:t>
      </w:r>
    </w:p>
    <w:p>
      <w:pPr>
        <w:pStyle w:val="TextBody"/>
        <w:bidi w:val="0"/>
        <w:spacing w:lineRule="auto" w:line="307" w:before="0" w:after="160"/>
        <w:ind w:left="0" w:right="0" w:hanging="0"/>
        <w:jc w:val="left"/>
        <w:rPr/>
      </w:pPr>
      <w:r>
        <w:rPr/>
        <w:t>​</w:t>
      </w:r>
    </w:p>
    <w:p>
      <w:pPr>
        <w:pStyle w:val="TextBody"/>
        <w:bidi w:val="0"/>
        <w:spacing w:lineRule="auto" w:line="285" w:before="280" w:after="0"/>
        <w:ind w:left="0" w:right="0" w:hanging="0"/>
        <w:jc w:val="left"/>
        <w:rPr>
          <w:rFonts w:ascii="Times New Roman;Times;serif" w:hAnsi="Times New Roman;Times;serif"/>
          <w:sz w:val="20"/>
        </w:rPr>
      </w:pPr>
      <w:bookmarkStart w:id="22" w:name="_d937eb19_91b9_4c7b_933f_2c46f4b02d88"/>
      <w:bookmarkEnd w:id="22"/>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lineRule="auto" w:line="285" w:before="280" w:after="0"/>
        <w:ind w:left="0" w:right="0" w:hanging="0"/>
        <w:jc w:val="both"/>
        <w:rPr>
          <w:rFonts w:ascii="Times New Roman;Times;serif" w:hAnsi="Times New Roman;Times;serif"/>
          <w:sz w:val="20"/>
        </w:rPr>
      </w:pPr>
      <w:r>
        <w:rPr>
          <w:rFonts w:ascii="Times New Roman;Times;serif" w:hAnsi="Times New Roman;Times;serif"/>
          <w:sz w:val="20"/>
        </w:rPr>
        <w:t>(d) Exhibits</w:t>
      </w:r>
    </w:p>
    <w:tbl>
      <w:tblPr>
        <w:tblW w:w="7146" w:type="dxa"/>
        <w:jc w:val="left"/>
        <w:tblInd w:w="0" w:type="dxa"/>
        <w:tblLayout w:type="fixed"/>
        <w:tblCellMar>
          <w:top w:w="0" w:type="dxa"/>
          <w:left w:w="0" w:type="dxa"/>
          <w:bottom w:w="0" w:type="dxa"/>
          <w:right w:w="0" w:type="dxa"/>
        </w:tblCellMar>
      </w:tblPr>
      <w:tblGrid>
        <w:gridCol w:w="1081"/>
        <w:gridCol w:w="109"/>
        <w:gridCol w:w="5956"/>
      </w:tblGrid>
      <w:tr>
        <w:trPr/>
        <w:tc>
          <w:tcPr>
            <w:tcW w:w="108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9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Exhibit No.</w:t>
            </w:r>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00" w:after="100"/>
              <w:ind w:left="0" w:right="0" w:hanging="0"/>
              <w:jc w:val="both"/>
              <w:rPr/>
            </w:pPr>
            <w:r>
              <w:rPr/>
              <w:t>​</w:t>
            </w:r>
          </w:p>
        </w:tc>
        <w:tc>
          <w:tcPr>
            <w:tcW w:w="595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pPr>
            <w:hyperlink w:anchor="nxtc-20260806xex99d1.htm">
              <w:r>
                <w:rPr>
                  <w:rStyle w:val="InternetLink"/>
                  <w:rFonts w:ascii="Times New Roman;Times;serif" w:hAnsi="Times New Roman;Times;serif"/>
                  <w:b w:val="false"/>
                  <w:i w:val="false"/>
                  <w:caps w:val="false"/>
                  <w:smallCaps w:val="false"/>
                  <w:sz w:val="24"/>
                </w:rPr>
                <w:t>99.1</w:t>
              </w:r>
            </w:hyperlink>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00" w:after="100"/>
              <w:ind w:left="0" w:right="0" w:hanging="0"/>
              <w:jc w:val="both"/>
              <w:rPr/>
            </w:pPr>
            <w:r>
              <w:rPr/>
              <w:t>​</w:t>
            </w:r>
          </w:p>
        </w:tc>
        <w:tc>
          <w:tcPr>
            <w:tcW w:w="595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pPr>
            <w:hyperlink w:anchor="nxtc-20260806xex99d1.htm">
              <w:r>
                <w:rPr>
                  <w:rStyle w:val="InternetLink"/>
                  <w:rFonts w:ascii="Times New Roman;Times;serif" w:hAnsi="Times New Roman;Times;serif"/>
                  <w:b w:val="false"/>
                  <w:i w:val="false"/>
                  <w:caps w:val="false"/>
                  <w:smallCaps w:val="false"/>
                  <w:sz w:val="24"/>
                </w:rPr>
                <w:t>Press Release issued by NextCure, Inc. dated August 6, 2026</w:t>
              </w:r>
            </w:hyperlink>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00" w:after="100"/>
              <w:ind w:left="0" w:right="0" w:hanging="0"/>
              <w:jc w:val="both"/>
              <w:rPr/>
            </w:pPr>
            <w:r>
              <w:rPr/>
              <w:t>​</w:t>
            </w:r>
          </w:p>
        </w:tc>
        <w:tc>
          <w:tcPr>
            <w:tcW w:w="595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bookmarkStart w:id="23" w:name="_e06e42e3_da1f_4eac_a478_28749adeab8e"/>
      <w:bookmarkEnd w:id="23"/>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tbl>
      <w:tblPr>
        <w:tblW w:w="4638" w:type="dxa"/>
        <w:jc w:val="left"/>
        <w:tblInd w:w="0" w:type="dxa"/>
        <w:tblLayout w:type="fixed"/>
        <w:tblCellMar>
          <w:top w:w="0" w:type="dxa"/>
          <w:left w:w="0" w:type="dxa"/>
          <w:bottom w:w="0" w:type="dxa"/>
          <w:right w:w="0" w:type="dxa"/>
        </w:tblCellMar>
      </w:tblPr>
      <w:tblGrid>
        <w:gridCol w:w="1951"/>
        <w:gridCol w:w="631"/>
        <w:gridCol w:w="2056"/>
      </w:tblGrid>
      <w:tr>
        <w:trPr/>
        <w:tc>
          <w:tcPr>
            <w:tcW w:w="1951" w:type="dxa"/>
            <w:tcBorders/>
            <w:vAlign w:val="center"/>
          </w:tcPr>
          <w:p>
            <w:pPr>
              <w:pStyle w:val="TableContents"/>
              <w:bidi w:val="0"/>
              <w:spacing w:lineRule="auto" w:line="307" w:before="0" w:after="160"/>
              <w:ind w:left="0" w:right="0" w:hanging="0"/>
              <w:jc w:val="left"/>
              <w:rPr>
                <w:rFonts w:ascii="Times New Roman;Times;serif" w:hAnsi="Times New Roman;Times;serif"/>
                <w:sz w:val="2"/>
              </w:rPr>
            </w:pPr>
            <w:r>
              <w:rPr>
                <w:rFonts w:ascii="Times New Roman;Times;serif" w:hAnsi="Times New Roman;Times;serif"/>
                <w:sz w:val="2"/>
              </w:rPr>
              <w:t>November</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05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268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NEXTCURE, INC.</w:t>
            </w:r>
          </w:p>
          <w:p>
            <w:pPr>
              <w:pStyle w:val="TableContents"/>
              <w:bidi w:val="0"/>
              <w:spacing w:lineRule="auto" w:line="307" w:before="0" w:after="160"/>
              <w:ind w:left="0" w:right="0" w:hanging="0"/>
              <w:jc w:val="left"/>
              <w:rPr/>
            </w:pPr>
            <w:r>
              <w:rPr/>
              <w:t>​</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pPr>
            <w:r>
              <w:rPr/>
              <w:t> </w:t>
            </w:r>
          </w:p>
        </w:tc>
        <w:tc>
          <w:tcPr>
            <w:tcW w:w="2056" w:type="dxa"/>
            <w:tcBorders/>
            <w:vAlign w:val="center"/>
          </w:tcPr>
          <w:p>
            <w:pPr>
              <w:pStyle w:val="TableContents"/>
              <w:bidi w:val="0"/>
              <w:spacing w:lineRule="auto" w:line="285" w:before="0" w:after="0"/>
              <w:ind w:left="0" w:right="0" w:hanging="0"/>
              <w:jc w:val="left"/>
              <w:rPr/>
            </w:pPr>
            <w:r>
              <w:rPr/>
              <w:t> </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Steven P. Cobourn </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31" w:before="0" w:after="160"/>
        <w:ind w:left="0" w:right="0" w:hanging="0"/>
        <w:jc w:val="left"/>
        <w:rPr/>
      </w:pPr>
      <w:bookmarkStart w:id="24" w:name="nxtc-20260806xex99d1.htm"/>
      <w:bookmarkStart w:id="25" w:name="ksnxtc20260806xex99d1"/>
      <w:bookmarkEnd w:id="24"/>
      <w:bookmarkEnd w:id="25"/>
      <w:r>
        <w:rPr/>
        <w:drawing>
          <wp:inline distT="0" distB="0" distL="0" distR="0">
            <wp:extent cx="1704975" cy="2952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04975" cy="295275"/>
                    </a:xfrm>
                    <a:prstGeom prst="rect">
                      <a:avLst/>
                    </a:prstGeom>
                  </pic:spPr>
                </pic:pic>
              </a:graphicData>
            </a:graphic>
          </wp:inline>
        </w:drawing>
      </w:r>
      <w:r>
        <w:br w:type="page"/>
      </w:r>
    </w:p>
    <w:p>
      <w:pPr>
        <w:pStyle w:val="TextBody"/>
        <w:bidi w:val="0"/>
        <w:spacing w:lineRule="auto" w:line="300" w:before="0" w:after="160"/>
        <w:ind w:left="0" w:right="0" w:hanging="0"/>
        <w:jc w:val="right"/>
        <w:rPr>
          <w:rFonts w:ascii="Helvetica;sans-serif" w:hAnsi="Helvetica;sans-serif"/>
          <w:b/>
          <w:sz w:val="28"/>
        </w:rPr>
      </w:pPr>
      <w:r>
        <w:rPr>
          <w:rFonts w:ascii="Helvetica;sans-serif" w:hAnsi="Helvetica;sans-serif"/>
          <w:b/>
          <w:sz w:val="28"/>
        </w:rPr>
        <w:t>Exhibit 99.1</w:t>
      </w:r>
    </w:p>
    <w:p>
      <w:pPr>
        <w:pStyle w:val="TextBody"/>
        <w:bidi w:val="0"/>
        <w:spacing w:lineRule="auto" w:line="285" w:before="0" w:after="0"/>
        <w:ind w:left="0" w:right="0" w:hanging="0"/>
        <w:jc w:val="center"/>
        <w:rPr>
          <w:rFonts w:ascii="Helvetica;sans-serif" w:hAnsi="Helvetica;sans-serif"/>
          <w:b/>
          <w:sz w:val="28"/>
        </w:rPr>
      </w:pPr>
      <w:r>
        <w:rPr>
          <w:rFonts w:ascii="Helvetica;sans-serif" w:hAnsi="Helvetica;sans-serif"/>
          <w:b/>
          <w:sz w:val="28"/>
        </w:rPr>
        <w:t xml:space="preserve">NextCure Provides Business Update and </w:t>
      </w:r>
    </w:p>
    <w:p>
      <w:pPr>
        <w:pStyle w:val="TextBody"/>
        <w:bidi w:val="0"/>
        <w:spacing w:lineRule="auto" w:line="285" w:before="0" w:after="0"/>
        <w:ind w:left="0" w:right="0" w:hanging="0"/>
        <w:jc w:val="center"/>
        <w:rPr>
          <w:rFonts w:ascii="Helvetica;sans-serif" w:hAnsi="Helvetica;sans-serif"/>
          <w:b/>
          <w:sz w:val="28"/>
        </w:rPr>
      </w:pPr>
      <w:r>
        <w:rPr>
          <w:rFonts w:ascii="Helvetica;sans-serif" w:hAnsi="Helvetica;sans-serif"/>
          <w:b/>
          <w:sz w:val="28"/>
        </w:rPr>
        <w:t>Reports Second Quarter 2026 Financial Results</w:t>
      </w:r>
    </w:p>
    <w:p>
      <w:pPr>
        <w:pStyle w:val="TextBody"/>
        <w:bidi w:val="0"/>
        <w:spacing w:lineRule="auto" w:line="331" w:before="0" w:after="160"/>
        <w:ind w:left="0" w:right="0" w:hanging="0"/>
        <w:jc w:val="center"/>
        <w:rPr/>
      </w:pPr>
      <w:r>
        <w:rPr/>
        <w:t>​</w:t>
      </w:r>
    </w:p>
    <w:tbl>
      <w:tblPr>
        <w:tblW w:w="5958" w:type="dxa"/>
        <w:jc w:val="left"/>
        <w:tblInd w:w="0" w:type="dxa"/>
        <w:tblLayout w:type="fixed"/>
        <w:tblCellMar>
          <w:top w:w="0" w:type="dxa"/>
          <w:left w:w="0" w:type="dxa"/>
          <w:bottom w:w="0" w:type="dxa"/>
          <w:right w:w="0" w:type="dxa"/>
        </w:tblCellMar>
      </w:tblPr>
      <w:tblGrid>
        <w:gridCol w:w="23"/>
        <w:gridCol w:w="14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Helvetica;sans-serif" w:hAnsi="Helvetica;sans-serif"/>
                <w:b w:val="false"/>
                <w:i/>
                <w:sz w:val="24"/>
              </w:rPr>
            </w:pPr>
            <w:r>
              <w:rPr>
                <w:rFonts w:ascii="Helvetica;sans-serif" w:hAnsi="Helvetica;sans-serif"/>
                <w:b w:val="false"/>
                <w:i/>
                <w:sz w:val="24"/>
              </w:rPr>
              <w:t>Announced Proposed Merger with Avere Therapeutics</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42" w:type="dxa"/>
            <w:tcBorders/>
            <w:vAlign w:val="center"/>
          </w:tcPr>
          <w:p>
            <w:pPr>
              <w:pStyle w:val="TableContents"/>
              <w:bidi w:val="0"/>
              <w:spacing w:before="0" w:after="283"/>
              <w:jc w:val="left"/>
              <w:rPr>
                <w:rFonts w:ascii="Helvetica;sans-serif" w:hAnsi="Helvetica;sans-serif"/>
                <w:b w:val="false"/>
                <w:i/>
                <w:sz w:val="24"/>
              </w:rPr>
            </w:pPr>
            <w:r>
              <w:rPr>
                <w:rFonts w:ascii="Helvetica;sans-serif" w:hAnsi="Helvetica;sans-serif"/>
                <w:b w:val="false"/>
                <w:i/>
                <w:sz w:val="24"/>
              </w:rPr>
              <w:t>Preserving Capital in Support of Merger Closing; Continuing Clinical Transition and Legacy Asset Activities</w:t>
            </w:r>
          </w:p>
        </w:tc>
      </w:tr>
    </w:tbl>
    <w:p>
      <w:pPr>
        <w:pStyle w:val="TextBody"/>
        <w:bidi w:val="0"/>
        <w:spacing w:lineRule="auto" w:line="331" w:before="0" w:after="160"/>
        <w:ind w:left="720" w:right="0" w:hanging="0"/>
        <w:jc w:val="left"/>
        <w:rPr/>
      </w:pPr>
      <w:r>
        <w:rPr/>
        <w:t>​</w:t>
      </w:r>
    </w:p>
    <w:p>
      <w:pPr>
        <w:pStyle w:val="TextBody"/>
        <w:bidi w:val="0"/>
        <w:spacing w:lineRule="auto" w:line="285" w:before="0" w:after="200"/>
        <w:ind w:left="0" w:right="0" w:hanging="0"/>
        <w:jc w:val="left"/>
        <w:rPr>
          <w:rFonts w:ascii="Aptos" w:hAnsi="Aptos"/>
          <w:sz w:val="24"/>
        </w:rPr>
      </w:pPr>
      <w:r>
        <w:rPr>
          <w:rFonts w:ascii="Helvetica;sans-serif" w:hAnsi="Helvetica;sans-serif"/>
          <w:b/>
          <w:sz w:val="24"/>
        </w:rPr>
        <w:t>BELTSVILLE, MD</w:t>
      </w:r>
      <w:r>
        <w:rPr>
          <w:rFonts w:ascii="Aptos" w:hAnsi="Aptos"/>
          <w:sz w:val="24"/>
        </w:rPr>
        <w:t xml:space="preserve"> – </w:t>
      </w:r>
      <w:r>
        <w:rPr>
          <w:rFonts w:ascii="Helvetica;sans-serif" w:hAnsi="Helvetica;sans-serif"/>
          <w:b/>
          <w:sz w:val="24"/>
        </w:rPr>
        <w:t xml:space="preserve">August 6, 2026 </w:t>
      </w:r>
      <w:r>
        <w:rPr>
          <w:rFonts w:ascii="Helvetica;sans-serif" w:hAnsi="Helvetica;sans-serif"/>
          <w:sz w:val="24"/>
        </w:rPr>
        <w:t xml:space="preserve">(GLOBE NEWSWIRE) </w:t>
      </w:r>
      <w:r>
        <w:rPr>
          <w:rFonts w:ascii="Aptos" w:hAnsi="Aptos"/>
          <w:sz w:val="24"/>
        </w:rPr>
        <w:t xml:space="preserve">– </w:t>
      </w:r>
      <w:r>
        <w:rPr>
          <w:rFonts w:ascii="Helvetica;sans-serif" w:hAnsi="Helvetica;sans-serif"/>
          <w:color w:val="467886"/>
          <w:sz w:val="24"/>
        </w:rPr>
        <w:t>NextCure, Inc.</w:t>
      </w:r>
      <w:r>
        <w:rPr>
          <w:rFonts w:ascii="Aptos" w:hAnsi="Aptos"/>
          <w:sz w:val="24"/>
        </w:rPr>
        <w:t xml:space="preserve"> </w:t>
      </w:r>
      <w:r>
        <w:rPr>
          <w:rFonts w:ascii="Helvetica;sans-serif" w:hAnsi="Helvetica;sans-serif"/>
          <w:sz w:val="24"/>
        </w:rPr>
        <w:t>(Nasdaq: NXTC), a clinical-stage biopharmaceutical company committed to discovering and developing novel therapies to treat cancer, today provided a business update and reported second quarter 2026 financial results.</w:t>
      </w:r>
    </w:p>
    <w:p>
      <w:pPr>
        <w:pStyle w:val="TextBody"/>
        <w:bidi w:val="0"/>
        <w:spacing w:lineRule="auto" w:line="285" w:before="0" w:after="160"/>
        <w:ind w:left="0" w:right="0" w:hanging="0"/>
        <w:jc w:val="left"/>
        <w:rPr>
          <w:rFonts w:ascii="Helvetica;sans-serif" w:hAnsi="Helvetica;sans-serif"/>
          <w:sz w:val="24"/>
        </w:rPr>
      </w:pPr>
      <w:r>
        <w:rPr>
          <w:rFonts w:ascii="Helvetica;sans-serif" w:hAnsi="Helvetica;sans-serif"/>
          <w:sz w:val="24"/>
        </w:rPr>
        <w:t>"Following quarter end, we announced our proposed merger with Avere Therapeutics, together with Avere’s concurrent private financing expected to generate approximately $320 million in gross proceeds, and we are working toward a closing in the second half of 2026. In parallel, we are preserving capital in support of that closing. Our team continues to support the ongoing clinical programs and obligations to our partners, and opportunities to preserve value for our shareholders,” said Michael Richman, President and CEO of NextCure.</w:t>
      </w:r>
    </w:p>
    <w:p>
      <w:pPr>
        <w:pStyle w:val="TextBody"/>
        <w:bidi w:val="0"/>
        <w:spacing w:lineRule="auto" w:line="285" w:before="0" w:after="0"/>
        <w:ind w:left="0" w:right="0" w:hanging="0"/>
        <w:jc w:val="left"/>
        <w:rPr>
          <w:rFonts w:ascii="Helvetica;sans-serif" w:hAnsi="Helvetica;sans-serif"/>
          <w:b/>
          <w:sz w:val="24"/>
        </w:rPr>
      </w:pPr>
      <w:r>
        <w:rPr>
          <w:rFonts w:ascii="Helvetica;sans-serif" w:hAnsi="Helvetica;sans-serif"/>
          <w:b/>
          <w:sz w:val="24"/>
        </w:rPr>
        <w:t>Recent Business Highlights</w:t>
      </w:r>
    </w:p>
    <w:p>
      <w:pPr>
        <w:pStyle w:val="TextBody"/>
        <w:bidi w:val="0"/>
        <w:spacing w:lineRule="auto" w:line="331"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Announced a definitive merger agreement with Avere Therapeutics in an all-stock transaction. Upon closing, the combined company is expected to operate as Avere Therapeutics and trade on Nasdaq under the ticker symbol “AVRX”. Existing NextCure stockholders are expected to receive contingent value rights (“CVRs”) tied to certain legacy NextCure assets. Concurrently, Avere Therapeutics entered into a securities purchase agreement providing for a private financing expected to generate approximately $320 million in gross proceeds immediately prior to closing of the merger, subject to customary closing conditions.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Entered into a Transition and Continuation Agreement with LigaChem Biosciences (“LigaChem”) under which LigaChem has elected to continue the development of LNCB74 as the “Sole Developing Party” pursuant to the terms under the parties’ November 2022 Research Collaboration and Co-Development Agreement. NextCure, according to these agreements, remains eligible to receive future milestone and royalty payments for the development and commercialization of LNCB74.</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Advanced restructuring initiatives to reduce operating expenses, including facility footprint reductions and the sale of certain manufacturing, laboratory and facility-related assets in preparation for completion of the merger.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Initiated efforts to preserve value of SIM0505 and our current clinical and pre-clinical assets for our shareholders.</w:t>
            </w:r>
          </w:p>
        </w:tc>
      </w:tr>
    </w:tbl>
    <w:p>
      <w:pPr>
        <w:pStyle w:val="TextBody"/>
        <w:bidi w:val="0"/>
        <w:spacing w:lineRule="auto" w:line="285" w:before="0" w:after="120"/>
        <w:ind w:left="0" w:right="0" w:hanging="0"/>
        <w:jc w:val="left"/>
        <w:rPr>
          <w:rFonts w:ascii="Aptos" w:hAnsi="Aptos"/>
          <w:sz w:val="24"/>
        </w:rPr>
      </w:pPr>
      <w:r>
        <w:rPr>
          <w:rFonts w:ascii="Helvetica;sans-serif" w:hAnsi="Helvetica;sans-serif"/>
          <w:sz w:val="24"/>
        </w:rPr>
        <w:t>F</w:t>
      </w:r>
      <w:r>
        <w:rPr>
          <w:rFonts w:ascii="Helvetica;sans-serif" w:hAnsi="Helvetica;sans-serif"/>
          <w:b/>
          <w:sz w:val="24"/>
        </w:rPr>
        <w:t>inancial Results for the Quarter Ended June 30, 2026</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Cash, cash equivalents, and marketable securities as of June 30, 2026 were $20.1 million as compared to $41.8 million as of December 31, 2025. The decrease of $21.7 million was primarily due to cash used to fund operations of $23.1 million, partially offset by proceeds of $1.2 million from equity sales under our existing ATM program. In connection with the proposed merger with Avere Therapeutics and related restructuring activities, NextCure is focused on preserving capital, completing the proposed transaction and pursuing efforts to preserve value of our current clinical and pre-clinical assets.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Research and development expenses were $7.4 million for the three months ended June 30, 2026, as compared to $24.1 million for the three months ended June 30, 2025. The decrease of $16.7 million was due to $17.0 million of license fees incurred in the prior year that did not occur in the current year.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4"/>
              </w:rPr>
              <w:t xml:space="preserve">General and administrative expenses were $2.6 million for the three months ended June 30, 2026, as compared to $3.2 million for the three months ended June 30, 2025. The decrease of $0.6 million was primarily related to lower personnel related </w:t>
            </w:r>
            <w:r>
              <w:rPr>
                <w:rFonts w:ascii="Helvetica;sans-serif" w:hAnsi="Helvetica;sans-serif"/>
                <w:b w:val="false"/>
                <w:i w:val="false"/>
                <w:caps w:val="false"/>
                <w:smallCaps w:val="false"/>
                <w:sz w:val="24"/>
                <w:shd w:fill="FFFFFF" w:val="clear"/>
              </w:rPr>
              <w:t>costs.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Asset impairment costs associated with our recently announced restructuring initiatives to reduce our footprint and sell certain facility and laboratory assets totaled $5.1 million in the second quarter.</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4"/>
              </w:rPr>
              <w:t xml:space="preserve">Net loss was </w:t>
            </w:r>
            <w:bookmarkStart w:id="26" w:name="_Hlk101268176"/>
            <w:bookmarkEnd w:id="26"/>
            <w:r>
              <w:rPr>
                <w:rFonts w:ascii="Helvetica;sans-serif" w:hAnsi="Helvetica;sans-serif"/>
                <w:b w:val="false"/>
                <w:i w:val="false"/>
                <w:caps w:val="false"/>
                <w:smallCaps w:val="false"/>
                <w:sz w:val="24"/>
              </w:rPr>
              <w:t>$14.9 million for the three months ended June 30, 2026, as compared to a net loss of $26.8 million for the three months ended June 30, 2025. The lower net loss for the three months ended June 30, 2026 as compared to the three months ended June 30, 2025 was driven by the lower research and development and general and administrative expenses mentioned above, partially offset by impairment costs of $5.1 million and lower other income, net, of $0.3 million.</w:t>
            </w:r>
          </w:p>
        </w:tc>
      </w:tr>
    </w:tbl>
    <w:p>
      <w:pPr>
        <w:pStyle w:val="TextBody"/>
        <w:bidi w:val="0"/>
        <w:spacing w:lineRule="auto" w:line="285" w:before="0" w:after="160"/>
        <w:ind w:left="0" w:right="0" w:hanging="0"/>
        <w:jc w:val="left"/>
        <w:rPr>
          <w:rFonts w:ascii="Helvetica;sans-serif" w:hAnsi="Helvetica;sans-serif"/>
          <w:b/>
          <w:sz w:val="24"/>
        </w:rPr>
      </w:pPr>
      <w:r>
        <w:rPr>
          <w:rFonts w:ascii="Helvetica;sans-serif" w:hAnsi="Helvetica;sans-serif"/>
          <w:b/>
          <w:sz w:val="24"/>
        </w:rPr>
        <w:t>About the Merger</w:t>
      </w:r>
    </w:p>
    <w:p>
      <w:pPr>
        <w:pStyle w:val="TextBody"/>
        <w:bidi w:val="0"/>
        <w:spacing w:before="280" w:after="0"/>
        <w:ind w:left="0" w:right="0" w:hanging="0"/>
        <w:jc w:val="left"/>
        <w:rPr>
          <w:rFonts w:ascii="Helvetica;sans-serif" w:hAnsi="Helvetica;sans-serif"/>
          <w:sz w:val="24"/>
        </w:rPr>
      </w:pPr>
      <w:r>
        <w:rPr>
          <w:rFonts w:ascii="Helvetica;sans-serif" w:hAnsi="Helvetica;sans-serif"/>
          <w:sz w:val="24"/>
        </w:rPr>
        <w:t xml:space="preserve">On July 14, 2026 NextCure announced a definitive merger agreement with Avere Therapeutics, a privately held biotechnology company developing oral therapies for IL-23-driven inflammatory diseases, in an all-stock transaction. Concurrently with the merger agreement, Avere entered into a securities purchase agreement providing for a private financing expected to generate approximately $320 million in gross proceeds immediately prior to closing, subject to customary closing conditions. Upon closing, the combined company is expected to operate as Avere Therapeutics and trade on Nasdaq under the ticker symbol "AVRX." Following completion of the merger, the combined company will be led by Avere's management team and governed by a board of directors constituted in accordance with the merger agreement. Existing NextCure stockholders are expected to retain an ownership interest in the combined company and receive CVRs tied to the potential future value of specified legacy NextCure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Helvetica;sans-serif" w:hAnsi="Helvetica;sans-serif"/>
          <w:sz w:val="24"/>
        </w:rPr>
      </w:pPr>
      <w:r>
        <w:rPr>
          <w:rFonts w:ascii="Helvetica;sans-serif" w:hAnsi="Helvetica;sans-serif"/>
          <w:sz w:val="24"/>
        </w:rPr>
        <w:t>assets. The transaction is expected to close in the second half of 2026, subject to stockholder approval and other customary closing conditions.</w:t>
      </w:r>
    </w:p>
    <w:p>
      <w:pPr>
        <w:pStyle w:val="TextBody"/>
        <w:bidi w:val="0"/>
        <w:spacing w:lineRule="auto" w:line="331" w:before="280" w:after="160"/>
        <w:ind w:left="0" w:right="0" w:hanging="0"/>
        <w:jc w:val="left"/>
        <w:rPr>
          <w:rFonts w:ascii="Helvetica;sans-serif" w:hAnsi="Helvetica;sans-serif"/>
          <w:b/>
          <w:sz w:val="24"/>
        </w:rPr>
      </w:pPr>
      <w:r>
        <w:rPr>
          <w:rFonts w:ascii="Helvetica;sans-serif" w:hAnsi="Helvetica;sans-serif"/>
          <w:b/>
          <w:sz w:val="24"/>
        </w:rPr>
        <w:t>About SIM0505</w:t>
      </w:r>
    </w:p>
    <w:p>
      <w:pPr>
        <w:pStyle w:val="TextBody"/>
        <w:bidi w:val="0"/>
        <w:spacing w:lineRule="auto" w:line="285" w:before="0" w:after="160"/>
        <w:ind w:left="0" w:right="0" w:hanging="0"/>
        <w:jc w:val="left"/>
        <w:rPr>
          <w:rFonts w:ascii="Helvetica;sans-serif" w:hAnsi="Helvetica;sans-serif"/>
          <w:sz w:val="24"/>
        </w:rPr>
      </w:pPr>
      <w:r>
        <w:rPr>
          <w:rFonts w:ascii="Helvetica;sans-serif" w:hAnsi="Helvetica;sans-serif"/>
          <w:sz w:val="24"/>
        </w:rPr>
        <w:t xml:space="preserve">SIM0505 is an investigational antibody-drug conjugate (ADC) targeting CDH6 and incorporating a proprietary topoisomerase I inhibitor payload. On July 14, 2026, the Company announced it had informed all U.S. clinical trial sites to stop screening, consenting, and enrolling new patients and that it no longer intends to expand the clinical site footprint. The Company is seeking opportunities to preserve the value of SIM0505 for our shareholders. </w:t>
      </w:r>
    </w:p>
    <w:p>
      <w:pPr>
        <w:pStyle w:val="TextBody"/>
        <w:bidi w:val="0"/>
        <w:spacing w:lineRule="auto" w:line="285" w:before="0" w:after="160"/>
        <w:ind w:left="0" w:right="0" w:hanging="0"/>
        <w:jc w:val="left"/>
        <w:rPr>
          <w:rFonts w:ascii="Helvetica;sans-serif" w:hAnsi="Helvetica;sans-serif"/>
          <w:b/>
          <w:sz w:val="24"/>
        </w:rPr>
      </w:pPr>
      <w:r>
        <w:rPr>
          <w:rFonts w:ascii="Helvetica;sans-serif" w:hAnsi="Helvetica;sans-serif"/>
          <w:b/>
          <w:sz w:val="24"/>
        </w:rPr>
        <w:t>About LNCB74</w:t>
      </w:r>
    </w:p>
    <w:p>
      <w:pPr>
        <w:pStyle w:val="TextBody"/>
        <w:bidi w:val="0"/>
        <w:spacing w:lineRule="auto" w:line="285" w:before="0" w:after="120"/>
        <w:ind w:left="0" w:right="0" w:hanging="0"/>
        <w:jc w:val="left"/>
        <w:rPr>
          <w:rFonts w:ascii="Helvetica;sans-serif" w:hAnsi="Helvetica;sans-serif"/>
          <w:sz w:val="24"/>
        </w:rPr>
      </w:pPr>
      <w:r>
        <w:rPr>
          <w:rFonts w:ascii="Helvetica;sans-serif" w:hAnsi="Helvetica;sans-serif"/>
          <w:sz w:val="24"/>
        </w:rPr>
        <w:t xml:space="preserve">LNCB74 is a novel ADC directed to B7-H4, featuring a proprietary tumor-selective cleavable linker and MMAE payload. Following execution of a Transition and Continuation Agreement with LigaChem, LigaChem has elected to continue the program as Sole Developing Party. NextCure is providing transition support to facilitate the transfer of program-related activities and ongoing clinical trial operations. Pursuant to the November 2022 LigaChem Agreement, NextCure remains eligible to receive future development, regulatory and commercial milestone payments and royalties. </w:t>
      </w:r>
    </w:p>
    <w:p>
      <w:pPr>
        <w:pStyle w:val="TextBody"/>
        <w:bidi w:val="0"/>
        <w:spacing w:lineRule="auto" w:line="285" w:before="0" w:after="160"/>
        <w:ind w:left="0" w:right="0" w:hanging="0"/>
        <w:jc w:val="left"/>
        <w:rPr>
          <w:rFonts w:ascii="Helvetica;sans-serif" w:hAnsi="Helvetica;sans-serif"/>
          <w:b/>
          <w:sz w:val="24"/>
        </w:rPr>
      </w:pPr>
      <w:r>
        <w:rPr>
          <w:rFonts w:ascii="Helvetica;sans-serif" w:hAnsi="Helvetica;sans-serif"/>
          <w:b/>
          <w:sz w:val="24"/>
        </w:rPr>
        <w:t>About NextCure, Inc.</w:t>
      </w:r>
    </w:p>
    <w:p>
      <w:pPr>
        <w:pStyle w:val="TextBody"/>
        <w:bidi w:val="0"/>
        <w:spacing w:lineRule="auto" w:line="285" w:before="0" w:after="160"/>
        <w:ind w:left="0" w:right="0" w:hanging="0"/>
        <w:jc w:val="left"/>
        <w:rPr>
          <w:rFonts w:ascii="Helvetica;sans-serif" w:hAnsi="Helvetica;sans-serif"/>
          <w:sz w:val="24"/>
        </w:rPr>
      </w:pPr>
      <w:r>
        <w:rPr>
          <w:rFonts w:ascii="Helvetica;sans-serif" w:hAnsi="Helvetica;sans-serif"/>
          <w:sz w:val="24"/>
        </w:rPr>
        <w:t>NextCure is a biopharmaceutical company headquartered in Beltsville, Maryland. NextCure's retained clinical, regulatory, CMC, and finance personnel support the ongoing clinical development of LNCB74 under the Company's Transition and Continuation Agreement with LigaChem Biosciences, manage the transition of patients enrolled in the SIM0505 study, and conduct the Company's efforts to partner, license or otherwise monetize its legacy clinical and preclinical assets. NextCure has entered into a definitive merger agreement with Avere Therapeutics and, upon closing, the combined company is expected to operate as Avere Therapeutics and to be listed on Nasdaq under the ticker symbol “AVRX.”</w:t>
      </w:r>
    </w:p>
    <w:p>
      <w:pPr>
        <w:pStyle w:val="TextBody"/>
        <w:bidi w:val="0"/>
        <w:spacing w:lineRule="auto" w:line="285" w:before="0" w:after="200"/>
        <w:ind w:left="0" w:right="0" w:hanging="0"/>
        <w:jc w:val="left"/>
        <w:rPr>
          <w:rFonts w:ascii="Helvetica;sans-serif" w:hAnsi="Helvetica;sans-serif"/>
          <w:b/>
          <w:sz w:val="24"/>
        </w:rPr>
      </w:pPr>
      <w:r>
        <w:rPr>
          <w:rFonts w:ascii="Helvetica;sans-serif" w:hAnsi="Helvetica;sans-serif"/>
          <w:b/>
          <w:sz w:val="24"/>
        </w:rPr>
        <w:t>Forward-Looking Statements</w:t>
      </w:r>
    </w:p>
    <w:p>
      <w:pPr>
        <w:pStyle w:val="TextBody"/>
        <w:bidi w:val="0"/>
        <w:spacing w:lineRule="auto" w:line="285" w:before="0" w:after="0"/>
        <w:ind w:left="0" w:right="0" w:hanging="0"/>
        <w:jc w:val="left"/>
        <w:rPr>
          <w:rFonts w:ascii="Aptos" w:hAnsi="Aptos"/>
          <w:sz w:val="24"/>
        </w:rPr>
      </w:pPr>
      <w:r>
        <w:rPr>
          <w:rFonts w:ascii="Helvetica;sans-serif" w:hAnsi="Helvetica;sans-serif"/>
          <w:sz w:val="24"/>
          <w:shd w:fill="FFFFFF" w:val="clear"/>
        </w:rPr>
        <w:t xml:space="preserve">Some of the statements contained in this press release are forward-looking statements within the meaning of the Private Securities Litigation Reform Act of 1995 concerning NextCure, </w:t>
      </w:r>
      <w:r>
        <w:rPr>
          <w:rFonts w:ascii="Helvetica;sans-serif" w:hAnsi="Helvetica;sans-serif"/>
          <w:sz w:val="24"/>
        </w:rPr>
        <w:t>Avere Therapeutics, the proposed merger and other matters</w:t>
      </w:r>
      <w:r>
        <w:rPr>
          <w:rFonts w:ascii="Helvetica;sans-serif" w:hAnsi="Helvetica;sans-serif"/>
          <w:sz w:val="24"/>
          <w:shd w:fill="FFFFFF" w:val="clear"/>
        </w:rPr>
        <w:t xml:space="preserve">, including with respect to the structure, timing and completion of the proposed merger; the combined company’s listing on Nasdaq after closing of the proposed merger; expectations regarding the ownership structure of the combined company; expectations regarding the contingent value rights; the future operations of the combined company; the nature, strategy and focus of the combined company; as well as funding for our operations, our expected cash runway, objectives and expectations for our business, operations and financial performance and condition, and expectations regarding the progress and results of clinical trials, development plans and upcoming milestones regarding our therapies. Any statements contained herein that are not statements of historical fact may be deemed to be forward-looking statements. In some cases, you can identify forward-looking statements by terminology such as “aim”, “anticipate”, “assume”, “believe”, “continue”, </w:t>
      </w:r>
    </w:p>
    <w:p>
      <w:pPr>
        <w:pStyle w:val="HorizontalLine"/>
        <w:pBdr>
          <w:bottom w:val="double" w:sz="2" w:space="0" w:color="808080"/>
        </w:pBdr>
        <w:bidi w:val="0"/>
        <w:spacing w:before="0" w:after="283"/>
        <w:jc w:val="left"/>
        <w:rPr/>
      </w:pPr>
      <w:r>
        <w:rPr/>
      </w:r>
    </w:p>
    <w:p>
      <w:pPr>
        <w:pStyle w:val="TextBody"/>
        <w:pBdr/>
        <w:bidi w:val="0"/>
        <w:spacing w:lineRule="auto" w:line="285" w:before="0" w:after="0"/>
        <w:ind w:left="0" w:right="0" w:hanging="0"/>
        <w:jc w:val="left"/>
        <w:rPr>
          <w:shd w:fill="FFFFFF" w:val="clear"/>
        </w:rPr>
      </w:pPr>
      <w:r>
        <w:rPr>
          <w:shd w:fill="FFFFFF" w:val="clear"/>
        </w:rPr>
        <w:t>“</w:t>
      </w:r>
      <w:r>
        <w:rPr>
          <w:rFonts w:ascii="Helvetica;sans-serif" w:hAnsi="Helvetica;sans-serif"/>
          <w:sz w:val="24"/>
          <w:shd w:fill="FFFFFF" w:val="clear"/>
        </w:rPr>
        <w:t>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w:t>
      </w:r>
    </w:p>
    <w:p>
      <w:pPr>
        <w:pStyle w:val="TextBody"/>
        <w:shd w:fill="FFFFFF" w:val="clear"/>
        <w:bidi w:val="0"/>
        <w:spacing w:lineRule="auto" w:line="285" w:before="0" w:after="0"/>
        <w:ind w:left="0" w:right="0" w:hanging="0"/>
        <w:jc w:val="left"/>
        <w:rPr>
          <w:rFonts w:ascii="Helvetica;sans-serif" w:hAnsi="Helvetica;sans-serif"/>
          <w:sz w:val="24"/>
        </w:rPr>
      </w:pPr>
      <w:r>
        <w:rPr>
          <w:rFonts w:ascii="Helvetica;sans-serif" w:hAnsi="Helvetica;sans-serif"/>
          <w:sz w:val="24"/>
        </w:rPr>
        <w:t xml:space="preserve">Forward-looking statements involve substantial risks and uncertainties that could cause actual results to differ materially from those projected in any forward-looking statement. Such risks and uncertainties include, among others: risks associated with the possible failure to satisfy the conditions to the closing or consummation of the merger, including NextCure’s failure to obtain stockholder approval for the merger; risks associated with the uncertainty as to the timing of the consummation of the merger and the ability of each of NextCure and Avere Therapeutics to consummate the transactions contemplated by the merger; risks associated with NextCure’s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risks regarding the timing, progress and results of preclinical studies and clinical trials for SIM0505, LNCB74 and any of our other legacy assets; our expenses, future revenues, capital requirements, needs for or ability to obtain additional financing and the period over which our current cash, cash equivalents and marketable securities to be sufficient </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left"/>
        <w:rPr>
          <w:rFonts w:ascii="Aptos" w:hAnsi="Aptos"/>
          <w:sz w:val="24"/>
        </w:rPr>
      </w:pPr>
      <w:r>
        <w:rPr>
          <w:rFonts w:ascii="Helvetica;sans-serif" w:hAnsi="Helvetica;sans-serif"/>
          <w:sz w:val="24"/>
        </w:rPr>
        <w:t>to fund our operations; market and other conditions;</w:t>
      </w:r>
      <w:r>
        <w:rPr>
          <w:rFonts w:ascii="Aptos" w:hAnsi="Aptos"/>
          <w:sz w:val="24"/>
        </w:rPr>
        <w:t xml:space="preserve"> </w:t>
      </w:r>
      <w:r>
        <w:rPr>
          <w:rFonts w:ascii="Helvetica;sans-serif" w:hAnsi="Helvetica;sans-serif"/>
          <w:sz w:val="24"/>
        </w:rPr>
        <w:t xml:space="preserve">the timing or likelihood of regulatory filings for SIM0505, LNCB74 and any of other legacy assets and our ability to obtain and maintain regulatory approvals for such product candidates for any indication; the potential benefits of and our ability to maintain our relationship with LigaChem Biosciences, Inc., Simcere Zaiming Pharmaceutical Co, Ltd., and other third-party vendors and collaborators; our ability to retain key personnel; our intended reliance on and the performance of third parties, including collaborators, contract research organizations and third-party manufacturers; changes in international relations, tariffs, and other trade regulations between the U.S. and China; developments and projections relating to our competitors and our industry, including competing therapies; and the impact of current and future laws and regulations. </w:t>
      </w:r>
    </w:p>
    <w:p>
      <w:pPr>
        <w:pStyle w:val="TextBody"/>
        <w:shd w:fill="FFFFFF" w:val="clear"/>
        <w:bidi w:val="0"/>
        <w:spacing w:lineRule="auto" w:line="331" w:before="0" w:after="160"/>
        <w:ind w:left="0" w:right="0" w:hanging="0"/>
        <w:jc w:val="left"/>
        <w:rPr/>
      </w:pPr>
      <w:r>
        <w:rPr/>
        <w:t>​</w:t>
      </w:r>
    </w:p>
    <w:p>
      <w:pPr>
        <w:pStyle w:val="TextBody"/>
        <w:shd w:fill="FFFFFF" w:val="clear"/>
        <w:bidi w:val="0"/>
        <w:spacing w:lineRule="auto" w:line="285" w:before="0" w:after="0"/>
        <w:ind w:left="0" w:right="0" w:hanging="0"/>
        <w:jc w:val="left"/>
        <w:rPr>
          <w:rFonts w:ascii="Helvetica;sans-serif" w:hAnsi="Helvetica;sans-serif"/>
          <w:sz w:val="24"/>
        </w:rPr>
      </w:pPr>
      <w:r>
        <w:rPr>
          <w:rFonts w:ascii="Helvetica;sans-serif" w:hAnsi="Helvetica;sans-serif"/>
          <w:sz w:val="24"/>
        </w:rPr>
        <w:t>More detailed information on these and additional factors that could affect NextCure’s actual results are described under the heading “Risk Factors” in NextCure’s most recent Annual Report on Form 10-K and in NextCure’s other filings with the Securities and Exchange Commission. You should not place undue reliance on any forward-looking statements. Forward-looking statements speak only as of the date of this press release, and NextCure assumes no obligation to update any forward-looking statements, even if expectations change.</w:t>
      </w:r>
    </w:p>
    <w:p>
      <w:pPr>
        <w:pStyle w:val="TextBody"/>
        <w:bidi w:val="0"/>
        <w:spacing w:lineRule="auto" w:line="331" w:before="0" w:after="160"/>
        <w:ind w:left="0" w:right="0" w:hanging="0"/>
        <w:jc w:val="left"/>
        <w:rPr/>
      </w:pPr>
      <w:r>
        <w:rPr/>
        <w:t>​</w:t>
      </w:r>
    </w:p>
    <w:p>
      <w:pPr>
        <w:pStyle w:val="TextBody"/>
        <w:bidi w:val="0"/>
        <w:spacing w:lineRule="auto" w:line="285" w:before="0" w:after="200"/>
        <w:ind w:left="0" w:right="0" w:hanging="0"/>
        <w:jc w:val="left"/>
        <w:rPr>
          <w:rFonts w:ascii="Helvetica;sans-serif" w:hAnsi="Helvetica;sans-serif"/>
          <w:b/>
          <w:sz w:val="24"/>
        </w:rPr>
      </w:pPr>
      <w:r>
        <w:rPr>
          <w:rFonts w:ascii="Helvetica;sans-serif" w:hAnsi="Helvetica;sans-serif"/>
          <w:b/>
          <w:sz w:val="24"/>
        </w:rPr>
        <w:t>No Offer or Solicitation</w:t>
      </w:r>
    </w:p>
    <w:p>
      <w:pPr>
        <w:pStyle w:val="TextBody"/>
        <w:bidi w:val="0"/>
        <w:spacing w:lineRule="auto" w:line="285" w:before="0" w:after="200"/>
        <w:ind w:left="0" w:right="0" w:hanging="0"/>
        <w:jc w:val="left"/>
        <w:rPr>
          <w:rFonts w:ascii="Helvetica;sans-serif" w:hAnsi="Helvetica;sans-serif"/>
          <w:sz w:val="24"/>
        </w:rPr>
      </w:pPr>
      <w:r>
        <w:rPr>
          <w:rFonts w:ascii="Helvetica;sans-serif" w:hAnsi="Helvetica;sans-serif"/>
          <w:sz w:val="24"/>
        </w:rPr>
        <w:t>This communication is not intended to and does not constitute an offer to sell or the solicitation of an offer to subscribe for or buy, or a solicitation of any vote, consent or approval in any jurisdiction in connection with the proposed merger or otherwise, nor shall there be any sale, issuance or transfer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pStyle w:val="TextBody"/>
        <w:bidi w:val="0"/>
        <w:spacing w:lineRule="auto" w:line="285" w:before="0" w:after="200"/>
        <w:ind w:left="0" w:right="0" w:hanging="0"/>
        <w:jc w:val="left"/>
        <w:rPr>
          <w:rFonts w:ascii="Helvetica;sans-serif" w:hAnsi="Helvetica;sans-serif"/>
          <w:b/>
          <w:sz w:val="24"/>
        </w:rPr>
      </w:pPr>
      <w:r>
        <w:rPr>
          <w:rFonts w:ascii="Helvetica;sans-serif" w:hAnsi="Helvetica;sans-serif"/>
          <w:b/>
          <w:sz w:val="24"/>
        </w:rPr>
        <w:t>Important Additional Information About the Merger Will Be Filed with the SEC</w:t>
      </w:r>
    </w:p>
    <w:p>
      <w:pPr>
        <w:pStyle w:val="TextBody"/>
        <w:bidi w:val="0"/>
        <w:spacing w:lineRule="auto" w:line="285" w:before="0" w:after="200"/>
        <w:ind w:left="0" w:right="0" w:hanging="0"/>
        <w:jc w:val="left"/>
        <w:rPr>
          <w:rFonts w:ascii="Helvetica;sans-serif" w:hAnsi="Helvetica;sans-serif"/>
          <w:sz w:val="24"/>
        </w:rPr>
      </w:pPr>
      <w:r>
        <w:rPr>
          <w:rFonts w:ascii="Helvetica;sans-serif" w:hAnsi="Helvetica;sans-serif"/>
          <w:sz w:val="24"/>
        </w:rPr>
        <w:t>In connection with the proposed merger, NextCure intends to file with the SEC a registration statement on Form S-4 that will contain a proxy statement of NextCure and a prospectus of NextCure, and each of NextCure and Avere Therapeutics may file other documents with the SEC regarding the proposed merger. After the registration statement is declared effective by the SEC, a definitive proxy statement/prospectus will be mailed to NextCure stockholders. This communication is not a substitute for the registration statement, the proxy statement/prospectus or any other document that NextCure may file with the SEC in connection with the proposed merger.</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 xml:space="preserve">INVESTORS AND SECURITY HOLDERS ARE URGED TO READ THE REGISTRATION STATEMENT, THE PROXY STATEMENT/PROSPECTUS AND ANY OTHER RELEVANT DOCUMENTS THAT ARE FILED OR WILL BE FILED WITH THE SEC, AS WELL AS ANY AMENDMENTS OR SUPPLEMENTS TO THESE DOCUMENTS, CAREFULLY AND IN THEIR ENTIRETY WHEN THEY BECOME AVAILABLE BECAUSE </w:t>
      </w:r>
    </w:p>
    <w:p>
      <w:pPr>
        <w:pStyle w:val="HorizontalLine"/>
        <w:pBdr>
          <w:bottom w:val="double" w:sz="2" w:space="0" w:color="808080"/>
        </w:pBdr>
        <w:bidi w:val="0"/>
        <w:spacing w:before="0" w:after="283"/>
        <w:jc w:val="left"/>
        <w:rPr/>
      </w:pPr>
      <w:r>
        <w:rPr/>
      </w:r>
    </w:p>
    <w:p>
      <w:pPr>
        <w:pStyle w:val="TextBody"/>
        <w:bidi w:val="0"/>
        <w:spacing w:lineRule="auto" w:line="285" w:before="0" w:after="200"/>
        <w:ind w:left="0" w:right="0" w:hanging="0"/>
        <w:jc w:val="left"/>
        <w:rPr>
          <w:rFonts w:ascii="Helvetica;sans-serif" w:hAnsi="Helvetica;sans-serif"/>
          <w:sz w:val="24"/>
        </w:rPr>
      </w:pPr>
      <w:r>
        <w:rPr>
          <w:rFonts w:ascii="Helvetica;sans-serif" w:hAnsi="Helvetica;sans-serif"/>
          <w:sz w:val="24"/>
        </w:rPr>
        <w:t>THEY CONTAIN OR WILL CONTAIN IMPORTANT INFORMATION ABOUT NEXTCURE, AVERE THERAPEUTICS, THE PROPOSED MERGER AND RELATED MATTERS.</w:t>
      </w:r>
    </w:p>
    <w:p>
      <w:pPr>
        <w:pStyle w:val="TextBody"/>
        <w:bidi w:val="0"/>
        <w:spacing w:lineRule="auto" w:line="285" w:before="0" w:after="200"/>
        <w:ind w:left="0" w:right="0" w:hanging="0"/>
        <w:jc w:val="left"/>
        <w:rPr>
          <w:rFonts w:ascii="Helvetica;sans-serif" w:hAnsi="Helvetica;sans-serif"/>
          <w:sz w:val="24"/>
        </w:rPr>
      </w:pPr>
      <w:r>
        <w:rPr>
          <w:rFonts w:ascii="Helvetica;sans-serif" w:hAnsi="Helvetica;sans-serif"/>
          <w:sz w:val="24"/>
        </w:rPr>
        <w:t>Investors and security holders may obtain free copies of the registration statement, the proxy statement/prospectus and other documents filed with the SEC by NextCure through the website maintained by the SEC at www.sec.gov or from NextCure's website at www.nextcure.com under the “Investors” section.</w:t>
      </w:r>
    </w:p>
    <w:p>
      <w:pPr>
        <w:pStyle w:val="TextBody"/>
        <w:bidi w:val="0"/>
        <w:spacing w:lineRule="auto" w:line="285" w:before="0" w:after="200"/>
        <w:ind w:left="0" w:right="0" w:hanging="0"/>
        <w:jc w:val="left"/>
        <w:rPr>
          <w:rFonts w:ascii="Helvetica;sans-serif" w:hAnsi="Helvetica;sans-serif"/>
          <w:b/>
          <w:sz w:val="24"/>
        </w:rPr>
      </w:pPr>
      <w:r>
        <w:rPr>
          <w:rFonts w:ascii="Helvetica;sans-serif" w:hAnsi="Helvetica;sans-serif"/>
          <w:b/>
          <w:sz w:val="24"/>
        </w:rPr>
        <w:t>Participants in the Solicitation</w:t>
      </w:r>
    </w:p>
    <w:p>
      <w:pPr>
        <w:pStyle w:val="TextBody"/>
        <w:bidi w:val="0"/>
        <w:spacing w:lineRule="auto" w:line="285" w:before="0" w:after="200"/>
        <w:ind w:left="0" w:right="0" w:hanging="0"/>
        <w:jc w:val="left"/>
        <w:rPr>
          <w:rFonts w:ascii="Helvetica;sans-serif" w:hAnsi="Helvetica;sans-serif"/>
          <w:sz w:val="24"/>
        </w:rPr>
      </w:pPr>
      <w:r>
        <w:rPr>
          <w:rFonts w:ascii="Helvetica;sans-serif" w:hAnsi="Helvetica;sans-serif"/>
          <w:sz w:val="24"/>
        </w:rPr>
        <w:t>NextCure, Avere Therapeutics and their respective directors and executive officers may be deemed to be participants in the solicitation of proxies from NextCure's stockholders in respect of the proposed merger. Information regarding the directors and executive officers of NextCure is contained in NextCure's Annual Report on Form 10-K for the fiscal year ended December 31, 2025, filed with the SEC, and in subsequent filings made by NextCure with the SEC. Additional information regarding the persons who may, under the rules of the SEC, be deemed participants in the solicitation of proxies in connection with the proposed merger, and a description of their direct and indirect interests in the proposed merger, by security holdings or otherwise, will be included in the proxy statement/prospectus and other relevant materials to be filed with the SEC when they become available. These documents may be obtained free of charge from the sources indicated above.</w:t>
      </w:r>
    </w:p>
    <w:p>
      <w:pPr>
        <w:pStyle w:val="TextBody"/>
        <w:bidi w:val="0"/>
        <w:spacing w:lineRule="auto" w:line="331" w:before="0" w:after="160"/>
        <w:ind w:left="0" w:right="0" w:hanging="0"/>
        <w:jc w:val="left"/>
        <w:rPr>
          <w:shd w:fill="FFFFFF" w:val="clear"/>
        </w:rPr>
      </w:pPr>
      <w:r>
        <w:rPr>
          <w:shd w:fill="FFFFFF" w:val="clea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885"/>
        <w:gridCol w:w="109"/>
        <w:gridCol w:w="211"/>
        <w:gridCol w:w="1000"/>
        <w:gridCol w:w="346"/>
        <w:gridCol w:w="211"/>
        <w:gridCol w:w="1000"/>
        <w:gridCol w:w="109"/>
        <w:gridCol w:w="211"/>
        <w:gridCol w:w="1000"/>
        <w:gridCol w:w="346"/>
        <w:gridCol w:w="346"/>
        <w:gridCol w:w="1431"/>
      </w:tblGrid>
      <w:tr>
        <w:trPr/>
        <w:tc>
          <w:tcPr>
            <w:tcW w:w="3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66975" cy="175260"/>
                      <wp:effectExtent l="0" t="0" r="0" b="0"/>
                      <wp:wrapNone/>
                      <wp:docPr id="6" name="Frame5"/>
                      <a:graphic xmlns:a="http://schemas.openxmlformats.org/drawingml/2006/main">
                        <a:graphicData uri="http://schemas.microsoft.com/office/word/2010/wordprocessingShape">
                          <wps:wsp>
                            <wps:cNvSpPr txBox="1"/>
                            <wps:spPr>
                              <a:xfrm>
                                <a:off x="0" y="0"/>
                                <a:ext cx="246697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35000" cy="175260"/>
                      <wp:effectExtent l="0" t="0" r="0" b="0"/>
                      <wp:wrapNone/>
                      <wp:docPr id="9" name="Frame8"/>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35000" cy="175260"/>
                      <wp:effectExtent l="0" t="0" r="0" b="0"/>
                      <wp:wrapNone/>
                      <wp:docPr id="12" name="Frame11"/>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35000" cy="175260"/>
                      <wp:effectExtent l="0" t="0" r="0" b="0"/>
                      <wp:wrapNone/>
                      <wp:docPr id="15" name="Frame14"/>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08685" cy="175260"/>
                      <wp:effectExtent l="0" t="0" r="0" b="0"/>
                      <wp:wrapNone/>
                      <wp:docPr id="18" name="Frame17"/>
                      <a:graphic xmlns:a="http://schemas.openxmlformats.org/drawingml/2006/main">
                        <a:graphicData uri="http://schemas.microsoft.com/office/word/2010/wordprocessingShape">
                          <wps:wsp>
                            <wps:cNvSpPr txBox="1"/>
                            <wps:spPr>
                              <a:xfrm>
                                <a:off x="0" y="0"/>
                                <a:ext cx="9086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r>
      <w:tr>
        <w:trPr/>
        <w:tc>
          <w:tcPr>
            <w:tcW w:w="10205" w:type="dxa"/>
            <w:gridSpan w:val="13"/>
            <w:tcBorders/>
            <w:shd w:fill="FFFFFF" w:val="cle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NextCure, Inc.</w:t>
            </w:r>
          </w:p>
        </w:tc>
      </w:tr>
      <w:tr>
        <w:trPr/>
        <w:tc>
          <w:tcPr>
            <w:tcW w:w="10205" w:type="dxa"/>
            <w:gridSpan w:val="13"/>
            <w:tcBorders>
              <w:bottom w:val="single" w:sz="2" w:space="0" w:color="000000"/>
            </w:tcBorders>
            <w:shd w:fill="FFFFFF" w:val="clear"/>
            <w:tcMar>
              <w:bottom w:w="28" w:type="dxa"/>
            </w:tcM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Selected Financial Information</w:t>
            </w:r>
          </w:p>
        </w:tc>
      </w:tr>
      <w:tr>
        <w:trPr/>
        <w:tc>
          <w:tcPr>
            <w:tcW w:w="3885"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center"/>
              <w:rPr/>
            </w:pPr>
            <w:r>
              <w:rPr/>
              <w:t>​</w:t>
            </w:r>
          </w:p>
        </w:tc>
        <w:tc>
          <w:tcPr>
            <w:tcW w:w="211" w:type="dxa"/>
            <w:tcBorders/>
            <w:vAlign w:val="center"/>
          </w:tcPr>
          <w:p>
            <w:pPr>
              <w:pStyle w:val="TableContents"/>
              <w:bidi w:val="0"/>
              <w:spacing w:lineRule="auto" w:line="331" w:before="0" w:after="160"/>
              <w:ind w:left="0" w:right="0" w:hanging="0"/>
              <w:jc w:val="center"/>
              <w:rPr/>
            </w:pPr>
            <w:r>
              <w:rPr/>
              <w:t>​</w:t>
            </w:r>
          </w:p>
        </w:tc>
        <w:tc>
          <w:tcPr>
            <w:tcW w:w="1000" w:type="dxa"/>
            <w:tcBorders/>
            <w:vAlign w:val="center"/>
          </w:tcPr>
          <w:p>
            <w:pPr>
              <w:pStyle w:val="TableContents"/>
              <w:bidi w:val="0"/>
              <w:spacing w:lineRule="auto" w:line="331" w:before="0" w:after="160"/>
              <w:ind w:left="0" w:right="0" w:hanging="0"/>
              <w:jc w:val="center"/>
              <w:rPr/>
            </w:pPr>
            <w:r>
              <w:rPr/>
              <w:t>​</w:t>
            </w:r>
          </w:p>
        </w:tc>
        <w:tc>
          <w:tcPr>
            <w:tcW w:w="346" w:type="dxa"/>
            <w:tcBorders/>
            <w:vAlign w:val="center"/>
          </w:tcPr>
          <w:p>
            <w:pPr>
              <w:pStyle w:val="TableContents"/>
              <w:bidi w:val="0"/>
              <w:spacing w:lineRule="auto" w:line="331" w:before="0" w:after="160"/>
              <w:ind w:left="0" w:right="0" w:hanging="0"/>
              <w:jc w:val="center"/>
              <w:rPr/>
            </w:pPr>
            <w:r>
              <w:rPr/>
              <w:t>​</w:t>
            </w:r>
          </w:p>
        </w:tc>
        <w:tc>
          <w:tcPr>
            <w:tcW w:w="346" w:type="dxa"/>
            <w:tcBorders/>
            <w:vAlign w:val="center"/>
          </w:tcPr>
          <w:p>
            <w:pPr>
              <w:pStyle w:val="TableContents"/>
              <w:bidi w:val="0"/>
              <w:spacing w:lineRule="auto" w:line="331" w:before="0" w:after="160"/>
              <w:ind w:left="0" w:right="0" w:hanging="0"/>
              <w:jc w:val="center"/>
              <w:rPr/>
            </w:pPr>
            <w:r>
              <w:rPr/>
              <w:t>​</w:t>
            </w:r>
          </w:p>
        </w:tc>
        <w:tc>
          <w:tcPr>
            <w:tcW w:w="1431" w:type="dxa"/>
            <w:tcBorders/>
            <w:vAlign w:val="center"/>
          </w:tcPr>
          <w:p>
            <w:pPr>
              <w:pStyle w:val="TableContents"/>
              <w:bidi w:val="0"/>
              <w:spacing w:lineRule="auto" w:line="331" w:before="0" w:after="160"/>
              <w:ind w:left="0" w:right="0" w:hanging="0"/>
              <w:jc w:val="center"/>
              <w:rPr/>
            </w:pPr>
            <w:r>
              <w:rPr/>
              <w:t>​</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b/>
                <w:sz w:val="20"/>
              </w:rPr>
            </w:pPr>
            <w:r>
              <w:rPr>
                <w:rFonts w:ascii="Helvetica;sans-serif" w:hAnsi="Helvetica;sans-serif"/>
                <w:b/>
                <w:sz w:val="20"/>
              </w:rPr>
              <w:t>Selected Statement of Operations Items:</w:t>
            </w:r>
          </w:p>
        </w:tc>
        <w:tc>
          <w:tcPr>
            <w:tcW w:w="109" w:type="dxa"/>
            <w:tcBorders/>
            <w:vAlign w:val="center"/>
          </w:tcPr>
          <w:p>
            <w:pPr>
              <w:pStyle w:val="TableContents"/>
              <w:bidi w:val="0"/>
              <w:spacing w:lineRule="auto" w:line="331" w:before="0" w:after="160"/>
              <w:ind w:left="0" w:right="0" w:hanging="0"/>
              <w:jc w:val="left"/>
              <w:rPr/>
            </w:pPr>
            <w:r>
              <w:rPr/>
              <w:t>​</w:t>
            </w:r>
          </w:p>
        </w:tc>
        <w:tc>
          <w:tcPr>
            <w:tcW w:w="2768" w:type="dxa"/>
            <w:gridSpan w:val="5"/>
            <w:tcBorders/>
            <w:shd w:fill="FFFFFF" w:val="cle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 xml:space="preserve">Three Months Ended </w:t>
            </w:r>
          </w:p>
        </w:tc>
        <w:tc>
          <w:tcPr>
            <w:tcW w:w="109" w:type="dxa"/>
            <w:tcBorders/>
            <w:vAlign w:val="center"/>
          </w:tcPr>
          <w:p>
            <w:pPr>
              <w:pStyle w:val="TableContents"/>
              <w:bidi w:val="0"/>
              <w:spacing w:lineRule="auto" w:line="331" w:before="0" w:after="160"/>
              <w:ind w:left="0" w:right="0" w:hanging="0"/>
              <w:jc w:val="left"/>
              <w:rPr/>
            </w:pPr>
            <w:r>
              <w:rPr/>
              <w:t>​</w:t>
            </w:r>
          </w:p>
        </w:tc>
        <w:tc>
          <w:tcPr>
            <w:tcW w:w="3334" w:type="dxa"/>
            <w:gridSpan w:val="5"/>
            <w:tcBorders/>
            <w:shd w:fill="FFFFFF" w:val="cle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 xml:space="preserve">Six Months Ended </w:t>
            </w:r>
          </w:p>
        </w:tc>
      </w:tr>
      <w:tr>
        <w:trPr/>
        <w:tc>
          <w:tcPr>
            <w:tcW w:w="3885"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left"/>
              <w:rPr/>
            </w:pPr>
            <w:r>
              <w:rPr/>
              <w:t>​</w:t>
            </w:r>
          </w:p>
        </w:tc>
        <w:tc>
          <w:tcPr>
            <w:tcW w:w="2768" w:type="dxa"/>
            <w:gridSpan w:val="5"/>
            <w:tcBorders>
              <w:bottom w:val="single" w:sz="2" w:space="0" w:color="000000"/>
            </w:tcBorders>
            <w:tcMar>
              <w:bottom w:w="28" w:type="dxa"/>
            </w:tcM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June 30, </w:t>
            </w:r>
          </w:p>
        </w:tc>
        <w:tc>
          <w:tcPr>
            <w:tcW w:w="109" w:type="dxa"/>
            <w:tcBorders/>
            <w:vAlign w:val="center"/>
          </w:tcPr>
          <w:p>
            <w:pPr>
              <w:pStyle w:val="TableContents"/>
              <w:bidi w:val="0"/>
              <w:spacing w:lineRule="auto" w:line="331" w:before="0" w:after="160"/>
              <w:ind w:left="0" w:right="0" w:hanging="0"/>
              <w:jc w:val="left"/>
              <w:rPr/>
            </w:pPr>
            <w:r>
              <w:rPr/>
              <w:t>​</w:t>
            </w:r>
          </w:p>
        </w:tc>
        <w:tc>
          <w:tcPr>
            <w:tcW w:w="3334" w:type="dxa"/>
            <w:gridSpan w:val="5"/>
            <w:tcBorders>
              <w:bottom w:val="single" w:sz="2" w:space="0" w:color="000000"/>
            </w:tcBorders>
            <w:tcMar>
              <w:bottom w:w="28" w:type="dxa"/>
            </w:tcM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June 30, </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i/>
                <w:sz w:val="20"/>
              </w:rPr>
            </w:pPr>
            <w:r>
              <w:rPr>
                <w:rFonts w:ascii="Helvetica;sans-serif" w:hAnsi="Helvetica;sans-serif"/>
                <w:i/>
                <w:sz w:val="20"/>
              </w:rPr>
              <w:t>(in thousands, except share and per share amounts)</w:t>
            </w:r>
          </w:p>
        </w:tc>
        <w:tc>
          <w:tcPr>
            <w:tcW w:w="109" w:type="dxa"/>
            <w:tcBorders/>
            <w:vAlign w:val="center"/>
          </w:tcPr>
          <w:p>
            <w:pPr>
              <w:pStyle w:val="TableContents"/>
              <w:bidi w:val="0"/>
              <w:spacing w:lineRule="auto" w:line="331" w:before="0" w:after="160"/>
              <w:ind w:left="0" w:right="0" w:hanging="0"/>
              <w:jc w:val="left"/>
              <w:rPr/>
            </w:pPr>
            <w:r>
              <w:rPr/>
              <w:t>​</w:t>
            </w:r>
          </w:p>
        </w:tc>
        <w:tc>
          <w:tcPr>
            <w:tcW w:w="1211" w:type="dxa"/>
            <w:gridSpan w:val="2"/>
            <w:tcBorders>
              <w:bottom w:val="single" w:sz="2" w:space="0" w:color="000000"/>
            </w:tcBorders>
            <w:tcMar>
              <w:bottom w:w="28" w:type="dxa"/>
            </w:tcM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2026</w:t>
            </w:r>
          </w:p>
        </w:tc>
        <w:tc>
          <w:tcPr>
            <w:tcW w:w="346" w:type="dxa"/>
            <w:tcBorders/>
            <w:vAlign w:val="center"/>
          </w:tcPr>
          <w:p>
            <w:pPr>
              <w:pStyle w:val="TableContents"/>
              <w:bidi w:val="0"/>
              <w:spacing w:lineRule="auto" w:line="331" w:before="0" w:after="1"/>
              <w:ind w:left="0" w:right="0" w:hanging="0"/>
              <w:jc w:val="left"/>
              <w:rPr/>
            </w:pPr>
            <w:r>
              <w:rPr/>
              <w:t>  ​ ​ ​</w:t>
            </w:r>
          </w:p>
        </w:tc>
        <w:tc>
          <w:tcPr>
            <w:tcW w:w="1211" w:type="dxa"/>
            <w:gridSpan w:val="2"/>
            <w:tcBorders>
              <w:bottom w:val="single" w:sz="2" w:space="0" w:color="000000"/>
            </w:tcBorders>
            <w:tcMar>
              <w:bottom w:w="28" w:type="dxa"/>
            </w:tcM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2025</w:t>
            </w:r>
          </w:p>
        </w:tc>
        <w:tc>
          <w:tcPr>
            <w:tcW w:w="109" w:type="dxa"/>
            <w:tcBorders/>
            <w:vAlign w:val="center"/>
          </w:tcPr>
          <w:p>
            <w:pPr>
              <w:pStyle w:val="TableContents"/>
              <w:bidi w:val="0"/>
              <w:spacing w:lineRule="auto" w:line="331" w:before="0" w:after="160"/>
              <w:ind w:left="0" w:right="0" w:hanging="0"/>
              <w:jc w:val="left"/>
              <w:rPr/>
            </w:pPr>
            <w:r>
              <w:rPr/>
              <w:t>​</w:t>
            </w:r>
          </w:p>
        </w:tc>
        <w:tc>
          <w:tcPr>
            <w:tcW w:w="1211" w:type="dxa"/>
            <w:gridSpan w:val="2"/>
            <w:tcBorders>
              <w:bottom w:val="single" w:sz="2" w:space="0" w:color="000000"/>
            </w:tcBorders>
            <w:tcMar>
              <w:bottom w:w="28" w:type="dxa"/>
            </w:tcM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2026</w:t>
            </w:r>
          </w:p>
        </w:tc>
        <w:tc>
          <w:tcPr>
            <w:tcW w:w="346" w:type="dxa"/>
            <w:tcBorders/>
            <w:vAlign w:val="center"/>
          </w:tcPr>
          <w:p>
            <w:pPr>
              <w:pStyle w:val="TableContents"/>
              <w:bidi w:val="0"/>
              <w:spacing w:lineRule="auto" w:line="331" w:before="0" w:after="1"/>
              <w:ind w:left="0" w:right="0" w:hanging="0"/>
              <w:jc w:val="left"/>
              <w:rPr/>
            </w:pPr>
            <w:r>
              <w:rPr/>
              <w:t>  ​ ​ ​</w:t>
            </w:r>
          </w:p>
        </w:tc>
        <w:tc>
          <w:tcPr>
            <w:tcW w:w="1777" w:type="dxa"/>
            <w:gridSpan w:val="2"/>
            <w:tcBorders>
              <w:bottom w:val="single" w:sz="2" w:space="0" w:color="000000"/>
            </w:tcBorders>
            <w:tcMar>
              <w:bottom w:w="28" w:type="dxa"/>
            </w:tcM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2025</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 xml:space="preserve">Operating expenses: </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1431" w:type="dxa"/>
            <w:tcBorders/>
            <w:vAlign w:val="center"/>
          </w:tcPr>
          <w:p>
            <w:pPr>
              <w:pStyle w:val="TableContents"/>
              <w:bidi w:val="0"/>
              <w:spacing w:lineRule="auto" w:line="331" w:before="0" w:after="160"/>
              <w:ind w:left="0" w:right="0" w:hanging="0"/>
              <w:jc w:val="left"/>
              <w:rPr/>
            </w:pPr>
            <w:r>
              <w:rPr/>
              <w:t>​</w:t>
            </w:r>
          </w:p>
        </w:tc>
      </w:tr>
      <w:tr>
        <w:trPr/>
        <w:tc>
          <w:tcPr>
            <w:tcW w:w="3885"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Research and development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shd w:fill="CCEEFF" w:val="cle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7,425</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shd w:fill="CCEEFF" w:val="cle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24,091</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shd w:fill="CCEEFF" w:val="cle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14,259</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431" w:type="dxa"/>
            <w:tcBorders/>
            <w:shd w:fill="CCEEFF" w:val="cle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31,987</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General and administrative</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2,592</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3,201</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5,863</w:t>
            </w:r>
          </w:p>
        </w:tc>
        <w:tc>
          <w:tcPr>
            <w:tcW w:w="34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1431"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6,927</w:t>
            </w:r>
          </w:p>
        </w:tc>
      </w:tr>
      <w:tr>
        <w:trPr/>
        <w:tc>
          <w:tcPr>
            <w:tcW w:w="3885"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Asset impairment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5,077</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5,077</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431"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Loss from operations</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
              <w:ind w:left="0" w:right="0" w:hanging="0"/>
              <w:jc w:val="left"/>
              <w:rPr/>
            </w:pPr>
            <w:r>
              <w:rPr/>
              <w:t> </w:t>
            </w:r>
          </w:p>
        </w:tc>
        <w:tc>
          <w:tcPr>
            <w:tcW w:w="1000"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(15,094)</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
              <w:ind w:left="0" w:right="0" w:hanging="0"/>
              <w:jc w:val="left"/>
              <w:rPr/>
            </w:pPr>
            <w:r>
              <w:rPr/>
              <w:t> </w:t>
            </w:r>
          </w:p>
        </w:tc>
        <w:tc>
          <w:tcPr>
            <w:tcW w:w="1000"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(27,292)</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
              <w:ind w:left="0" w:right="0" w:hanging="0"/>
              <w:jc w:val="left"/>
              <w:rPr/>
            </w:pPr>
            <w:r>
              <w:rPr/>
              <w:t> </w:t>
            </w:r>
          </w:p>
        </w:tc>
        <w:tc>
          <w:tcPr>
            <w:tcW w:w="1000"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(25,199)</w:t>
            </w:r>
          </w:p>
        </w:tc>
        <w:tc>
          <w:tcPr>
            <w:tcW w:w="34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
              <w:ind w:left="0" w:right="0" w:hanging="0"/>
              <w:jc w:val="left"/>
              <w:rPr/>
            </w:pPr>
            <w:r>
              <w:rPr/>
              <w:t> </w:t>
            </w:r>
          </w:p>
        </w:tc>
        <w:tc>
          <w:tcPr>
            <w:tcW w:w="1431"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(38,914)</w:t>
            </w:r>
          </w:p>
        </w:tc>
      </w:tr>
      <w:tr>
        <w:trPr/>
        <w:tc>
          <w:tcPr>
            <w:tcW w:w="3885"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Other income, net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202</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484</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511</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left"/>
              <w:rPr/>
            </w:pPr>
            <w:r>
              <w:rPr/>
              <w:t> </w:t>
            </w:r>
          </w:p>
        </w:tc>
        <w:tc>
          <w:tcPr>
            <w:tcW w:w="1431"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1,130</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Net loss</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bottom w:val="double" w:sz="6" w:space="0" w:color="000000"/>
            </w:tcBorders>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(14,892)</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bottom w:val="double" w:sz="6" w:space="0" w:color="000000"/>
            </w:tcBorders>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(26,808)</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bottom w:val="double" w:sz="6" w:space="0" w:color="000000"/>
            </w:tcBorders>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(24,688)</w:t>
            </w:r>
          </w:p>
        </w:tc>
        <w:tc>
          <w:tcPr>
            <w:tcW w:w="346" w:type="dxa"/>
            <w:tcBorders/>
            <w:vAlign w:val="center"/>
          </w:tcPr>
          <w:p>
            <w:pPr>
              <w:pStyle w:val="TableContents"/>
              <w:bidi w:val="0"/>
              <w:spacing w:lineRule="auto" w:line="331" w:before="0" w:after="16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431" w:type="dxa"/>
            <w:tcBorders>
              <w:bottom w:val="double" w:sz="6" w:space="0" w:color="000000"/>
            </w:tcBorders>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(37,784)</w:t>
            </w:r>
          </w:p>
        </w:tc>
      </w:tr>
      <w:tr>
        <w:trPr/>
        <w:tc>
          <w:tcPr>
            <w:tcW w:w="3885"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Net loss per common share - basic and diluted</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(2.80)</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(11.29)</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(4.68)</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431" w:type="dxa"/>
            <w:tcBorders>
              <w:bottom w:val="single" w:sz="2" w:space="0" w:color="000000"/>
            </w:tcBorders>
            <w:shd w:fill="CCEEFF" w:val="clear"/>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(16.05)</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Weighted-average shares outstanding - basic and diluted</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 xml:space="preserve">5,309,724 </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 xml:space="preserve">2,374,729 </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 xml:space="preserve">5,274,630 </w:t>
            </w:r>
          </w:p>
        </w:tc>
        <w:tc>
          <w:tcPr>
            <w:tcW w:w="346" w:type="dxa"/>
            <w:tcBorders/>
            <w:vAlign w:val="center"/>
          </w:tcPr>
          <w:p>
            <w:pPr>
              <w:pStyle w:val="TableContents"/>
              <w:bidi w:val="0"/>
              <w:spacing w:lineRule="auto" w:line="331" w:before="0" w:after="16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431" w:type="dxa"/>
            <w:tcBorders>
              <w:bottom w:val="single" w:sz="2" w:space="0" w:color="000000"/>
            </w:tcBorders>
            <w:tcMar>
              <w:bottom w:w="28" w:type="dxa"/>
            </w:tcM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 xml:space="preserve">2,354,425 </w:t>
            </w:r>
          </w:p>
        </w:tc>
      </w:tr>
      <w:tr>
        <w:trPr/>
        <w:tc>
          <w:tcPr>
            <w:tcW w:w="3885" w:type="dxa"/>
            <w:tcBorders/>
            <w:shd w:fill="CCEEFF" w:val="clear"/>
            <w:vAlign w:val="center"/>
          </w:tcPr>
          <w:p>
            <w:pPr>
              <w:pStyle w:val="TableContents"/>
              <w:bidi w:val="0"/>
              <w:spacing w:lineRule="auto" w:line="331" w:before="0" w:after="160"/>
              <w:ind w:left="0" w:right="0" w:hanging="0"/>
              <w:jc w:val="left"/>
              <w:rPr/>
            </w:pPr>
            <w:r>
              <w:rPr/>
              <w: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00"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00" w:type="dxa"/>
            <w:tcBorders/>
            <w:shd w:fill="CCEEFF" w:val="clear"/>
            <w:vAlign w:val="center"/>
          </w:tcPr>
          <w:p>
            <w:pPr>
              <w:pStyle w:val="TableContents"/>
              <w:bidi w:val="0"/>
              <w:spacing w:lineRule="auto" w:line="331" w:before="0" w:after="160"/>
              <w:ind w:left="0" w:right="0" w:hanging="0"/>
              <w:jc w:val="left"/>
              <w:rPr/>
            </w:pPr>
            <w:r>
              <w:rPr/>
              <w: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00"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1431" w:type="dxa"/>
            <w:tcBorders/>
            <w:shd w:fill="CCEEFF" w:val="clear"/>
            <w:vAlign w:val="center"/>
          </w:tcPr>
          <w:p>
            <w:pPr>
              <w:pStyle w:val="TableContents"/>
              <w:bidi w:val="0"/>
              <w:spacing w:lineRule="auto" w:line="331" w:before="0" w:after="160"/>
              <w:ind w:left="0" w:right="0" w:hanging="0"/>
              <w:jc w:val="left"/>
              <w:rPr/>
            </w:pPr>
            <w:r>
              <w:rPr/>
              <w:t>​</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b/>
                <w:sz w:val="20"/>
              </w:rPr>
            </w:pPr>
            <w:r>
              <w:rPr>
                <w:rFonts w:ascii="Helvetica;sans-serif" w:hAnsi="Helvetica;sans-serif"/>
                <w:b/>
                <w:sz w:val="20"/>
              </w:rPr>
              <w:t>Selected Balance Sheet Items:</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1431" w:type="dxa"/>
            <w:tcBorders/>
            <w:vAlign w:val="center"/>
          </w:tcPr>
          <w:p>
            <w:pPr>
              <w:pStyle w:val="TableContents"/>
              <w:bidi w:val="0"/>
              <w:spacing w:lineRule="auto" w:line="331" w:before="0" w:after="160"/>
              <w:ind w:left="0" w:right="0" w:hanging="0"/>
              <w:jc w:val="left"/>
              <w:rPr/>
            </w:pPr>
            <w:r>
              <w:rPr/>
              <w:t>​</w:t>
            </w:r>
          </w:p>
        </w:tc>
      </w:tr>
      <w:tr>
        <w:trPr/>
        <w:tc>
          <w:tcPr>
            <w:tcW w:w="3885" w:type="dxa"/>
            <w:tcBorders/>
            <w:shd w:fill="CCEEFF" w:val="clear"/>
            <w:vAlign w:val="center"/>
          </w:tcPr>
          <w:p>
            <w:pPr>
              <w:pStyle w:val="TableContents"/>
              <w:bidi w:val="0"/>
              <w:spacing w:lineRule="auto" w:line="331" w:before="0" w:after="160"/>
              <w:ind w:left="0" w:right="0" w:hanging="0"/>
              <w:jc w:val="left"/>
              <w:rPr/>
            </w:pPr>
            <w:r>
              <w:rPr/>
              <w: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00" w:type="dxa"/>
            <w:tcBorders/>
            <w:shd w:fill="CCEEFF" w:val="clear"/>
            <w:vAlign w:val="center"/>
          </w:tcPr>
          <w:p>
            <w:pPr>
              <w:pStyle w:val="TableContents"/>
              <w:bidi w:val="0"/>
              <w:spacing w:lineRule="auto" w:line="331" w:before="0" w:after="160"/>
              <w:ind w:left="0" w:right="0" w:hanging="0"/>
              <w:jc w:val="center"/>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center"/>
              <w:rPr/>
            </w:pPr>
            <w:r>
              <w:rPr/>
              <w:t>​</w:t>
            </w:r>
          </w:p>
        </w:tc>
        <w:tc>
          <w:tcPr>
            <w:tcW w:w="1000" w:type="dxa"/>
            <w:tcBorders/>
            <w:shd w:fill="CCEEFF" w:val="clear"/>
            <w:vAlign w:val="center"/>
          </w:tcPr>
          <w:p>
            <w:pPr>
              <w:pStyle w:val="TableContents"/>
              <w:bidi w:val="0"/>
              <w:spacing w:lineRule="auto" w:line="331" w:before="0" w:after="160"/>
              <w:ind w:left="0" w:right="0" w:hanging="0"/>
              <w:jc w:val="center"/>
              <w:rPr/>
            </w:pPr>
            <w:r>
              <w:rPr/>
              <w: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00" w:type="dxa"/>
            <w:tcBorders/>
            <w:shd w:fill="CCEEFF" w:val="cle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June 30, </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60"/>
              <w:ind w:left="0" w:right="0" w:hanging="0"/>
              <w:jc w:val="center"/>
              <w:rPr/>
            </w:pPr>
            <w:r>
              <w:rPr/>
              <w:t>​</w:t>
            </w:r>
          </w:p>
        </w:tc>
        <w:tc>
          <w:tcPr>
            <w:tcW w:w="1431" w:type="dxa"/>
            <w:tcBorders/>
            <w:shd w:fill="CCEEFF" w:val="cle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December 31, </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i/>
                <w:sz w:val="20"/>
              </w:rPr>
            </w:pPr>
            <w:r>
              <w:rPr>
                <w:rFonts w:ascii="Helvetica;sans-serif" w:hAnsi="Helvetica;sans-serif"/>
                <w:i/>
                <w:sz w:val="20"/>
              </w:rPr>
              <w:t>(in thousands)</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center"/>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center"/>
              <w:rPr/>
            </w:pPr>
            <w:r>
              <w:rPr/>
              <w:t>​</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2026</w:t>
            </w:r>
          </w:p>
        </w:tc>
        <w:tc>
          <w:tcPr>
            <w:tcW w:w="346"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
              <w:ind w:left="0" w:right="0" w:hanging="0"/>
              <w:jc w:val="left"/>
              <w:rPr/>
            </w:pPr>
            <w:r>
              <w:rPr/>
              <w:t>  ​ ​ ​</w:t>
            </w:r>
          </w:p>
        </w:tc>
        <w:tc>
          <w:tcPr>
            <w:tcW w:w="1431" w:type="dxa"/>
            <w:tcBorders>
              <w:bottom w:val="single" w:sz="2" w:space="0" w:color="000000"/>
            </w:tcBorders>
            <w:tcMar>
              <w:bottom w:w="28" w:type="dxa"/>
            </w:tcMar>
            <w:vAlign w:val="center"/>
          </w:tcPr>
          <w:p>
            <w:pPr>
              <w:pStyle w:val="TableContents"/>
              <w:bidi w:val="0"/>
              <w:spacing w:lineRule="auto" w:line="331" w:before="0" w:after="1"/>
              <w:ind w:left="0" w:right="0" w:hanging="0"/>
              <w:jc w:val="center"/>
              <w:rPr>
                <w:rFonts w:ascii="Helvetica;sans-serif" w:hAnsi="Helvetica;sans-serif"/>
                <w:b/>
                <w:sz w:val="20"/>
              </w:rPr>
            </w:pPr>
            <w:r>
              <w:rPr>
                <w:rFonts w:ascii="Helvetica;sans-serif" w:hAnsi="Helvetica;sans-serif"/>
                <w:b/>
                <w:sz w:val="20"/>
              </w:rPr>
              <w:t>2025</w:t>
            </w:r>
          </w:p>
        </w:tc>
      </w:tr>
      <w:tr>
        <w:trPr/>
        <w:tc>
          <w:tcPr>
            <w:tcW w:w="3885"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Cash, cash equivalents, and marketable securities</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00"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00" w:type="dxa"/>
            <w:tcBorders/>
            <w:shd w:fill="CCEEFF" w:val="clear"/>
            <w:vAlign w:val="center"/>
          </w:tcPr>
          <w:p>
            <w:pPr>
              <w:pStyle w:val="TableContents"/>
              <w:bidi w:val="0"/>
              <w:spacing w:lineRule="auto" w:line="331" w:before="0" w:after="160"/>
              <w:ind w:left="0" w:right="0" w:hanging="0"/>
              <w:jc w:val="left"/>
              <w:rPr/>
            </w:pPr>
            <w:r>
              <w:rPr/>
              <w: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shd w:fill="CCEEFF" w:val="cle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20,088</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431" w:type="dxa"/>
            <w:tcBorders/>
            <w:shd w:fill="CCEEFF" w:val="cle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41,818</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Total assets</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22,620</w:t>
            </w:r>
          </w:p>
        </w:tc>
        <w:tc>
          <w:tcPr>
            <w:tcW w:w="34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431"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50,183</w:t>
            </w:r>
          </w:p>
        </w:tc>
      </w:tr>
      <w:tr>
        <w:trPr/>
        <w:tc>
          <w:tcPr>
            <w:tcW w:w="3885"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Accounts payable and accrued liabilities</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00"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00" w:type="dxa"/>
            <w:tcBorders/>
            <w:shd w:fill="CCEEFF" w:val="clear"/>
            <w:vAlign w:val="center"/>
          </w:tcPr>
          <w:p>
            <w:pPr>
              <w:pStyle w:val="TableContents"/>
              <w:bidi w:val="0"/>
              <w:spacing w:lineRule="auto" w:line="331" w:before="0" w:after="160"/>
              <w:ind w:left="0" w:right="0" w:hanging="0"/>
              <w:jc w:val="left"/>
              <w:rPr/>
            </w:pPr>
            <w:r>
              <w:rPr/>
              <w:t>​</w:t>
            </w:r>
          </w:p>
        </w:tc>
        <w:tc>
          <w:tcPr>
            <w:tcW w:w="109"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shd w:fill="CCEEFF" w:val="cle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6,413</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431" w:type="dxa"/>
            <w:tcBorders/>
            <w:shd w:fill="CCEEFF" w:val="clear"/>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10,566</w:t>
            </w:r>
          </w:p>
        </w:tc>
      </w:tr>
      <w:tr>
        <w:trPr/>
        <w:tc>
          <w:tcPr>
            <w:tcW w:w="3885"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Total stockholders' equity</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1000" w:type="dxa"/>
            <w:tcBorders/>
            <w:vAlign w:val="center"/>
          </w:tcPr>
          <w:p>
            <w:pPr>
              <w:pStyle w:val="TableContents"/>
              <w:bidi w:val="0"/>
              <w:spacing w:lineRule="auto" w:line="331" w:before="0" w:after="160"/>
              <w:ind w:left="0" w:right="0" w:hanging="0"/>
              <w:jc w:val="left"/>
              <w:rPr/>
            </w:pPr>
            <w:r>
              <w:rPr/>
              <w:t>​</w:t>
            </w:r>
          </w:p>
        </w:tc>
        <w:tc>
          <w:tcPr>
            <w:tcW w:w="109"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000" w:type="dxa"/>
            <w:tcBorders/>
            <w:vAlign w:val="center"/>
          </w:tcPr>
          <w:p>
            <w:pPr>
              <w:pStyle w:val="TableContents"/>
              <w:bidi w:val="0"/>
              <w:spacing w:lineRule="auto" w:line="331" w:before="0" w:after="1"/>
              <w:ind w:left="0" w:right="0" w:hanging="0"/>
              <w:jc w:val="right"/>
              <w:rPr>
                <w:rFonts w:ascii="Helvetica;sans-serif" w:hAnsi="Helvetica;sans-serif"/>
                <w:sz w:val="20"/>
              </w:rPr>
            </w:pPr>
            <w:r>
              <w:rPr>
                <w:rFonts w:ascii="Helvetica;sans-serif" w:hAnsi="Helvetica;sans-serif"/>
                <w:sz w:val="20"/>
              </w:rPr>
              <w:t>12,149</w:t>
            </w:r>
          </w:p>
        </w:tc>
        <w:tc>
          <w:tcPr>
            <w:tcW w:w="34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
              <w:ind w:left="0" w:right="0" w:hanging="0"/>
              <w:jc w:val="left"/>
              <w:rPr>
                <w:rFonts w:ascii="Helvetica;sans-serif" w:hAnsi="Helvetica;sans-serif"/>
                <w:sz w:val="20"/>
              </w:rPr>
            </w:pPr>
            <w:r>
              <w:rPr>
                <w:rFonts w:ascii="Helvetica;sans-serif" w:hAnsi="Helvetica;sans-serif"/>
                <w:sz w:val="20"/>
              </w:rPr>
              <w:t>$</w:t>
            </w:r>
          </w:p>
        </w:tc>
        <w:tc>
          <w:tcPr>
            <w:tcW w:w="1431" w:type="dxa"/>
            <w:tcBorders/>
            <w:vAlign w:val="center"/>
          </w:tcPr>
          <w:p>
            <w:pPr>
              <w:pStyle w:val="TableContents"/>
              <w:bidi w:val="0"/>
              <w:spacing w:lineRule="auto" w:line="331" w:before="0" w:after="1"/>
              <w:ind w:left="0" w:right="60" w:hanging="0"/>
              <w:jc w:val="right"/>
              <w:rPr>
                <w:rFonts w:ascii="Helvetica;sans-serif" w:hAnsi="Helvetica;sans-serif"/>
                <w:sz w:val="20"/>
              </w:rPr>
            </w:pPr>
            <w:r>
              <w:rPr>
                <w:rFonts w:ascii="Helvetica;sans-serif" w:hAnsi="Helvetica;sans-serif"/>
                <w:sz w:val="20"/>
              </w:rPr>
              <w:t>34,943</w:t>
            </w:r>
          </w:p>
        </w:tc>
      </w:tr>
    </w:tbl>
    <w:p>
      <w:pPr>
        <w:pStyle w:val="TextBody"/>
        <w:bidi w:val="0"/>
        <w:spacing w:lineRule="auto" w:line="331" w:before="0" w:after="160"/>
        <w:ind w:left="0" w:right="0" w:hanging="0"/>
        <w:jc w:val="left"/>
        <w:rPr/>
      </w:pPr>
      <w:r>
        <w:rPr/>
        <w:t>​</w:t>
      </w:r>
    </w:p>
    <w:p>
      <w:pPr>
        <w:pStyle w:val="TextBody"/>
        <w:bidi w:val="0"/>
        <w:spacing w:lineRule="auto" w:line="285" w:before="0" w:after="160"/>
        <w:ind w:left="0" w:right="0" w:hanging="0"/>
        <w:jc w:val="left"/>
        <w:rPr>
          <w:rFonts w:ascii="Helvetica;sans-serif" w:hAnsi="Helvetica;sans-serif"/>
          <w:b/>
          <w:sz w:val="24"/>
        </w:rPr>
      </w:pPr>
      <w:r>
        <w:rPr>
          <w:rFonts w:ascii="Helvetica;sans-serif" w:hAnsi="Helvetica;sans-serif"/>
          <w:b/>
          <w:sz w:val="24"/>
        </w:rPr>
        <w:t>Investor Inquiries</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Timothy Mayer, Ph.D.</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NextCure, Inc.</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Chief Operating Officer</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(240) 762-6486</w:t>
      </w:r>
    </w:p>
    <w:p>
      <w:pPr>
        <w:pStyle w:val="TextBody"/>
        <w:bidi w:val="0"/>
        <w:spacing w:lineRule="auto" w:line="285" w:before="0" w:after="0"/>
        <w:ind w:left="0" w:right="0" w:hanging="0"/>
        <w:jc w:val="left"/>
        <w:rPr>
          <w:rFonts w:ascii="Helvetica;sans-serif" w:hAnsi="Helvetica;sans-serif"/>
          <w:color w:val="0563C1"/>
          <w:sz w:val="22"/>
        </w:rPr>
      </w:pPr>
      <w:r>
        <w:rPr>
          <w:rFonts w:ascii="Helvetica;sans-serif" w:hAnsi="Helvetica;sans-serif"/>
          <w:color w:val="0563C1"/>
          <w:sz w:val="22"/>
        </w:rPr>
        <w:t>IR@nextcure.com</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Mike Moyer</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 xml:space="preserve">Managing Director, </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LifeSci Advisors, LLC</w:t>
      </w:r>
    </w:p>
    <w:p>
      <w:pPr>
        <w:pStyle w:val="TextBody"/>
        <w:bidi w:val="0"/>
        <w:spacing w:lineRule="auto" w:line="285" w:before="0" w:after="0"/>
        <w:ind w:left="0" w:right="0" w:hanging="0"/>
        <w:jc w:val="left"/>
        <w:rPr>
          <w:rFonts w:ascii="Helvetica;sans-serif" w:hAnsi="Helvetica;sans-serif"/>
          <w:sz w:val="24"/>
        </w:rPr>
      </w:pPr>
      <w:r>
        <w:rPr>
          <w:rFonts w:ascii="Helvetica;sans-serif" w:hAnsi="Helvetica;sans-serif"/>
          <w:sz w:val="24"/>
        </w:rPr>
        <w:t>Phone: (617) 308-4306</w:t>
      </w:r>
    </w:p>
    <w:p>
      <w:pPr>
        <w:pStyle w:val="TextBody"/>
        <w:bidi w:val="0"/>
        <w:spacing w:lineRule="auto" w:line="285" w:before="0" w:after="160"/>
        <w:ind w:left="0" w:right="0" w:hanging="0"/>
        <w:jc w:val="left"/>
        <w:rPr>
          <w:rFonts w:ascii="Helvetica;sans-serif" w:hAnsi="Helvetica;sans-serif"/>
          <w:color w:val="0563C1"/>
          <w:sz w:val="22"/>
          <w:u w:val="single"/>
        </w:rPr>
      </w:pPr>
      <w:r>
        <w:rPr>
          <w:rFonts w:ascii="Helvetica;sans-serif" w:hAnsi="Helvetica;sans-serif"/>
          <w:color w:val="0563C1"/>
          <w:sz w:val="22"/>
          <w:u w:val="single"/>
        </w:rPr>
        <w:t>mmoyer@lifesciadvisors.com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3189</Words>
  <Characters>18449</Characters>
  <CharactersWithSpaces>21729</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