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Washington, D.C. 20549</w:t>
      </w:r>
    </w:p>
    <w:p>
      <w:pPr>
        <w:spacing w:after="0" w:line="261"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SCHEDULE 13D</w:t>
      </w:r>
    </w:p>
    <w:p>
      <w:pPr>
        <w:spacing w:after="0" w:line="200" w:lineRule="exact"/>
        <w:rPr>
          <w:sz w:val="24"/>
          <w:szCs w:val="24"/>
          <w:color w:val="auto"/>
        </w:rPr>
      </w:pPr>
    </w:p>
    <w:p>
      <w:pPr>
        <w:spacing w:after="0" w:line="30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00" w:lineRule="exact"/>
        <w:rPr>
          <w:sz w:val="24"/>
          <w:szCs w:val="24"/>
          <w:color w:val="auto"/>
        </w:rPr>
      </w:pPr>
    </w:p>
    <w:p>
      <w:pPr>
        <w:spacing w:after="0" w:line="349" w:lineRule="exact"/>
        <w:rPr>
          <w:sz w:val="24"/>
          <w:szCs w:val="24"/>
          <w:color w:val="auto"/>
        </w:rPr>
      </w:pPr>
    </w:p>
    <w:p>
      <w:pPr>
        <w:jc w:val="center"/>
        <w:ind w:right="-179"/>
        <w:spacing w:after="0"/>
        <w:rPr>
          <w:sz w:val="20"/>
          <w:szCs w:val="20"/>
          <w:color w:val="auto"/>
        </w:rPr>
      </w:pPr>
      <w:r>
        <w:rPr>
          <w:rFonts w:ascii="Arial" w:cs="Arial" w:eastAsia="Arial" w:hAnsi="Arial"/>
          <w:sz w:val="29"/>
          <w:szCs w:val="29"/>
          <w:b w:val="1"/>
          <w:bCs w:val="1"/>
          <w:color w:val="auto"/>
        </w:rPr>
        <w:t>NextCure,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9"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(Name of Issuer)</w:t>
      </w:r>
    </w:p>
    <w:p>
      <w:pPr>
        <w:spacing w:after="0" w:line="221"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(Title of Class of Securities)</w:t>
      </w:r>
    </w:p>
    <w:p>
      <w:pPr>
        <w:spacing w:after="0" w:line="221"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65343E108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(CUSIP Number)</w:t>
      </w:r>
    </w:p>
    <w:p>
      <w:pPr>
        <w:spacing w:after="0" w:line="221"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OrbiMed Advisors LLC</w:t>
      </w:r>
    </w:p>
    <w:p>
      <w:pPr>
        <w:spacing w:after="0" w:line="22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OrbiMed Capital GP VI LLC</w:t>
      </w:r>
    </w:p>
    <w:p>
      <w:pPr>
        <w:spacing w:after="0" w:line="22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601 Lexington Avenue, 54th Floor</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New York, NY 10022</w:t>
      </w:r>
    </w:p>
    <w:p>
      <w:pPr>
        <w:spacing w:after="0" w:line="9"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Telephone: (212) 739-6400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142875</wp:posOffset>
            </wp:positionV>
            <wp:extent cx="72466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18"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(Name, Address and Telephone Number of Person Authorized to</w:t>
      </w:r>
    </w:p>
    <w:p>
      <w:pPr>
        <w:spacing w:after="0" w:line="23"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Receive Notices and Communications)</w:t>
      </w:r>
    </w:p>
    <w:p>
      <w:pPr>
        <w:spacing w:after="0" w:line="20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May 13,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(Date of Event which Requires Filing of this Statement)</w:t>
      </w:r>
    </w:p>
    <w:p>
      <w:pPr>
        <w:spacing w:after="0" w:line="225" w:lineRule="exact"/>
        <w:rPr>
          <w:sz w:val="24"/>
          <w:szCs w:val="24"/>
          <w:color w:val="auto"/>
        </w:rPr>
      </w:pPr>
    </w:p>
    <w:p>
      <w:pPr>
        <w:ind w:right="400"/>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179" w:lineRule="exact"/>
        <w:rPr>
          <w:sz w:val="24"/>
          <w:szCs w:val="24"/>
          <w:color w:val="auto"/>
        </w:rPr>
      </w:pPr>
    </w:p>
    <w:p>
      <w:pPr>
        <w:ind w:right="24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Schedules filed in paper format shall include a signed original and five copies of the schedule, including all exhibits. See §240.13d-7(b) for other</w:t>
      </w:r>
      <w:r>
        <w:rPr>
          <w:rFonts w:ascii="Arial" w:cs="Arial" w:eastAsia="Arial" w:hAnsi="Arial"/>
          <w:sz w:val="18"/>
          <w:szCs w:val="18"/>
          <w:b w:val="1"/>
          <w:bCs w:val="1"/>
          <w:color w:val="auto"/>
        </w:rPr>
        <w:t xml:space="preserve"> </w:t>
      </w:r>
      <w:r>
        <w:rPr>
          <w:rFonts w:ascii="Arial" w:cs="Arial" w:eastAsia="Arial" w:hAnsi="Arial"/>
          <w:sz w:val="18"/>
          <w:szCs w:val="18"/>
          <w:color w:val="auto"/>
        </w:rPr>
        <w:t>parties to whom copies are to be sent.</w:t>
      </w:r>
    </w:p>
    <w:p>
      <w:pPr>
        <w:spacing w:after="0" w:line="166" w:lineRule="exact"/>
        <w:rPr>
          <w:sz w:val="24"/>
          <w:szCs w:val="24"/>
          <w:color w:val="auto"/>
        </w:rPr>
      </w:pPr>
    </w:p>
    <w:p>
      <w:pPr>
        <w:ind w:left="340" w:hanging="332"/>
        <w:spacing w:after="0" w:line="277" w:lineRule="auto"/>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spacing w:after="0" w:line="264" w:lineRule="auto"/>
        <w:rPr>
          <w:sz w:val="20"/>
          <w:szCs w:val="20"/>
          <w:color w:val="auto"/>
        </w:rPr>
      </w:pPr>
      <w:r>
        <w:rPr>
          <w:rFonts w:ascii="Arial" w:cs="Arial" w:eastAsia="Arial" w:hAnsi="Arial"/>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193040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287020</wp:posOffset>
            </wp:positionV>
            <wp:extent cx="724662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240"/>
          </w:cols>
          <w:pgMar w:left="240" w:top="526" w:right="419" w:bottom="1440" w:gutter="0" w:footer="0" w:header="0"/>
        </w:sectPr>
      </w:pPr>
    </w:p>
    <w:bookmarkStart w:id="1" w:name="page2"/>
    <w:bookmarkEnd w:id="1"/>
    <w:p>
      <w:pPr>
        <w:ind w:left="1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160020</wp:posOffset>
            </wp:positionH>
            <wp:positionV relativeFrom="page">
              <wp:posOffset>382905</wp:posOffset>
            </wp:positionV>
            <wp:extent cx="2173605" cy="3041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173605" cy="304165"/>
                    </a:xfrm>
                    <a:prstGeom prst="rect">
                      <a:avLst/>
                    </a:prstGeom>
                    <a:noFill/>
                  </pic:spPr>
                </pic:pic>
              </a:graphicData>
            </a:graphic>
          </wp:anchor>
        </w:drawing>
        <w:t>CUSIP No. 65343E108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343535</wp:posOffset>
            </wp:positionV>
            <wp:extent cx="7246620" cy="6740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6740525"/>
                    </a:xfrm>
                    <a:prstGeom prst="rect">
                      <a:avLst/>
                    </a:prstGeom>
                    <a:noFill/>
                  </pic:spPr>
                </pic:pic>
              </a:graphicData>
            </a:graphic>
          </wp:anchor>
        </w:drawing>
      </w:r>
    </w:p>
    <w:p>
      <w:pPr>
        <w:spacing w:after="0" w:line="200" w:lineRule="exact"/>
        <w:rPr>
          <w:sz w:val="20"/>
          <w:szCs w:val="20"/>
          <w:color w:val="auto"/>
        </w:rPr>
      </w:pPr>
    </w:p>
    <w:p>
      <w:pPr>
        <w:spacing w:after="0" w:line="362" w:lineRule="exact"/>
        <w:rPr>
          <w:sz w:val="20"/>
          <w:szCs w:val="20"/>
          <w:color w:val="auto"/>
        </w:rPr>
      </w:pPr>
    </w:p>
    <w:p>
      <w:pPr>
        <w:ind w:left="960"/>
        <w:spacing w:after="0"/>
        <w:rPr>
          <w:sz w:val="20"/>
          <w:szCs w:val="20"/>
          <w:color w:val="auto"/>
        </w:rPr>
      </w:pPr>
      <w:r>
        <w:rPr>
          <w:rFonts w:ascii="Arial" w:cs="Arial" w:eastAsia="Arial" w:hAnsi="Arial"/>
          <w:sz w:val="18"/>
          <w:szCs w:val="18"/>
          <w:color w:val="auto"/>
        </w:rPr>
        <w:t>NAME OF REPORTING PERSONS</w:t>
      </w:r>
    </w:p>
    <w:p>
      <w:pPr>
        <w:ind w:left="400"/>
        <w:spacing w:after="0" w:line="211" w:lineRule="auto"/>
        <w:rPr>
          <w:sz w:val="20"/>
          <w:szCs w:val="20"/>
          <w:color w:val="auto"/>
        </w:rPr>
      </w:pPr>
      <w:r>
        <w:rPr>
          <w:rFonts w:ascii="Arial" w:cs="Arial" w:eastAsia="Arial" w:hAnsi="Arial"/>
          <w:sz w:val="25"/>
          <w:szCs w:val="25"/>
          <w:color w:val="auto"/>
        </w:rPr>
        <w:t>1</w:t>
      </w:r>
    </w:p>
    <w:p>
      <w:pPr>
        <w:ind w:left="960"/>
        <w:spacing w:after="0"/>
        <w:rPr>
          <w:sz w:val="20"/>
          <w:szCs w:val="20"/>
          <w:color w:val="auto"/>
        </w:rPr>
      </w:pPr>
      <w:r>
        <w:rPr>
          <w:rFonts w:ascii="Arial" w:cs="Arial" w:eastAsia="Arial" w:hAnsi="Arial"/>
          <w:sz w:val="18"/>
          <w:szCs w:val="18"/>
          <w:color w:val="auto"/>
        </w:rPr>
        <w:t>OrbiMed Advisors LLC</w:t>
      </w:r>
    </w:p>
    <w:p>
      <w:pPr>
        <w:spacing w:after="0" w:line="89" w:lineRule="exact"/>
        <w:rPr>
          <w:sz w:val="20"/>
          <w:szCs w:val="20"/>
          <w:color w:val="auto"/>
        </w:rPr>
      </w:pPr>
    </w:p>
    <w:p>
      <w:pPr>
        <w:ind w:left="960"/>
        <w:spacing w:after="0"/>
        <w:rPr>
          <w:sz w:val="20"/>
          <w:szCs w:val="20"/>
          <w:color w:val="auto"/>
        </w:rPr>
      </w:pPr>
      <w:r>
        <w:rPr>
          <w:rFonts w:ascii="Arial" w:cs="Arial" w:eastAsia="Arial" w:hAnsi="Arial"/>
          <w:sz w:val="18"/>
          <w:szCs w:val="18"/>
          <w:color w:val="auto"/>
        </w:rPr>
        <w:t>CHECK THE APPROPRIATE BOX IF A MEMBER OF A GROUP (See Instructions)</w:t>
      </w:r>
    </w:p>
    <w:p>
      <w:pPr>
        <w:ind w:left="960" w:hanging="556"/>
        <w:spacing w:after="0" w:line="253" w:lineRule="exact"/>
        <w:tabs>
          <w:tab w:leader="none" w:pos="960" w:val="left"/>
        </w:tabs>
        <w:numPr>
          <w:ilvl w:val="0"/>
          <w:numId w:val="2"/>
        </w:numPr>
        <w:rPr>
          <w:rFonts w:ascii="Arial" w:cs="Arial" w:eastAsia="Arial" w:hAnsi="Arial"/>
          <w:sz w:val="25"/>
          <w:szCs w:val="25"/>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p>
      <w:pPr>
        <w:ind w:left="960"/>
        <w:spacing w:after="0" w:line="207" w:lineRule="exact"/>
        <w:rPr>
          <w:rFonts w:ascii="Arial" w:cs="Arial" w:eastAsia="Arial" w:hAnsi="Arial"/>
          <w:sz w:val="25"/>
          <w:szCs w:val="25"/>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7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300" w:type="dxa"/>
            <w:vAlign w:val="bottom"/>
          </w:tcPr>
          <w:p>
            <w:pPr>
              <w:ind w:left="960"/>
              <w:spacing w:after="0"/>
              <w:rPr>
                <w:sz w:val="20"/>
                <w:szCs w:val="20"/>
                <w:color w:val="auto"/>
              </w:rPr>
            </w:pPr>
            <w:r>
              <w:rPr>
                <w:rFonts w:ascii="Arial" w:cs="Arial" w:eastAsia="Arial" w:hAnsi="Arial"/>
                <w:sz w:val="18"/>
                <w:szCs w:val="18"/>
                <w:color w:val="auto"/>
                <w:w w:val="99"/>
              </w:rPr>
              <w:t>SEC USE ONLY</w:t>
            </w:r>
          </w:p>
        </w:tc>
        <w:tc>
          <w:tcPr>
            <w:tcW w:w="79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23"/>
        </w:trPr>
        <w:tc>
          <w:tcPr>
            <w:tcW w:w="2300" w:type="dxa"/>
            <w:vAlign w:val="bottom"/>
          </w:tcPr>
          <w:p>
            <w:pPr>
              <w:ind w:left="400"/>
              <w:spacing w:after="0"/>
              <w:rPr>
                <w:sz w:val="20"/>
                <w:szCs w:val="20"/>
                <w:color w:val="auto"/>
              </w:rPr>
            </w:pPr>
            <w:r>
              <w:rPr>
                <w:rFonts w:ascii="Arial" w:cs="Arial" w:eastAsia="Arial" w:hAnsi="Arial"/>
                <w:sz w:val="25"/>
                <w:szCs w:val="25"/>
                <w:color w:val="auto"/>
              </w:rPr>
              <w:t>3</w:t>
            </w:r>
          </w:p>
        </w:tc>
        <w:tc>
          <w:tcPr>
            <w:tcW w:w="79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10220" w:type="dxa"/>
            <w:vAlign w:val="bottom"/>
            <w:tcBorders>
              <w:bottom w:val="single" w:sz="8" w:color="auto"/>
            </w:tcBorders>
            <w:gridSpan w:val="2"/>
          </w:tcPr>
          <w:p>
            <w:pPr>
              <w:spacing w:after="0"/>
              <w:rPr>
                <w:sz w:val="18"/>
                <w:szCs w:val="18"/>
                <w:color w:val="auto"/>
              </w:rPr>
            </w:pPr>
          </w:p>
        </w:tc>
        <w:tc>
          <w:tcPr>
            <w:tcW w:w="12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0220" w:type="dxa"/>
            <w:vAlign w:val="bottom"/>
            <w:gridSpan w:val="2"/>
          </w:tcPr>
          <w:p>
            <w:pPr>
              <w:ind w:left="960"/>
              <w:spacing w:after="0" w:line="202" w:lineRule="exact"/>
              <w:rPr>
                <w:sz w:val="20"/>
                <w:szCs w:val="20"/>
                <w:color w:val="auto"/>
              </w:rPr>
            </w:pPr>
            <w:r>
              <w:rPr>
                <w:rFonts w:ascii="Arial" w:cs="Arial" w:eastAsia="Arial" w:hAnsi="Arial"/>
                <w:sz w:val="18"/>
                <w:szCs w:val="18"/>
                <w:color w:val="auto"/>
              </w:rPr>
              <w:t>SOURCE OF FUNDS (See Instructions)</w:t>
            </w: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300" w:type="dxa"/>
            <w:vAlign w:val="bottom"/>
          </w:tcPr>
          <w:p>
            <w:pPr>
              <w:ind w:left="400"/>
              <w:spacing w:after="0" w:line="256" w:lineRule="exact"/>
              <w:rPr>
                <w:sz w:val="20"/>
                <w:szCs w:val="20"/>
                <w:color w:val="auto"/>
              </w:rPr>
            </w:pPr>
            <w:r>
              <w:rPr>
                <w:rFonts w:ascii="Arial" w:cs="Arial" w:eastAsia="Arial" w:hAnsi="Arial"/>
                <w:sz w:val="25"/>
                <w:szCs w:val="25"/>
                <w:color w:val="auto"/>
              </w:rPr>
              <w:t>4</w:t>
            </w:r>
          </w:p>
        </w:tc>
        <w:tc>
          <w:tcPr>
            <w:tcW w:w="7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2300" w:type="dxa"/>
            <w:vAlign w:val="bottom"/>
          </w:tcPr>
          <w:p>
            <w:pPr>
              <w:ind w:left="960"/>
              <w:spacing w:after="0"/>
              <w:rPr>
                <w:sz w:val="20"/>
                <w:szCs w:val="20"/>
                <w:color w:val="auto"/>
              </w:rPr>
            </w:pPr>
            <w:r>
              <w:rPr>
                <w:rFonts w:ascii="Arial" w:cs="Arial" w:eastAsia="Arial" w:hAnsi="Arial"/>
                <w:sz w:val="18"/>
                <w:szCs w:val="18"/>
                <w:color w:val="auto"/>
              </w:rPr>
              <w:t>AF</w:t>
            </w:r>
          </w:p>
        </w:tc>
        <w:tc>
          <w:tcPr>
            <w:tcW w:w="79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10220" w:type="dxa"/>
            <w:vAlign w:val="bottom"/>
            <w:tcBorders>
              <w:bottom w:val="single" w:sz="8" w:color="auto"/>
            </w:tcBorders>
            <w:gridSpan w:val="2"/>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10220" w:type="dxa"/>
            <w:vAlign w:val="bottom"/>
            <w:gridSpan w:val="2"/>
          </w:tcPr>
          <w:p>
            <w:pPr>
              <w:ind w:left="960"/>
              <w:spacing w:after="0" w:line="202" w:lineRule="exact"/>
              <w:rPr>
                <w:sz w:val="20"/>
                <w:szCs w:val="20"/>
                <w:color w:val="auto"/>
              </w:rPr>
            </w:pPr>
            <w:r>
              <w:rPr>
                <w:rFonts w:ascii="Arial" w:cs="Arial" w:eastAsia="Arial" w:hAnsi="Arial"/>
                <w:sz w:val="18"/>
                <w:szCs w:val="18"/>
                <w:color w:val="auto"/>
              </w:rPr>
              <w:t>CHECK BOX IF DISCLOSURE OF LEGAL PROCEEDINGS IS REQUIRED PURSUANT TO ITEMS 2(d) or 2(e)</w:t>
            </w:r>
          </w:p>
        </w:tc>
        <w:tc>
          <w:tcPr>
            <w:tcW w:w="1200" w:type="dxa"/>
            <w:vAlign w:val="bottom"/>
          </w:tcPr>
          <w:p>
            <w:pPr>
              <w:ind w:left="7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23"/>
        </w:trPr>
        <w:tc>
          <w:tcPr>
            <w:tcW w:w="2300" w:type="dxa"/>
            <w:vAlign w:val="bottom"/>
          </w:tcPr>
          <w:p>
            <w:pPr>
              <w:ind w:left="400"/>
              <w:spacing w:after="0"/>
              <w:rPr>
                <w:sz w:val="20"/>
                <w:szCs w:val="20"/>
                <w:color w:val="auto"/>
              </w:rPr>
            </w:pPr>
            <w:r>
              <w:rPr>
                <w:rFonts w:ascii="Arial" w:cs="Arial" w:eastAsia="Arial" w:hAnsi="Arial"/>
                <w:sz w:val="25"/>
                <w:szCs w:val="25"/>
                <w:color w:val="auto"/>
              </w:rPr>
              <w:t>5</w:t>
            </w:r>
          </w:p>
        </w:tc>
        <w:tc>
          <w:tcPr>
            <w:tcW w:w="79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10220" w:type="dxa"/>
            <w:vAlign w:val="bottom"/>
            <w:tcBorders>
              <w:bottom w:val="single" w:sz="8" w:color="auto"/>
            </w:tcBorders>
            <w:gridSpan w:val="2"/>
          </w:tcPr>
          <w:p>
            <w:pPr>
              <w:spacing w:after="0"/>
              <w:rPr>
                <w:sz w:val="18"/>
                <w:szCs w:val="18"/>
                <w:color w:val="auto"/>
              </w:rPr>
            </w:pPr>
          </w:p>
        </w:tc>
        <w:tc>
          <w:tcPr>
            <w:tcW w:w="12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0220" w:type="dxa"/>
            <w:vAlign w:val="bottom"/>
            <w:gridSpan w:val="2"/>
          </w:tcPr>
          <w:p>
            <w:pPr>
              <w:ind w:left="960"/>
              <w:spacing w:after="0" w:line="202" w:lineRule="exact"/>
              <w:rPr>
                <w:sz w:val="20"/>
                <w:szCs w:val="20"/>
                <w:color w:val="auto"/>
              </w:rPr>
            </w:pPr>
            <w:r>
              <w:rPr>
                <w:rFonts w:ascii="Arial" w:cs="Arial" w:eastAsia="Arial" w:hAnsi="Arial"/>
                <w:sz w:val="18"/>
                <w:szCs w:val="18"/>
                <w:color w:val="auto"/>
              </w:rPr>
              <w:t>CITIZENSHIP OR PLACE OF ORGANIZATION</w:t>
            </w: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300" w:type="dxa"/>
            <w:vAlign w:val="bottom"/>
          </w:tcPr>
          <w:p>
            <w:pPr>
              <w:ind w:left="400"/>
              <w:spacing w:after="0" w:line="256" w:lineRule="exact"/>
              <w:rPr>
                <w:sz w:val="20"/>
                <w:szCs w:val="20"/>
                <w:color w:val="auto"/>
              </w:rPr>
            </w:pPr>
            <w:r>
              <w:rPr>
                <w:rFonts w:ascii="Arial" w:cs="Arial" w:eastAsia="Arial" w:hAnsi="Arial"/>
                <w:sz w:val="25"/>
                <w:szCs w:val="25"/>
                <w:color w:val="auto"/>
              </w:rPr>
              <w:t>6</w:t>
            </w:r>
          </w:p>
        </w:tc>
        <w:tc>
          <w:tcPr>
            <w:tcW w:w="7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2300" w:type="dxa"/>
            <w:vAlign w:val="bottom"/>
          </w:tcPr>
          <w:p>
            <w:pPr>
              <w:ind w:left="960"/>
              <w:spacing w:after="0"/>
              <w:rPr>
                <w:sz w:val="20"/>
                <w:szCs w:val="20"/>
                <w:color w:val="auto"/>
              </w:rPr>
            </w:pPr>
            <w:r>
              <w:rPr>
                <w:rFonts w:ascii="Arial" w:cs="Arial" w:eastAsia="Arial" w:hAnsi="Arial"/>
                <w:sz w:val="18"/>
                <w:szCs w:val="18"/>
                <w:color w:val="auto"/>
              </w:rPr>
              <w:t>Delaware</w:t>
            </w:r>
          </w:p>
        </w:tc>
        <w:tc>
          <w:tcPr>
            <w:tcW w:w="79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300" w:type="dxa"/>
            <w:vAlign w:val="bottom"/>
            <w:tcBorders>
              <w:bottom w:val="single" w:sz="8" w:color="auto"/>
            </w:tcBorders>
          </w:tcPr>
          <w:p>
            <w:pPr>
              <w:spacing w:after="0"/>
              <w:rPr>
                <w:sz w:val="4"/>
                <w:szCs w:val="4"/>
                <w:color w:val="auto"/>
              </w:rPr>
            </w:pPr>
          </w:p>
        </w:tc>
        <w:tc>
          <w:tcPr>
            <w:tcW w:w="792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2300" w:type="dxa"/>
            <w:vAlign w:val="bottom"/>
          </w:tcPr>
          <w:p>
            <w:pPr>
              <w:spacing w:after="0"/>
              <w:rPr>
                <w:sz w:val="17"/>
                <w:szCs w:val="17"/>
                <w:color w:val="auto"/>
              </w:rPr>
            </w:pPr>
          </w:p>
        </w:tc>
        <w:tc>
          <w:tcPr>
            <w:tcW w:w="7920" w:type="dxa"/>
            <w:vAlign w:val="bottom"/>
          </w:tcPr>
          <w:p>
            <w:pPr>
              <w:ind w:left="960"/>
              <w:spacing w:after="0" w:line="202" w:lineRule="exact"/>
              <w:rPr>
                <w:sz w:val="20"/>
                <w:szCs w:val="20"/>
                <w:color w:val="auto"/>
              </w:rPr>
            </w:pPr>
            <w:r>
              <w:rPr>
                <w:rFonts w:ascii="Arial" w:cs="Arial" w:eastAsia="Arial" w:hAnsi="Arial"/>
                <w:sz w:val="18"/>
                <w:szCs w:val="18"/>
                <w:color w:val="auto"/>
              </w:rPr>
              <w:t>SOLE VOTING POWER</w:t>
            </w: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300" w:type="dxa"/>
            <w:vAlign w:val="bottom"/>
          </w:tcPr>
          <w:p>
            <w:pPr>
              <w:spacing w:after="0"/>
              <w:rPr>
                <w:sz w:val="22"/>
                <w:szCs w:val="22"/>
                <w:color w:val="auto"/>
              </w:rPr>
            </w:pPr>
          </w:p>
        </w:tc>
        <w:tc>
          <w:tcPr>
            <w:tcW w:w="7920" w:type="dxa"/>
            <w:vAlign w:val="bottom"/>
          </w:tcPr>
          <w:p>
            <w:pPr>
              <w:jc w:val="center"/>
              <w:ind w:right="6897"/>
              <w:spacing w:after="0" w:line="256" w:lineRule="exact"/>
              <w:rPr>
                <w:sz w:val="20"/>
                <w:szCs w:val="20"/>
                <w:color w:val="auto"/>
              </w:rPr>
            </w:pPr>
            <w:r>
              <w:rPr>
                <w:rFonts w:ascii="Arial" w:cs="Arial" w:eastAsia="Arial" w:hAnsi="Arial"/>
                <w:sz w:val="25"/>
                <w:szCs w:val="25"/>
                <w:color w:val="auto"/>
                <w:w w:val="85"/>
              </w:rPr>
              <w:t>7</w:t>
            </w:r>
          </w:p>
        </w:tc>
        <w:tc>
          <w:tcPr>
            <w:tcW w:w="1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2300" w:type="dxa"/>
            <w:vAlign w:val="bottom"/>
            <w:vMerge w:val="restart"/>
          </w:tcPr>
          <w:p>
            <w:pPr>
              <w:jc w:val="center"/>
              <w:spacing w:after="0"/>
              <w:rPr>
                <w:sz w:val="20"/>
                <w:szCs w:val="20"/>
                <w:color w:val="auto"/>
              </w:rPr>
            </w:pPr>
            <w:r>
              <w:rPr>
                <w:rFonts w:ascii="Arial" w:cs="Arial" w:eastAsia="Arial" w:hAnsi="Arial"/>
                <w:sz w:val="18"/>
                <w:szCs w:val="18"/>
                <w:color w:val="auto"/>
                <w:w w:val="98"/>
              </w:rPr>
              <w:t>NUMBER OF</w:t>
            </w:r>
          </w:p>
        </w:tc>
        <w:tc>
          <w:tcPr>
            <w:tcW w:w="7920" w:type="dxa"/>
            <w:vAlign w:val="bottom"/>
          </w:tcPr>
          <w:p>
            <w:pPr>
              <w:ind w:left="960"/>
              <w:spacing w:after="0"/>
              <w:rPr>
                <w:sz w:val="20"/>
                <w:szCs w:val="20"/>
                <w:color w:val="auto"/>
              </w:rPr>
            </w:pPr>
            <w:r>
              <w:rPr>
                <w:rFonts w:ascii="Arial" w:cs="Arial" w:eastAsia="Arial" w:hAnsi="Arial"/>
                <w:sz w:val="18"/>
                <w:szCs w:val="18"/>
                <w:color w:val="auto"/>
              </w:rPr>
              <w:t>0</w:t>
            </w: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300" w:type="dxa"/>
            <w:vAlign w:val="bottom"/>
            <w:vMerge w:val="continue"/>
          </w:tcPr>
          <w:p>
            <w:pPr>
              <w:spacing w:after="0"/>
              <w:rPr>
                <w:sz w:val="4"/>
                <w:szCs w:val="4"/>
                <w:color w:val="auto"/>
              </w:rPr>
            </w:pPr>
          </w:p>
        </w:tc>
        <w:tc>
          <w:tcPr>
            <w:tcW w:w="792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2300" w:type="dxa"/>
            <w:vAlign w:val="bottom"/>
            <w:vMerge w:val="continue"/>
          </w:tcPr>
          <w:p>
            <w:pPr>
              <w:spacing w:after="0"/>
              <w:rPr>
                <w:sz w:val="6"/>
                <w:szCs w:val="6"/>
                <w:color w:val="auto"/>
              </w:rPr>
            </w:pPr>
          </w:p>
        </w:tc>
        <w:tc>
          <w:tcPr>
            <w:tcW w:w="7920" w:type="dxa"/>
            <w:vAlign w:val="bottom"/>
            <w:vMerge w:val="restart"/>
          </w:tcPr>
          <w:p>
            <w:pPr>
              <w:ind w:left="960"/>
              <w:spacing w:after="0"/>
              <w:rPr>
                <w:sz w:val="20"/>
                <w:szCs w:val="20"/>
                <w:color w:val="auto"/>
              </w:rPr>
            </w:pPr>
            <w:r>
              <w:rPr>
                <w:rFonts w:ascii="Arial" w:cs="Arial" w:eastAsia="Arial" w:hAnsi="Arial"/>
                <w:sz w:val="18"/>
                <w:szCs w:val="18"/>
                <w:color w:val="auto"/>
              </w:rPr>
              <w:t>SHARED VOTING POWER</w:t>
            </w:r>
          </w:p>
        </w:tc>
        <w:tc>
          <w:tcPr>
            <w:tcW w:w="12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6"/>
        </w:trPr>
        <w:tc>
          <w:tcPr>
            <w:tcW w:w="2300" w:type="dxa"/>
            <w:vAlign w:val="bottom"/>
          </w:tcPr>
          <w:p>
            <w:pPr>
              <w:jc w:val="center"/>
              <w:spacing w:after="0" w:line="176" w:lineRule="exact"/>
              <w:rPr>
                <w:sz w:val="20"/>
                <w:szCs w:val="20"/>
                <w:color w:val="auto"/>
              </w:rPr>
            </w:pPr>
            <w:r>
              <w:rPr>
                <w:rFonts w:ascii="Arial" w:cs="Arial" w:eastAsia="Arial" w:hAnsi="Arial"/>
                <w:sz w:val="18"/>
                <w:szCs w:val="18"/>
                <w:color w:val="auto"/>
                <w:w w:val="94"/>
              </w:rPr>
              <w:t>SHARES</w:t>
            </w:r>
          </w:p>
        </w:tc>
        <w:tc>
          <w:tcPr>
            <w:tcW w:w="7920" w:type="dxa"/>
            <w:vAlign w:val="bottom"/>
            <w:vMerge w:val="continue"/>
          </w:tcPr>
          <w:p>
            <w:pPr>
              <w:spacing w:after="0"/>
              <w:rPr>
                <w:sz w:val="15"/>
                <w:szCs w:val="15"/>
                <w:color w:val="auto"/>
              </w:rPr>
            </w:pPr>
          </w:p>
        </w:tc>
        <w:tc>
          <w:tcPr>
            <w:tcW w:w="1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300" w:type="dxa"/>
            <w:vAlign w:val="bottom"/>
          </w:tcPr>
          <w:p>
            <w:pPr>
              <w:jc w:val="center"/>
              <w:spacing w:after="0"/>
              <w:rPr>
                <w:sz w:val="20"/>
                <w:szCs w:val="20"/>
                <w:color w:val="auto"/>
              </w:rPr>
            </w:pPr>
            <w:r>
              <w:rPr>
                <w:rFonts w:ascii="Arial" w:cs="Arial" w:eastAsia="Arial" w:hAnsi="Arial"/>
                <w:sz w:val="18"/>
                <w:szCs w:val="18"/>
                <w:color w:val="auto"/>
                <w:w w:val="99"/>
              </w:rPr>
              <w:t>BENEFICIALLY</w:t>
            </w:r>
          </w:p>
        </w:tc>
        <w:tc>
          <w:tcPr>
            <w:tcW w:w="7920" w:type="dxa"/>
            <w:vAlign w:val="bottom"/>
          </w:tcPr>
          <w:p>
            <w:pPr>
              <w:jc w:val="center"/>
              <w:ind w:right="6897"/>
              <w:spacing w:after="0" w:line="216" w:lineRule="exact"/>
              <w:rPr>
                <w:sz w:val="20"/>
                <w:szCs w:val="20"/>
                <w:color w:val="auto"/>
              </w:rPr>
            </w:pPr>
            <w:r>
              <w:rPr>
                <w:rFonts w:ascii="Arial" w:cs="Arial" w:eastAsia="Arial" w:hAnsi="Arial"/>
                <w:sz w:val="25"/>
                <w:szCs w:val="25"/>
                <w:color w:val="auto"/>
                <w:w w:val="85"/>
              </w:rPr>
              <w:t>8</w:t>
            </w: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4"/>
        </w:trPr>
        <w:tc>
          <w:tcPr>
            <w:tcW w:w="2300" w:type="dxa"/>
            <w:vAlign w:val="bottom"/>
          </w:tcPr>
          <w:p>
            <w:pPr>
              <w:jc w:val="center"/>
              <w:spacing w:after="0"/>
              <w:rPr>
                <w:sz w:val="20"/>
                <w:szCs w:val="20"/>
                <w:color w:val="auto"/>
              </w:rPr>
            </w:pPr>
            <w:r>
              <w:rPr>
                <w:rFonts w:ascii="Arial" w:cs="Arial" w:eastAsia="Arial" w:hAnsi="Arial"/>
                <w:sz w:val="18"/>
                <w:szCs w:val="18"/>
                <w:color w:val="auto"/>
                <w:w w:val="99"/>
              </w:rPr>
              <w:t>OWNED BY</w:t>
            </w:r>
          </w:p>
        </w:tc>
        <w:tc>
          <w:tcPr>
            <w:tcW w:w="7920" w:type="dxa"/>
            <w:vAlign w:val="bottom"/>
            <w:tcBorders>
              <w:bottom w:val="single" w:sz="8" w:color="auto"/>
            </w:tcBorders>
          </w:tcPr>
          <w:p>
            <w:pPr>
              <w:ind w:left="960"/>
              <w:spacing w:after="0"/>
              <w:rPr>
                <w:sz w:val="20"/>
                <w:szCs w:val="20"/>
                <w:color w:val="auto"/>
              </w:rPr>
            </w:pPr>
            <w:r>
              <w:rPr>
                <w:rFonts w:ascii="Arial" w:cs="Arial" w:eastAsia="Arial" w:hAnsi="Arial"/>
                <w:sz w:val="18"/>
                <w:szCs w:val="18"/>
                <w:color w:val="auto"/>
              </w:rPr>
              <w:t>2,711,013</w:t>
            </w:r>
          </w:p>
        </w:tc>
        <w:tc>
          <w:tcPr>
            <w:tcW w:w="12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3"/>
        </w:trPr>
        <w:tc>
          <w:tcPr>
            <w:tcW w:w="2300" w:type="dxa"/>
            <w:vAlign w:val="bottom"/>
          </w:tcPr>
          <w:p>
            <w:pPr>
              <w:jc w:val="center"/>
              <w:spacing w:after="0" w:line="202" w:lineRule="exact"/>
              <w:rPr>
                <w:sz w:val="20"/>
                <w:szCs w:val="20"/>
                <w:color w:val="auto"/>
              </w:rPr>
            </w:pPr>
            <w:r>
              <w:rPr>
                <w:rFonts w:ascii="Arial" w:cs="Arial" w:eastAsia="Arial" w:hAnsi="Arial"/>
                <w:sz w:val="18"/>
                <w:szCs w:val="18"/>
                <w:color w:val="auto"/>
                <w:w w:val="99"/>
              </w:rPr>
              <w:t>EACH</w:t>
            </w:r>
          </w:p>
        </w:tc>
        <w:tc>
          <w:tcPr>
            <w:tcW w:w="7920" w:type="dxa"/>
            <w:vAlign w:val="bottom"/>
          </w:tcPr>
          <w:p>
            <w:pPr>
              <w:ind w:left="960"/>
              <w:spacing w:after="0" w:line="202" w:lineRule="exact"/>
              <w:rPr>
                <w:sz w:val="20"/>
                <w:szCs w:val="20"/>
                <w:color w:val="auto"/>
              </w:rPr>
            </w:pPr>
            <w:r>
              <w:rPr>
                <w:rFonts w:ascii="Arial" w:cs="Arial" w:eastAsia="Arial" w:hAnsi="Arial"/>
                <w:sz w:val="18"/>
                <w:szCs w:val="18"/>
                <w:color w:val="auto"/>
              </w:rPr>
              <w:t>SOLE DISPOSITIVE POWER</w:t>
            </w: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230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7920" w:type="dxa"/>
            <w:vAlign w:val="bottom"/>
          </w:tcPr>
          <w:p>
            <w:pPr>
              <w:jc w:val="center"/>
              <w:ind w:right="6897"/>
              <w:spacing w:after="0" w:line="217" w:lineRule="exact"/>
              <w:rPr>
                <w:sz w:val="20"/>
                <w:szCs w:val="20"/>
                <w:color w:val="auto"/>
              </w:rPr>
            </w:pPr>
            <w:r>
              <w:rPr>
                <w:rFonts w:ascii="Arial" w:cs="Arial" w:eastAsia="Arial" w:hAnsi="Arial"/>
                <w:sz w:val="25"/>
                <w:szCs w:val="25"/>
                <w:color w:val="auto"/>
                <w:w w:val="85"/>
              </w:rPr>
              <w:t>9</w:t>
            </w: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2300" w:type="dxa"/>
            <w:vAlign w:val="bottom"/>
          </w:tcPr>
          <w:p>
            <w:pPr>
              <w:jc w:val="center"/>
              <w:spacing w:after="0"/>
              <w:rPr>
                <w:sz w:val="20"/>
                <w:szCs w:val="20"/>
                <w:color w:val="auto"/>
              </w:rPr>
            </w:pPr>
            <w:r>
              <w:rPr>
                <w:rFonts w:ascii="Arial" w:cs="Arial" w:eastAsia="Arial" w:hAnsi="Arial"/>
                <w:sz w:val="18"/>
                <w:szCs w:val="18"/>
                <w:color w:val="auto"/>
                <w:w w:val="92"/>
              </w:rPr>
              <w:t>PERSON</w:t>
            </w:r>
          </w:p>
        </w:tc>
        <w:tc>
          <w:tcPr>
            <w:tcW w:w="7920" w:type="dxa"/>
            <w:vAlign w:val="bottom"/>
          </w:tcPr>
          <w:p>
            <w:pPr>
              <w:ind w:left="960"/>
              <w:spacing w:after="0"/>
              <w:rPr>
                <w:sz w:val="20"/>
                <w:szCs w:val="20"/>
                <w:color w:val="auto"/>
              </w:rPr>
            </w:pPr>
            <w:r>
              <w:rPr>
                <w:rFonts w:ascii="Arial" w:cs="Arial" w:eastAsia="Arial" w:hAnsi="Arial"/>
                <w:sz w:val="18"/>
                <w:szCs w:val="18"/>
                <w:color w:val="auto"/>
              </w:rPr>
              <w:t>0</w:t>
            </w: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2"/>
        </w:trPr>
        <w:tc>
          <w:tcPr>
            <w:tcW w:w="2300" w:type="dxa"/>
            <w:vAlign w:val="bottom"/>
            <w:vMerge w:val="restart"/>
          </w:tcPr>
          <w:p>
            <w:pPr>
              <w:jc w:val="center"/>
              <w:spacing w:after="0"/>
              <w:rPr>
                <w:sz w:val="20"/>
                <w:szCs w:val="20"/>
                <w:color w:val="auto"/>
              </w:rPr>
            </w:pPr>
            <w:r>
              <w:rPr>
                <w:rFonts w:ascii="Arial" w:cs="Arial" w:eastAsia="Arial" w:hAnsi="Arial"/>
                <w:sz w:val="18"/>
                <w:szCs w:val="18"/>
                <w:color w:val="auto"/>
                <w:w w:val="99"/>
              </w:rPr>
              <w:t>WITH</w:t>
            </w:r>
          </w:p>
        </w:tc>
        <w:tc>
          <w:tcPr>
            <w:tcW w:w="7920" w:type="dxa"/>
            <w:vAlign w:val="bottom"/>
            <w:tcBorders>
              <w:bottom w:val="single" w:sz="8" w:color="auto"/>
            </w:tcBorders>
          </w:tcPr>
          <w:p>
            <w:pPr>
              <w:spacing w:after="0"/>
              <w:rPr>
                <w:sz w:val="8"/>
                <w:szCs w:val="8"/>
                <w:color w:val="auto"/>
              </w:rPr>
            </w:pPr>
          </w:p>
        </w:tc>
        <w:tc>
          <w:tcPr>
            <w:tcW w:w="120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2300" w:type="dxa"/>
            <w:vAlign w:val="bottom"/>
            <w:vMerge w:val="continue"/>
          </w:tcPr>
          <w:p>
            <w:pPr>
              <w:spacing w:after="0"/>
              <w:rPr>
                <w:sz w:val="9"/>
                <w:szCs w:val="9"/>
                <w:color w:val="auto"/>
              </w:rPr>
            </w:pPr>
          </w:p>
        </w:tc>
        <w:tc>
          <w:tcPr>
            <w:tcW w:w="7920" w:type="dxa"/>
            <w:vAlign w:val="bottom"/>
            <w:vMerge w:val="restart"/>
          </w:tcPr>
          <w:p>
            <w:pPr>
              <w:ind w:left="960"/>
              <w:spacing w:after="0" w:line="202" w:lineRule="exact"/>
              <w:rPr>
                <w:sz w:val="20"/>
                <w:szCs w:val="20"/>
                <w:color w:val="auto"/>
              </w:rPr>
            </w:pPr>
            <w:r>
              <w:rPr>
                <w:rFonts w:ascii="Arial" w:cs="Arial" w:eastAsia="Arial" w:hAnsi="Arial"/>
                <w:sz w:val="18"/>
                <w:szCs w:val="18"/>
                <w:color w:val="auto"/>
              </w:rPr>
              <w:t>SHARED DISPOSITIVE POWER</w:t>
            </w: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4"/>
        </w:trPr>
        <w:tc>
          <w:tcPr>
            <w:tcW w:w="2300" w:type="dxa"/>
            <w:vAlign w:val="bottom"/>
          </w:tcPr>
          <w:p>
            <w:pPr>
              <w:spacing w:after="0"/>
              <w:rPr>
                <w:sz w:val="8"/>
                <w:szCs w:val="8"/>
                <w:color w:val="auto"/>
              </w:rPr>
            </w:pPr>
          </w:p>
        </w:tc>
        <w:tc>
          <w:tcPr>
            <w:tcW w:w="7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300" w:type="dxa"/>
            <w:vAlign w:val="bottom"/>
          </w:tcPr>
          <w:p>
            <w:pPr>
              <w:spacing w:after="0"/>
              <w:rPr>
                <w:sz w:val="23"/>
                <w:szCs w:val="23"/>
                <w:color w:val="auto"/>
              </w:rPr>
            </w:pPr>
          </w:p>
        </w:tc>
        <w:tc>
          <w:tcPr>
            <w:tcW w:w="7920" w:type="dxa"/>
            <w:vAlign w:val="bottom"/>
          </w:tcPr>
          <w:p>
            <w:pPr>
              <w:jc w:val="center"/>
              <w:ind w:right="6897"/>
              <w:spacing w:after="0" w:line="271" w:lineRule="exact"/>
              <w:rPr>
                <w:sz w:val="20"/>
                <w:szCs w:val="20"/>
                <w:color w:val="auto"/>
              </w:rPr>
            </w:pPr>
            <w:r>
              <w:rPr>
                <w:rFonts w:ascii="Arial" w:cs="Arial" w:eastAsia="Arial" w:hAnsi="Arial"/>
                <w:sz w:val="25"/>
                <w:szCs w:val="25"/>
                <w:color w:val="auto"/>
                <w:w w:val="86"/>
              </w:rPr>
              <w:t>10</w:t>
            </w:r>
          </w:p>
        </w:tc>
        <w:tc>
          <w:tcPr>
            <w:tcW w:w="1200" w:type="dxa"/>
            <w:vAlign w:val="bottom"/>
          </w:tcPr>
          <w:p>
            <w:pPr>
              <w:spacing w:after="0"/>
              <w:rPr>
                <w:sz w:val="23"/>
                <w:szCs w:val="23"/>
                <w:color w:val="auto"/>
              </w:rPr>
            </w:pPr>
          </w:p>
        </w:tc>
        <w:tc>
          <w:tcPr>
            <w:tcW w:w="0" w:type="dxa"/>
            <w:vAlign w:val="bottom"/>
          </w:tcPr>
          <w:p>
            <w:pPr>
              <w:spacing w:after="0"/>
              <w:rPr>
                <w:sz w:val="1"/>
                <w:szCs w:val="1"/>
                <w:color w:val="auto"/>
              </w:rPr>
            </w:pPr>
          </w:p>
        </w:tc>
      </w:tr>
    </w:tbl>
    <w:p>
      <w:pPr>
        <w:ind w:left="3260"/>
        <w:spacing w:after="0"/>
        <w:rPr>
          <w:sz w:val="20"/>
          <w:szCs w:val="20"/>
          <w:color w:val="auto"/>
        </w:rPr>
      </w:pPr>
      <w:r>
        <w:rPr>
          <w:rFonts w:ascii="Arial" w:cs="Arial" w:eastAsia="Arial" w:hAnsi="Arial"/>
          <w:sz w:val="18"/>
          <w:szCs w:val="18"/>
          <w:color w:val="auto"/>
        </w:rPr>
        <w:t>2,711,013</w:t>
      </w:r>
    </w:p>
    <w:p>
      <w:pPr>
        <w:spacing w:after="0" w:line="89" w:lineRule="exact"/>
        <w:rPr>
          <w:sz w:val="20"/>
          <w:szCs w:val="20"/>
          <w:color w:val="auto"/>
        </w:rPr>
      </w:pPr>
    </w:p>
    <w:p>
      <w:pPr>
        <w:ind w:left="960"/>
        <w:spacing w:after="0"/>
        <w:rPr>
          <w:sz w:val="20"/>
          <w:szCs w:val="20"/>
          <w:color w:val="auto"/>
        </w:rPr>
      </w:pPr>
      <w:r>
        <w:rPr>
          <w:rFonts w:ascii="Arial" w:cs="Arial" w:eastAsia="Arial" w:hAnsi="Arial"/>
          <w:sz w:val="18"/>
          <w:szCs w:val="18"/>
          <w:color w:val="auto"/>
        </w:rPr>
        <w:t>AGGREGATE AMOUNT BENEFICIALLY OWNED BY EACH REPORTING PERSON</w:t>
      </w:r>
    </w:p>
    <w:p>
      <w:pPr>
        <w:ind w:left="340"/>
        <w:spacing w:after="0" w:line="211" w:lineRule="auto"/>
        <w:rPr>
          <w:sz w:val="20"/>
          <w:szCs w:val="20"/>
          <w:color w:val="auto"/>
        </w:rPr>
      </w:pPr>
      <w:r>
        <w:rPr>
          <w:rFonts w:ascii="Arial" w:cs="Arial" w:eastAsia="Arial" w:hAnsi="Arial"/>
          <w:sz w:val="25"/>
          <w:szCs w:val="25"/>
          <w:color w:val="auto"/>
        </w:rPr>
        <w:t>11</w:t>
      </w:r>
    </w:p>
    <w:p>
      <w:pPr>
        <w:ind w:left="960"/>
        <w:spacing w:after="0"/>
        <w:rPr>
          <w:sz w:val="20"/>
          <w:szCs w:val="20"/>
          <w:color w:val="auto"/>
        </w:rPr>
      </w:pPr>
      <w:r>
        <w:rPr>
          <w:rFonts w:ascii="Arial" w:cs="Arial" w:eastAsia="Arial" w:hAnsi="Arial"/>
          <w:sz w:val="18"/>
          <w:szCs w:val="18"/>
          <w:color w:val="auto"/>
        </w:rPr>
        <w:t>2,711,013</w:t>
      </w:r>
    </w:p>
    <w:p>
      <w:pPr>
        <w:spacing w:after="0" w:line="56" w:lineRule="exact"/>
        <w:rPr>
          <w:sz w:val="20"/>
          <w:szCs w:val="20"/>
          <w:color w:val="auto"/>
        </w:rPr>
      </w:pPr>
    </w:p>
    <w:p>
      <w:pPr>
        <w:ind w:left="960"/>
        <w:spacing w:after="0" w:line="207" w:lineRule="exact"/>
        <w:tabs>
          <w:tab w:leader="none" w:pos="10960" w:val="left"/>
        </w:tabs>
        <w:rPr>
          <w:sz w:val="20"/>
          <w:szCs w:val="20"/>
          <w:color w:val="auto"/>
        </w:rPr>
      </w:pPr>
      <w:r>
        <w:rPr>
          <w:rFonts w:ascii="Arial" w:cs="Arial" w:eastAsia="Arial" w:hAnsi="Arial"/>
          <w:sz w:val="18"/>
          <w:szCs w:val="18"/>
          <w:color w:val="auto"/>
        </w:rPr>
        <w:t>CHECK BOX IF THE AGGREGATE AMOUNT IN ROW (11) EXCLUDES CERTAIN SHARES (See Instructions)</w:t>
      </w:r>
      <w:r>
        <w:rPr>
          <w:sz w:val="20"/>
          <w:szCs w:val="20"/>
          <w:color w:val="auto"/>
        </w:rPr>
        <w:tab/>
      </w:r>
      <w:r>
        <w:rPr>
          <w:rFonts w:ascii="MS PGothic" w:cs="MS PGothic" w:eastAsia="MS PGothic" w:hAnsi="MS PGothic"/>
          <w:sz w:val="16"/>
          <w:szCs w:val="16"/>
          <w:color w:val="auto"/>
        </w:rPr>
        <w:t>☐</w:t>
      </w:r>
    </w:p>
    <w:p>
      <w:pPr>
        <w:spacing w:after="0" w:line="33" w:lineRule="exact"/>
        <w:rPr>
          <w:sz w:val="20"/>
          <w:szCs w:val="20"/>
          <w:color w:val="auto"/>
        </w:rPr>
      </w:pPr>
    </w:p>
    <w:p>
      <w:pPr>
        <w:ind w:left="340"/>
        <w:spacing w:after="0"/>
        <w:rPr>
          <w:sz w:val="20"/>
          <w:szCs w:val="20"/>
          <w:color w:val="auto"/>
        </w:rPr>
      </w:pPr>
      <w:r>
        <w:rPr>
          <w:rFonts w:ascii="Arial" w:cs="Arial" w:eastAsia="Arial" w:hAnsi="Arial"/>
          <w:sz w:val="25"/>
          <w:szCs w:val="25"/>
          <w:color w:val="auto"/>
        </w:rPr>
        <w:t>12</w:t>
      </w:r>
    </w:p>
    <w:p>
      <w:pPr>
        <w:spacing w:after="0" w:line="262" w:lineRule="exact"/>
        <w:rPr>
          <w:sz w:val="20"/>
          <w:szCs w:val="20"/>
          <w:color w:val="auto"/>
        </w:rPr>
      </w:pPr>
    </w:p>
    <w:p>
      <w:pPr>
        <w:ind w:left="960"/>
        <w:spacing w:after="0"/>
        <w:rPr>
          <w:sz w:val="20"/>
          <w:szCs w:val="20"/>
          <w:color w:val="auto"/>
        </w:rPr>
      </w:pPr>
      <w:r>
        <w:rPr>
          <w:rFonts w:ascii="Arial" w:cs="Arial" w:eastAsia="Arial" w:hAnsi="Arial"/>
          <w:sz w:val="18"/>
          <w:szCs w:val="18"/>
          <w:color w:val="auto"/>
        </w:rPr>
        <w:t>PERCENT OF CLASS REPRESENTED BY AMOUNT IN ROW (11)</w:t>
      </w:r>
    </w:p>
    <w:p>
      <w:pPr>
        <w:ind w:left="340"/>
        <w:spacing w:after="0" w:line="211" w:lineRule="auto"/>
        <w:rPr>
          <w:sz w:val="20"/>
          <w:szCs w:val="20"/>
          <w:color w:val="auto"/>
        </w:rPr>
      </w:pPr>
      <w:r>
        <w:rPr>
          <w:rFonts w:ascii="Arial" w:cs="Arial" w:eastAsia="Arial" w:hAnsi="Arial"/>
          <w:sz w:val="25"/>
          <w:szCs w:val="25"/>
          <w:color w:val="auto"/>
        </w:rPr>
        <w:t>13</w:t>
      </w:r>
    </w:p>
    <w:p>
      <w:pPr>
        <w:ind w:left="960"/>
        <w:spacing w:after="0"/>
        <w:rPr>
          <w:sz w:val="20"/>
          <w:szCs w:val="20"/>
          <w:color w:val="auto"/>
        </w:rPr>
      </w:pPr>
      <w:r>
        <w:rPr>
          <w:rFonts w:ascii="Arial" w:cs="Arial" w:eastAsia="Arial" w:hAnsi="Arial"/>
          <w:sz w:val="18"/>
          <w:szCs w:val="18"/>
          <w:color w:val="auto"/>
        </w:rPr>
        <w:t>8.4%*</w:t>
      </w:r>
    </w:p>
    <w:p>
      <w:pPr>
        <w:spacing w:after="0" w:line="89" w:lineRule="exact"/>
        <w:rPr>
          <w:sz w:val="20"/>
          <w:szCs w:val="20"/>
          <w:color w:val="auto"/>
        </w:rPr>
      </w:pPr>
    </w:p>
    <w:p>
      <w:pPr>
        <w:ind w:left="960"/>
        <w:spacing w:after="0"/>
        <w:rPr>
          <w:sz w:val="20"/>
          <w:szCs w:val="20"/>
          <w:color w:val="auto"/>
        </w:rPr>
      </w:pPr>
      <w:r>
        <w:rPr>
          <w:rFonts w:ascii="Arial" w:cs="Arial" w:eastAsia="Arial" w:hAnsi="Arial"/>
          <w:sz w:val="18"/>
          <w:szCs w:val="18"/>
          <w:color w:val="auto"/>
        </w:rPr>
        <w:t>TYPE OF REPORTING PERSON (See Instructions)</w:t>
      </w:r>
    </w:p>
    <w:p>
      <w:pPr>
        <w:ind w:left="340"/>
        <w:spacing w:after="0" w:line="211" w:lineRule="auto"/>
        <w:rPr>
          <w:sz w:val="20"/>
          <w:szCs w:val="20"/>
          <w:color w:val="auto"/>
        </w:rPr>
      </w:pPr>
      <w:r>
        <w:rPr>
          <w:rFonts w:ascii="Arial" w:cs="Arial" w:eastAsia="Arial" w:hAnsi="Arial"/>
          <w:sz w:val="25"/>
          <w:szCs w:val="25"/>
          <w:color w:val="auto"/>
        </w:rPr>
        <w:t>14</w:t>
      </w:r>
    </w:p>
    <w:p>
      <w:pPr>
        <w:ind w:left="960"/>
        <w:spacing w:after="0"/>
        <w:rPr>
          <w:sz w:val="20"/>
          <w:szCs w:val="20"/>
          <w:color w:val="auto"/>
        </w:rPr>
      </w:pPr>
      <w:r>
        <w:rPr>
          <w:rFonts w:ascii="Arial" w:cs="Arial" w:eastAsia="Arial" w:hAnsi="Arial"/>
          <w:sz w:val="18"/>
          <w:szCs w:val="18"/>
          <w:color w:val="auto"/>
        </w:rPr>
        <w:t>IA</w:t>
      </w:r>
    </w:p>
    <w:p>
      <w:pPr>
        <w:spacing w:after="0" w:line="313" w:lineRule="exact"/>
        <w:rPr>
          <w:sz w:val="20"/>
          <w:szCs w:val="20"/>
          <w:color w:val="auto"/>
        </w:rPr>
      </w:pPr>
    </w:p>
    <w:p>
      <w:pPr>
        <w:ind w:right="140" w:firstLine="8"/>
        <w:spacing w:after="0" w:line="277" w:lineRule="auto"/>
        <w:tabs>
          <w:tab w:leader="none" w:pos="108" w:val="left"/>
        </w:tabs>
        <w:numPr>
          <w:ilvl w:val="0"/>
          <w:numId w:val="3"/>
        </w:numPr>
        <w:rPr>
          <w:rFonts w:ascii="Arial" w:cs="Arial" w:eastAsia="Arial" w:hAnsi="Arial"/>
          <w:sz w:val="14"/>
          <w:szCs w:val="14"/>
          <w:color w:val="auto"/>
        </w:rPr>
      </w:pPr>
      <w:r>
        <w:rPr>
          <w:rFonts w:ascii="Arial" w:cs="Arial" w:eastAsia="Arial" w:hAnsi="Arial"/>
          <w:sz w:val="14"/>
          <w:szCs w:val="14"/>
          <w:color w:val="auto"/>
        </w:rPr>
        <w:t>This percentage is calculated based upon 21,935,381 shares of common stock outstanding of NextCure, Inc. (the “</w:t>
      </w:r>
      <w:r>
        <w:rPr>
          <w:rFonts w:ascii="Arial" w:cs="Arial" w:eastAsia="Arial" w:hAnsi="Arial"/>
          <w:sz w:val="14"/>
          <w:szCs w:val="14"/>
          <w:u w:val="single" w:color="auto"/>
          <w:color w:val="auto"/>
        </w:rPr>
        <w:t>Issuer</w:t>
      </w:r>
      <w:r>
        <w:rPr>
          <w:rFonts w:ascii="Arial" w:cs="Arial" w:eastAsia="Arial" w:hAnsi="Arial"/>
          <w:sz w:val="14"/>
          <w:szCs w:val="14"/>
          <w:color w:val="auto"/>
        </w:rPr>
        <w:t>”), as set forth in the Issuer’s Rule 424(b)(4) Prospectus filed with the Securities and Exchange Commission (“SEC”) on May 9, 2019 and giving effect to the additional 750,000 shares of common stock issued and sold by the Issuer to the underwriters pursuant to the underwriters’ option (according to the Form 8-K as filed by the issuer with the Securities and Exchange Commission on May 13,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575310</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715" w:right="239" w:bottom="1440" w:gutter="0" w:footer="0" w:header="0"/>
        </w:sectPr>
      </w:pPr>
    </w:p>
    <w:bookmarkStart w:id="2" w:name="page3"/>
    <w:bookmarkEnd w:id="2"/>
    <w:p>
      <w:pPr>
        <w:ind w:left="1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160020</wp:posOffset>
            </wp:positionH>
            <wp:positionV relativeFrom="page">
              <wp:posOffset>262890</wp:posOffset>
            </wp:positionV>
            <wp:extent cx="2173605" cy="3041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173605" cy="304165"/>
                    </a:xfrm>
                    <a:prstGeom prst="rect">
                      <a:avLst/>
                    </a:prstGeom>
                    <a:noFill/>
                  </pic:spPr>
                </pic:pic>
              </a:graphicData>
            </a:graphic>
          </wp:anchor>
        </w:drawing>
        <w:t>CUSIP No. 65343E108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343535</wp:posOffset>
            </wp:positionV>
            <wp:extent cx="7246620" cy="6740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6740525"/>
                    </a:xfrm>
                    <a:prstGeom prst="rect">
                      <a:avLst/>
                    </a:prstGeom>
                    <a:noFill/>
                  </pic:spPr>
                </pic:pic>
              </a:graphicData>
            </a:graphic>
          </wp:anchor>
        </w:drawing>
      </w:r>
    </w:p>
    <w:p>
      <w:pPr>
        <w:spacing w:after="0" w:line="200" w:lineRule="exact"/>
        <w:rPr>
          <w:sz w:val="20"/>
          <w:szCs w:val="20"/>
          <w:color w:val="auto"/>
        </w:rPr>
      </w:pPr>
    </w:p>
    <w:p>
      <w:pPr>
        <w:spacing w:after="0" w:line="362" w:lineRule="exact"/>
        <w:rPr>
          <w:sz w:val="20"/>
          <w:szCs w:val="20"/>
          <w:color w:val="auto"/>
        </w:rPr>
      </w:pPr>
    </w:p>
    <w:p>
      <w:pPr>
        <w:ind w:left="960"/>
        <w:spacing w:after="0"/>
        <w:rPr>
          <w:sz w:val="20"/>
          <w:szCs w:val="20"/>
          <w:color w:val="auto"/>
        </w:rPr>
      </w:pPr>
      <w:r>
        <w:rPr>
          <w:rFonts w:ascii="Arial" w:cs="Arial" w:eastAsia="Arial" w:hAnsi="Arial"/>
          <w:sz w:val="18"/>
          <w:szCs w:val="18"/>
          <w:color w:val="auto"/>
        </w:rPr>
        <w:t>NAME OF REPORTING PERSONS</w:t>
      </w:r>
    </w:p>
    <w:p>
      <w:pPr>
        <w:ind w:left="400"/>
        <w:spacing w:after="0" w:line="211" w:lineRule="auto"/>
        <w:rPr>
          <w:sz w:val="20"/>
          <w:szCs w:val="20"/>
          <w:color w:val="auto"/>
        </w:rPr>
      </w:pPr>
      <w:r>
        <w:rPr>
          <w:rFonts w:ascii="Arial" w:cs="Arial" w:eastAsia="Arial" w:hAnsi="Arial"/>
          <w:sz w:val="25"/>
          <w:szCs w:val="25"/>
          <w:color w:val="auto"/>
        </w:rPr>
        <w:t>1</w:t>
      </w:r>
    </w:p>
    <w:p>
      <w:pPr>
        <w:ind w:left="960"/>
        <w:spacing w:after="0"/>
        <w:rPr>
          <w:sz w:val="20"/>
          <w:szCs w:val="20"/>
          <w:color w:val="auto"/>
        </w:rPr>
      </w:pPr>
      <w:r>
        <w:rPr>
          <w:rFonts w:ascii="Arial" w:cs="Arial" w:eastAsia="Arial" w:hAnsi="Arial"/>
          <w:sz w:val="18"/>
          <w:szCs w:val="18"/>
          <w:color w:val="auto"/>
        </w:rPr>
        <w:t>OrbiMed Capital GP VI LLC</w:t>
      </w:r>
    </w:p>
    <w:p>
      <w:pPr>
        <w:spacing w:after="0" w:line="89" w:lineRule="exact"/>
        <w:rPr>
          <w:sz w:val="20"/>
          <w:szCs w:val="20"/>
          <w:color w:val="auto"/>
        </w:rPr>
      </w:pPr>
    </w:p>
    <w:p>
      <w:pPr>
        <w:ind w:left="960"/>
        <w:spacing w:after="0"/>
        <w:rPr>
          <w:sz w:val="20"/>
          <w:szCs w:val="20"/>
          <w:color w:val="auto"/>
        </w:rPr>
      </w:pPr>
      <w:r>
        <w:rPr>
          <w:rFonts w:ascii="Arial" w:cs="Arial" w:eastAsia="Arial" w:hAnsi="Arial"/>
          <w:sz w:val="18"/>
          <w:szCs w:val="18"/>
          <w:color w:val="auto"/>
        </w:rPr>
        <w:t>CHECK THE APPROPRIATE BOX IF A MEMBER OF A GROUP (See Instructions)</w:t>
      </w:r>
    </w:p>
    <w:p>
      <w:pPr>
        <w:ind w:left="960" w:hanging="556"/>
        <w:spacing w:after="0" w:line="253" w:lineRule="exact"/>
        <w:tabs>
          <w:tab w:leader="none" w:pos="960" w:val="left"/>
        </w:tabs>
        <w:numPr>
          <w:ilvl w:val="0"/>
          <w:numId w:val="4"/>
        </w:numPr>
        <w:rPr>
          <w:rFonts w:ascii="Arial" w:cs="Arial" w:eastAsia="Arial" w:hAnsi="Arial"/>
          <w:sz w:val="25"/>
          <w:szCs w:val="25"/>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p>
      <w:pPr>
        <w:ind w:left="960"/>
        <w:spacing w:after="0" w:line="207" w:lineRule="exact"/>
        <w:rPr>
          <w:rFonts w:ascii="Arial" w:cs="Arial" w:eastAsia="Arial" w:hAnsi="Arial"/>
          <w:sz w:val="25"/>
          <w:szCs w:val="25"/>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7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300" w:type="dxa"/>
            <w:vAlign w:val="bottom"/>
          </w:tcPr>
          <w:p>
            <w:pPr>
              <w:ind w:left="960"/>
              <w:spacing w:after="0"/>
              <w:rPr>
                <w:sz w:val="20"/>
                <w:szCs w:val="20"/>
                <w:color w:val="auto"/>
              </w:rPr>
            </w:pPr>
            <w:r>
              <w:rPr>
                <w:rFonts w:ascii="Arial" w:cs="Arial" w:eastAsia="Arial" w:hAnsi="Arial"/>
                <w:sz w:val="18"/>
                <w:szCs w:val="18"/>
                <w:color w:val="auto"/>
                <w:w w:val="99"/>
              </w:rPr>
              <w:t>SEC USE ONLY</w:t>
            </w:r>
          </w:p>
        </w:tc>
        <w:tc>
          <w:tcPr>
            <w:tcW w:w="79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23"/>
        </w:trPr>
        <w:tc>
          <w:tcPr>
            <w:tcW w:w="2300" w:type="dxa"/>
            <w:vAlign w:val="bottom"/>
          </w:tcPr>
          <w:p>
            <w:pPr>
              <w:ind w:left="400"/>
              <w:spacing w:after="0"/>
              <w:rPr>
                <w:sz w:val="20"/>
                <w:szCs w:val="20"/>
                <w:color w:val="auto"/>
              </w:rPr>
            </w:pPr>
            <w:r>
              <w:rPr>
                <w:rFonts w:ascii="Arial" w:cs="Arial" w:eastAsia="Arial" w:hAnsi="Arial"/>
                <w:sz w:val="25"/>
                <w:szCs w:val="25"/>
                <w:color w:val="auto"/>
              </w:rPr>
              <w:t>3</w:t>
            </w:r>
          </w:p>
        </w:tc>
        <w:tc>
          <w:tcPr>
            <w:tcW w:w="79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10220" w:type="dxa"/>
            <w:vAlign w:val="bottom"/>
            <w:tcBorders>
              <w:bottom w:val="single" w:sz="8" w:color="auto"/>
            </w:tcBorders>
            <w:gridSpan w:val="2"/>
          </w:tcPr>
          <w:p>
            <w:pPr>
              <w:spacing w:after="0"/>
              <w:rPr>
                <w:sz w:val="18"/>
                <w:szCs w:val="18"/>
                <w:color w:val="auto"/>
              </w:rPr>
            </w:pPr>
          </w:p>
        </w:tc>
        <w:tc>
          <w:tcPr>
            <w:tcW w:w="12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0220" w:type="dxa"/>
            <w:vAlign w:val="bottom"/>
            <w:gridSpan w:val="2"/>
          </w:tcPr>
          <w:p>
            <w:pPr>
              <w:ind w:left="960"/>
              <w:spacing w:after="0" w:line="202" w:lineRule="exact"/>
              <w:rPr>
                <w:sz w:val="20"/>
                <w:szCs w:val="20"/>
                <w:color w:val="auto"/>
              </w:rPr>
            </w:pPr>
            <w:r>
              <w:rPr>
                <w:rFonts w:ascii="Arial" w:cs="Arial" w:eastAsia="Arial" w:hAnsi="Arial"/>
                <w:sz w:val="18"/>
                <w:szCs w:val="18"/>
                <w:color w:val="auto"/>
              </w:rPr>
              <w:t>SOURCE OF FUNDS (See Instructions)</w:t>
            </w: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300" w:type="dxa"/>
            <w:vAlign w:val="bottom"/>
          </w:tcPr>
          <w:p>
            <w:pPr>
              <w:ind w:left="400"/>
              <w:spacing w:after="0" w:line="256" w:lineRule="exact"/>
              <w:rPr>
                <w:sz w:val="20"/>
                <w:szCs w:val="20"/>
                <w:color w:val="auto"/>
              </w:rPr>
            </w:pPr>
            <w:r>
              <w:rPr>
                <w:rFonts w:ascii="Arial" w:cs="Arial" w:eastAsia="Arial" w:hAnsi="Arial"/>
                <w:sz w:val="25"/>
                <w:szCs w:val="25"/>
                <w:color w:val="auto"/>
              </w:rPr>
              <w:t>4</w:t>
            </w:r>
          </w:p>
        </w:tc>
        <w:tc>
          <w:tcPr>
            <w:tcW w:w="7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2300" w:type="dxa"/>
            <w:vAlign w:val="bottom"/>
          </w:tcPr>
          <w:p>
            <w:pPr>
              <w:ind w:left="960"/>
              <w:spacing w:after="0"/>
              <w:rPr>
                <w:sz w:val="20"/>
                <w:szCs w:val="20"/>
                <w:color w:val="auto"/>
              </w:rPr>
            </w:pPr>
            <w:r>
              <w:rPr>
                <w:rFonts w:ascii="Arial" w:cs="Arial" w:eastAsia="Arial" w:hAnsi="Arial"/>
                <w:sz w:val="18"/>
                <w:szCs w:val="18"/>
                <w:color w:val="auto"/>
              </w:rPr>
              <w:t>AF</w:t>
            </w:r>
          </w:p>
        </w:tc>
        <w:tc>
          <w:tcPr>
            <w:tcW w:w="79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10220" w:type="dxa"/>
            <w:vAlign w:val="bottom"/>
            <w:tcBorders>
              <w:bottom w:val="single" w:sz="8" w:color="auto"/>
            </w:tcBorders>
            <w:gridSpan w:val="2"/>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10220" w:type="dxa"/>
            <w:vAlign w:val="bottom"/>
            <w:gridSpan w:val="2"/>
          </w:tcPr>
          <w:p>
            <w:pPr>
              <w:ind w:left="960"/>
              <w:spacing w:after="0" w:line="202" w:lineRule="exact"/>
              <w:rPr>
                <w:sz w:val="20"/>
                <w:szCs w:val="20"/>
                <w:color w:val="auto"/>
              </w:rPr>
            </w:pPr>
            <w:r>
              <w:rPr>
                <w:rFonts w:ascii="Arial" w:cs="Arial" w:eastAsia="Arial" w:hAnsi="Arial"/>
                <w:sz w:val="18"/>
                <w:szCs w:val="18"/>
                <w:color w:val="auto"/>
              </w:rPr>
              <w:t>CHECK BOX IF DISCLOSURE OF LEGAL PROCEEDINGS IS REQUIRED PURSUANT TO ITEMS 2(d) or 2(e)</w:t>
            </w:r>
          </w:p>
        </w:tc>
        <w:tc>
          <w:tcPr>
            <w:tcW w:w="1200" w:type="dxa"/>
            <w:vAlign w:val="bottom"/>
          </w:tcPr>
          <w:p>
            <w:pPr>
              <w:ind w:left="7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23"/>
        </w:trPr>
        <w:tc>
          <w:tcPr>
            <w:tcW w:w="2300" w:type="dxa"/>
            <w:vAlign w:val="bottom"/>
          </w:tcPr>
          <w:p>
            <w:pPr>
              <w:ind w:left="400"/>
              <w:spacing w:after="0"/>
              <w:rPr>
                <w:sz w:val="20"/>
                <w:szCs w:val="20"/>
                <w:color w:val="auto"/>
              </w:rPr>
            </w:pPr>
            <w:r>
              <w:rPr>
                <w:rFonts w:ascii="Arial" w:cs="Arial" w:eastAsia="Arial" w:hAnsi="Arial"/>
                <w:sz w:val="25"/>
                <w:szCs w:val="25"/>
                <w:color w:val="auto"/>
              </w:rPr>
              <w:t>5</w:t>
            </w:r>
          </w:p>
        </w:tc>
        <w:tc>
          <w:tcPr>
            <w:tcW w:w="79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10220" w:type="dxa"/>
            <w:vAlign w:val="bottom"/>
            <w:tcBorders>
              <w:bottom w:val="single" w:sz="8" w:color="auto"/>
            </w:tcBorders>
            <w:gridSpan w:val="2"/>
          </w:tcPr>
          <w:p>
            <w:pPr>
              <w:spacing w:after="0"/>
              <w:rPr>
                <w:sz w:val="18"/>
                <w:szCs w:val="18"/>
                <w:color w:val="auto"/>
              </w:rPr>
            </w:pPr>
          </w:p>
        </w:tc>
        <w:tc>
          <w:tcPr>
            <w:tcW w:w="12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0220" w:type="dxa"/>
            <w:vAlign w:val="bottom"/>
            <w:gridSpan w:val="2"/>
          </w:tcPr>
          <w:p>
            <w:pPr>
              <w:ind w:left="960"/>
              <w:spacing w:after="0" w:line="202" w:lineRule="exact"/>
              <w:rPr>
                <w:sz w:val="20"/>
                <w:szCs w:val="20"/>
                <w:color w:val="auto"/>
              </w:rPr>
            </w:pPr>
            <w:r>
              <w:rPr>
                <w:rFonts w:ascii="Arial" w:cs="Arial" w:eastAsia="Arial" w:hAnsi="Arial"/>
                <w:sz w:val="18"/>
                <w:szCs w:val="18"/>
                <w:color w:val="auto"/>
              </w:rPr>
              <w:t>CITIZENSHIP OR PLACE OF ORGANIZATION</w:t>
            </w: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300" w:type="dxa"/>
            <w:vAlign w:val="bottom"/>
          </w:tcPr>
          <w:p>
            <w:pPr>
              <w:ind w:left="400"/>
              <w:spacing w:after="0" w:line="256" w:lineRule="exact"/>
              <w:rPr>
                <w:sz w:val="20"/>
                <w:szCs w:val="20"/>
                <w:color w:val="auto"/>
              </w:rPr>
            </w:pPr>
            <w:r>
              <w:rPr>
                <w:rFonts w:ascii="Arial" w:cs="Arial" w:eastAsia="Arial" w:hAnsi="Arial"/>
                <w:sz w:val="25"/>
                <w:szCs w:val="25"/>
                <w:color w:val="auto"/>
              </w:rPr>
              <w:t>6</w:t>
            </w:r>
          </w:p>
        </w:tc>
        <w:tc>
          <w:tcPr>
            <w:tcW w:w="7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2300" w:type="dxa"/>
            <w:vAlign w:val="bottom"/>
          </w:tcPr>
          <w:p>
            <w:pPr>
              <w:ind w:left="960"/>
              <w:spacing w:after="0"/>
              <w:rPr>
                <w:sz w:val="20"/>
                <w:szCs w:val="20"/>
                <w:color w:val="auto"/>
              </w:rPr>
            </w:pPr>
            <w:r>
              <w:rPr>
                <w:rFonts w:ascii="Arial" w:cs="Arial" w:eastAsia="Arial" w:hAnsi="Arial"/>
                <w:sz w:val="18"/>
                <w:szCs w:val="18"/>
                <w:color w:val="auto"/>
              </w:rPr>
              <w:t>Delaware</w:t>
            </w:r>
          </w:p>
        </w:tc>
        <w:tc>
          <w:tcPr>
            <w:tcW w:w="79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300" w:type="dxa"/>
            <w:vAlign w:val="bottom"/>
            <w:tcBorders>
              <w:bottom w:val="single" w:sz="8" w:color="auto"/>
            </w:tcBorders>
          </w:tcPr>
          <w:p>
            <w:pPr>
              <w:spacing w:after="0"/>
              <w:rPr>
                <w:sz w:val="4"/>
                <w:szCs w:val="4"/>
                <w:color w:val="auto"/>
              </w:rPr>
            </w:pPr>
          </w:p>
        </w:tc>
        <w:tc>
          <w:tcPr>
            <w:tcW w:w="792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2300" w:type="dxa"/>
            <w:vAlign w:val="bottom"/>
          </w:tcPr>
          <w:p>
            <w:pPr>
              <w:spacing w:after="0"/>
              <w:rPr>
                <w:sz w:val="17"/>
                <w:szCs w:val="17"/>
                <w:color w:val="auto"/>
              </w:rPr>
            </w:pPr>
          </w:p>
        </w:tc>
        <w:tc>
          <w:tcPr>
            <w:tcW w:w="7920" w:type="dxa"/>
            <w:vAlign w:val="bottom"/>
          </w:tcPr>
          <w:p>
            <w:pPr>
              <w:ind w:left="960"/>
              <w:spacing w:after="0" w:line="202" w:lineRule="exact"/>
              <w:rPr>
                <w:sz w:val="20"/>
                <w:szCs w:val="20"/>
                <w:color w:val="auto"/>
              </w:rPr>
            </w:pPr>
            <w:r>
              <w:rPr>
                <w:rFonts w:ascii="Arial" w:cs="Arial" w:eastAsia="Arial" w:hAnsi="Arial"/>
                <w:sz w:val="18"/>
                <w:szCs w:val="18"/>
                <w:color w:val="auto"/>
              </w:rPr>
              <w:t>SOLE VOTING POWER</w:t>
            </w: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300" w:type="dxa"/>
            <w:vAlign w:val="bottom"/>
          </w:tcPr>
          <w:p>
            <w:pPr>
              <w:spacing w:after="0"/>
              <w:rPr>
                <w:sz w:val="22"/>
                <w:szCs w:val="22"/>
                <w:color w:val="auto"/>
              </w:rPr>
            </w:pPr>
          </w:p>
        </w:tc>
        <w:tc>
          <w:tcPr>
            <w:tcW w:w="7920" w:type="dxa"/>
            <w:vAlign w:val="bottom"/>
          </w:tcPr>
          <w:p>
            <w:pPr>
              <w:jc w:val="center"/>
              <w:ind w:right="6897"/>
              <w:spacing w:after="0" w:line="256" w:lineRule="exact"/>
              <w:rPr>
                <w:sz w:val="20"/>
                <w:szCs w:val="20"/>
                <w:color w:val="auto"/>
              </w:rPr>
            </w:pPr>
            <w:r>
              <w:rPr>
                <w:rFonts w:ascii="Arial" w:cs="Arial" w:eastAsia="Arial" w:hAnsi="Arial"/>
                <w:sz w:val="25"/>
                <w:szCs w:val="25"/>
                <w:color w:val="auto"/>
                <w:w w:val="85"/>
              </w:rPr>
              <w:t>7</w:t>
            </w:r>
          </w:p>
        </w:tc>
        <w:tc>
          <w:tcPr>
            <w:tcW w:w="1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2300" w:type="dxa"/>
            <w:vAlign w:val="bottom"/>
            <w:vMerge w:val="restart"/>
          </w:tcPr>
          <w:p>
            <w:pPr>
              <w:jc w:val="center"/>
              <w:spacing w:after="0"/>
              <w:rPr>
                <w:sz w:val="20"/>
                <w:szCs w:val="20"/>
                <w:color w:val="auto"/>
              </w:rPr>
            </w:pPr>
            <w:r>
              <w:rPr>
                <w:rFonts w:ascii="Arial" w:cs="Arial" w:eastAsia="Arial" w:hAnsi="Arial"/>
                <w:sz w:val="18"/>
                <w:szCs w:val="18"/>
                <w:color w:val="auto"/>
                <w:w w:val="98"/>
              </w:rPr>
              <w:t>NUMBER OF</w:t>
            </w:r>
          </w:p>
        </w:tc>
        <w:tc>
          <w:tcPr>
            <w:tcW w:w="7920" w:type="dxa"/>
            <w:vAlign w:val="bottom"/>
          </w:tcPr>
          <w:p>
            <w:pPr>
              <w:ind w:left="960"/>
              <w:spacing w:after="0"/>
              <w:rPr>
                <w:sz w:val="20"/>
                <w:szCs w:val="20"/>
                <w:color w:val="auto"/>
              </w:rPr>
            </w:pPr>
            <w:r>
              <w:rPr>
                <w:rFonts w:ascii="Arial" w:cs="Arial" w:eastAsia="Arial" w:hAnsi="Arial"/>
                <w:sz w:val="18"/>
                <w:szCs w:val="18"/>
                <w:color w:val="auto"/>
              </w:rPr>
              <w:t>0</w:t>
            </w: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300" w:type="dxa"/>
            <w:vAlign w:val="bottom"/>
            <w:vMerge w:val="continue"/>
          </w:tcPr>
          <w:p>
            <w:pPr>
              <w:spacing w:after="0"/>
              <w:rPr>
                <w:sz w:val="4"/>
                <w:szCs w:val="4"/>
                <w:color w:val="auto"/>
              </w:rPr>
            </w:pPr>
          </w:p>
        </w:tc>
        <w:tc>
          <w:tcPr>
            <w:tcW w:w="792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2300" w:type="dxa"/>
            <w:vAlign w:val="bottom"/>
            <w:vMerge w:val="continue"/>
          </w:tcPr>
          <w:p>
            <w:pPr>
              <w:spacing w:after="0"/>
              <w:rPr>
                <w:sz w:val="6"/>
                <w:szCs w:val="6"/>
                <w:color w:val="auto"/>
              </w:rPr>
            </w:pPr>
          </w:p>
        </w:tc>
        <w:tc>
          <w:tcPr>
            <w:tcW w:w="7920" w:type="dxa"/>
            <w:vAlign w:val="bottom"/>
            <w:vMerge w:val="restart"/>
          </w:tcPr>
          <w:p>
            <w:pPr>
              <w:ind w:left="960"/>
              <w:spacing w:after="0"/>
              <w:rPr>
                <w:sz w:val="20"/>
                <w:szCs w:val="20"/>
                <w:color w:val="auto"/>
              </w:rPr>
            </w:pPr>
            <w:r>
              <w:rPr>
                <w:rFonts w:ascii="Arial" w:cs="Arial" w:eastAsia="Arial" w:hAnsi="Arial"/>
                <w:sz w:val="18"/>
                <w:szCs w:val="18"/>
                <w:color w:val="auto"/>
              </w:rPr>
              <w:t>SHARED VOTING POWER</w:t>
            </w:r>
          </w:p>
        </w:tc>
        <w:tc>
          <w:tcPr>
            <w:tcW w:w="12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6"/>
        </w:trPr>
        <w:tc>
          <w:tcPr>
            <w:tcW w:w="2300" w:type="dxa"/>
            <w:vAlign w:val="bottom"/>
          </w:tcPr>
          <w:p>
            <w:pPr>
              <w:jc w:val="center"/>
              <w:spacing w:after="0" w:line="176" w:lineRule="exact"/>
              <w:rPr>
                <w:sz w:val="20"/>
                <w:szCs w:val="20"/>
                <w:color w:val="auto"/>
              </w:rPr>
            </w:pPr>
            <w:r>
              <w:rPr>
                <w:rFonts w:ascii="Arial" w:cs="Arial" w:eastAsia="Arial" w:hAnsi="Arial"/>
                <w:sz w:val="18"/>
                <w:szCs w:val="18"/>
                <w:color w:val="auto"/>
                <w:w w:val="94"/>
              </w:rPr>
              <w:t>SHARES</w:t>
            </w:r>
          </w:p>
        </w:tc>
        <w:tc>
          <w:tcPr>
            <w:tcW w:w="7920" w:type="dxa"/>
            <w:vAlign w:val="bottom"/>
            <w:vMerge w:val="continue"/>
          </w:tcPr>
          <w:p>
            <w:pPr>
              <w:spacing w:after="0"/>
              <w:rPr>
                <w:sz w:val="15"/>
                <w:szCs w:val="15"/>
                <w:color w:val="auto"/>
              </w:rPr>
            </w:pPr>
          </w:p>
        </w:tc>
        <w:tc>
          <w:tcPr>
            <w:tcW w:w="1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300" w:type="dxa"/>
            <w:vAlign w:val="bottom"/>
          </w:tcPr>
          <w:p>
            <w:pPr>
              <w:jc w:val="center"/>
              <w:spacing w:after="0"/>
              <w:rPr>
                <w:sz w:val="20"/>
                <w:szCs w:val="20"/>
                <w:color w:val="auto"/>
              </w:rPr>
            </w:pPr>
            <w:r>
              <w:rPr>
                <w:rFonts w:ascii="Arial" w:cs="Arial" w:eastAsia="Arial" w:hAnsi="Arial"/>
                <w:sz w:val="18"/>
                <w:szCs w:val="18"/>
                <w:color w:val="auto"/>
                <w:w w:val="99"/>
              </w:rPr>
              <w:t>BENEFICIALLY</w:t>
            </w:r>
          </w:p>
        </w:tc>
        <w:tc>
          <w:tcPr>
            <w:tcW w:w="7920" w:type="dxa"/>
            <w:vAlign w:val="bottom"/>
          </w:tcPr>
          <w:p>
            <w:pPr>
              <w:jc w:val="center"/>
              <w:ind w:right="6897"/>
              <w:spacing w:after="0" w:line="216" w:lineRule="exact"/>
              <w:rPr>
                <w:sz w:val="20"/>
                <w:szCs w:val="20"/>
                <w:color w:val="auto"/>
              </w:rPr>
            </w:pPr>
            <w:r>
              <w:rPr>
                <w:rFonts w:ascii="Arial" w:cs="Arial" w:eastAsia="Arial" w:hAnsi="Arial"/>
                <w:sz w:val="25"/>
                <w:szCs w:val="25"/>
                <w:color w:val="auto"/>
                <w:w w:val="85"/>
              </w:rPr>
              <w:t>8</w:t>
            </w: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4"/>
        </w:trPr>
        <w:tc>
          <w:tcPr>
            <w:tcW w:w="2300" w:type="dxa"/>
            <w:vAlign w:val="bottom"/>
          </w:tcPr>
          <w:p>
            <w:pPr>
              <w:jc w:val="center"/>
              <w:spacing w:after="0"/>
              <w:rPr>
                <w:sz w:val="20"/>
                <w:szCs w:val="20"/>
                <w:color w:val="auto"/>
              </w:rPr>
            </w:pPr>
            <w:r>
              <w:rPr>
                <w:rFonts w:ascii="Arial" w:cs="Arial" w:eastAsia="Arial" w:hAnsi="Arial"/>
                <w:sz w:val="18"/>
                <w:szCs w:val="18"/>
                <w:color w:val="auto"/>
                <w:w w:val="99"/>
              </w:rPr>
              <w:t>OWNED BY</w:t>
            </w:r>
          </w:p>
        </w:tc>
        <w:tc>
          <w:tcPr>
            <w:tcW w:w="7920" w:type="dxa"/>
            <w:vAlign w:val="bottom"/>
            <w:tcBorders>
              <w:bottom w:val="single" w:sz="8" w:color="auto"/>
            </w:tcBorders>
          </w:tcPr>
          <w:p>
            <w:pPr>
              <w:ind w:left="960"/>
              <w:spacing w:after="0"/>
              <w:rPr>
                <w:sz w:val="20"/>
                <w:szCs w:val="20"/>
                <w:color w:val="auto"/>
              </w:rPr>
            </w:pPr>
            <w:r>
              <w:rPr>
                <w:rFonts w:ascii="Arial" w:cs="Arial" w:eastAsia="Arial" w:hAnsi="Arial"/>
                <w:sz w:val="18"/>
                <w:szCs w:val="18"/>
                <w:color w:val="auto"/>
              </w:rPr>
              <w:t>2,711,013</w:t>
            </w:r>
          </w:p>
        </w:tc>
        <w:tc>
          <w:tcPr>
            <w:tcW w:w="12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3"/>
        </w:trPr>
        <w:tc>
          <w:tcPr>
            <w:tcW w:w="2300" w:type="dxa"/>
            <w:vAlign w:val="bottom"/>
          </w:tcPr>
          <w:p>
            <w:pPr>
              <w:jc w:val="center"/>
              <w:spacing w:after="0" w:line="202" w:lineRule="exact"/>
              <w:rPr>
                <w:sz w:val="20"/>
                <w:szCs w:val="20"/>
                <w:color w:val="auto"/>
              </w:rPr>
            </w:pPr>
            <w:r>
              <w:rPr>
                <w:rFonts w:ascii="Arial" w:cs="Arial" w:eastAsia="Arial" w:hAnsi="Arial"/>
                <w:sz w:val="18"/>
                <w:szCs w:val="18"/>
                <w:color w:val="auto"/>
                <w:w w:val="99"/>
              </w:rPr>
              <w:t>EACH</w:t>
            </w:r>
          </w:p>
        </w:tc>
        <w:tc>
          <w:tcPr>
            <w:tcW w:w="7920" w:type="dxa"/>
            <w:vAlign w:val="bottom"/>
          </w:tcPr>
          <w:p>
            <w:pPr>
              <w:ind w:left="960"/>
              <w:spacing w:after="0" w:line="202" w:lineRule="exact"/>
              <w:rPr>
                <w:sz w:val="20"/>
                <w:szCs w:val="20"/>
                <w:color w:val="auto"/>
              </w:rPr>
            </w:pPr>
            <w:r>
              <w:rPr>
                <w:rFonts w:ascii="Arial" w:cs="Arial" w:eastAsia="Arial" w:hAnsi="Arial"/>
                <w:sz w:val="18"/>
                <w:szCs w:val="18"/>
                <w:color w:val="auto"/>
              </w:rPr>
              <w:t>SOLE DISPOSITIVE POWER</w:t>
            </w: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230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7920" w:type="dxa"/>
            <w:vAlign w:val="bottom"/>
          </w:tcPr>
          <w:p>
            <w:pPr>
              <w:jc w:val="center"/>
              <w:ind w:right="6897"/>
              <w:spacing w:after="0" w:line="217" w:lineRule="exact"/>
              <w:rPr>
                <w:sz w:val="20"/>
                <w:szCs w:val="20"/>
                <w:color w:val="auto"/>
              </w:rPr>
            </w:pPr>
            <w:r>
              <w:rPr>
                <w:rFonts w:ascii="Arial" w:cs="Arial" w:eastAsia="Arial" w:hAnsi="Arial"/>
                <w:sz w:val="25"/>
                <w:szCs w:val="25"/>
                <w:color w:val="auto"/>
                <w:w w:val="85"/>
              </w:rPr>
              <w:t>9</w:t>
            </w: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2300" w:type="dxa"/>
            <w:vAlign w:val="bottom"/>
          </w:tcPr>
          <w:p>
            <w:pPr>
              <w:jc w:val="center"/>
              <w:spacing w:after="0"/>
              <w:rPr>
                <w:sz w:val="20"/>
                <w:szCs w:val="20"/>
                <w:color w:val="auto"/>
              </w:rPr>
            </w:pPr>
            <w:r>
              <w:rPr>
                <w:rFonts w:ascii="Arial" w:cs="Arial" w:eastAsia="Arial" w:hAnsi="Arial"/>
                <w:sz w:val="18"/>
                <w:szCs w:val="18"/>
                <w:color w:val="auto"/>
                <w:w w:val="92"/>
              </w:rPr>
              <w:t>PERSON</w:t>
            </w:r>
          </w:p>
        </w:tc>
        <w:tc>
          <w:tcPr>
            <w:tcW w:w="7920" w:type="dxa"/>
            <w:vAlign w:val="bottom"/>
          </w:tcPr>
          <w:p>
            <w:pPr>
              <w:ind w:left="960"/>
              <w:spacing w:after="0"/>
              <w:rPr>
                <w:sz w:val="20"/>
                <w:szCs w:val="20"/>
                <w:color w:val="auto"/>
              </w:rPr>
            </w:pPr>
            <w:r>
              <w:rPr>
                <w:rFonts w:ascii="Arial" w:cs="Arial" w:eastAsia="Arial" w:hAnsi="Arial"/>
                <w:sz w:val="18"/>
                <w:szCs w:val="18"/>
                <w:color w:val="auto"/>
              </w:rPr>
              <w:t>0</w:t>
            </w: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2"/>
        </w:trPr>
        <w:tc>
          <w:tcPr>
            <w:tcW w:w="2300" w:type="dxa"/>
            <w:vAlign w:val="bottom"/>
            <w:vMerge w:val="restart"/>
          </w:tcPr>
          <w:p>
            <w:pPr>
              <w:jc w:val="center"/>
              <w:spacing w:after="0"/>
              <w:rPr>
                <w:sz w:val="20"/>
                <w:szCs w:val="20"/>
                <w:color w:val="auto"/>
              </w:rPr>
            </w:pPr>
            <w:r>
              <w:rPr>
                <w:rFonts w:ascii="Arial" w:cs="Arial" w:eastAsia="Arial" w:hAnsi="Arial"/>
                <w:sz w:val="18"/>
                <w:szCs w:val="18"/>
                <w:color w:val="auto"/>
                <w:w w:val="99"/>
              </w:rPr>
              <w:t>WITH</w:t>
            </w:r>
          </w:p>
        </w:tc>
        <w:tc>
          <w:tcPr>
            <w:tcW w:w="7920" w:type="dxa"/>
            <w:vAlign w:val="bottom"/>
            <w:tcBorders>
              <w:bottom w:val="single" w:sz="8" w:color="auto"/>
            </w:tcBorders>
          </w:tcPr>
          <w:p>
            <w:pPr>
              <w:spacing w:after="0"/>
              <w:rPr>
                <w:sz w:val="8"/>
                <w:szCs w:val="8"/>
                <w:color w:val="auto"/>
              </w:rPr>
            </w:pPr>
          </w:p>
        </w:tc>
        <w:tc>
          <w:tcPr>
            <w:tcW w:w="120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2300" w:type="dxa"/>
            <w:vAlign w:val="bottom"/>
            <w:vMerge w:val="continue"/>
          </w:tcPr>
          <w:p>
            <w:pPr>
              <w:spacing w:after="0"/>
              <w:rPr>
                <w:sz w:val="9"/>
                <w:szCs w:val="9"/>
                <w:color w:val="auto"/>
              </w:rPr>
            </w:pPr>
          </w:p>
        </w:tc>
        <w:tc>
          <w:tcPr>
            <w:tcW w:w="7920" w:type="dxa"/>
            <w:vAlign w:val="bottom"/>
            <w:vMerge w:val="restart"/>
          </w:tcPr>
          <w:p>
            <w:pPr>
              <w:ind w:left="960"/>
              <w:spacing w:after="0" w:line="202" w:lineRule="exact"/>
              <w:rPr>
                <w:sz w:val="20"/>
                <w:szCs w:val="20"/>
                <w:color w:val="auto"/>
              </w:rPr>
            </w:pPr>
            <w:r>
              <w:rPr>
                <w:rFonts w:ascii="Arial" w:cs="Arial" w:eastAsia="Arial" w:hAnsi="Arial"/>
                <w:sz w:val="18"/>
                <w:szCs w:val="18"/>
                <w:color w:val="auto"/>
              </w:rPr>
              <w:t>SHARED DISPOSITIVE POWER</w:t>
            </w: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4"/>
        </w:trPr>
        <w:tc>
          <w:tcPr>
            <w:tcW w:w="2300" w:type="dxa"/>
            <w:vAlign w:val="bottom"/>
          </w:tcPr>
          <w:p>
            <w:pPr>
              <w:spacing w:after="0"/>
              <w:rPr>
                <w:sz w:val="8"/>
                <w:szCs w:val="8"/>
                <w:color w:val="auto"/>
              </w:rPr>
            </w:pPr>
          </w:p>
        </w:tc>
        <w:tc>
          <w:tcPr>
            <w:tcW w:w="7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300" w:type="dxa"/>
            <w:vAlign w:val="bottom"/>
          </w:tcPr>
          <w:p>
            <w:pPr>
              <w:spacing w:after="0"/>
              <w:rPr>
                <w:sz w:val="23"/>
                <w:szCs w:val="23"/>
                <w:color w:val="auto"/>
              </w:rPr>
            </w:pPr>
          </w:p>
        </w:tc>
        <w:tc>
          <w:tcPr>
            <w:tcW w:w="7920" w:type="dxa"/>
            <w:vAlign w:val="bottom"/>
          </w:tcPr>
          <w:p>
            <w:pPr>
              <w:jc w:val="center"/>
              <w:ind w:right="6897"/>
              <w:spacing w:after="0" w:line="271" w:lineRule="exact"/>
              <w:rPr>
                <w:sz w:val="20"/>
                <w:szCs w:val="20"/>
                <w:color w:val="auto"/>
              </w:rPr>
            </w:pPr>
            <w:r>
              <w:rPr>
                <w:rFonts w:ascii="Arial" w:cs="Arial" w:eastAsia="Arial" w:hAnsi="Arial"/>
                <w:sz w:val="25"/>
                <w:szCs w:val="25"/>
                <w:color w:val="auto"/>
                <w:w w:val="86"/>
              </w:rPr>
              <w:t>10</w:t>
            </w:r>
          </w:p>
        </w:tc>
        <w:tc>
          <w:tcPr>
            <w:tcW w:w="1200" w:type="dxa"/>
            <w:vAlign w:val="bottom"/>
          </w:tcPr>
          <w:p>
            <w:pPr>
              <w:spacing w:after="0"/>
              <w:rPr>
                <w:sz w:val="23"/>
                <w:szCs w:val="23"/>
                <w:color w:val="auto"/>
              </w:rPr>
            </w:pPr>
          </w:p>
        </w:tc>
        <w:tc>
          <w:tcPr>
            <w:tcW w:w="0" w:type="dxa"/>
            <w:vAlign w:val="bottom"/>
          </w:tcPr>
          <w:p>
            <w:pPr>
              <w:spacing w:after="0"/>
              <w:rPr>
                <w:sz w:val="1"/>
                <w:szCs w:val="1"/>
                <w:color w:val="auto"/>
              </w:rPr>
            </w:pPr>
          </w:p>
        </w:tc>
      </w:tr>
    </w:tbl>
    <w:p>
      <w:pPr>
        <w:ind w:left="3260"/>
        <w:spacing w:after="0"/>
        <w:rPr>
          <w:sz w:val="20"/>
          <w:szCs w:val="20"/>
          <w:color w:val="auto"/>
        </w:rPr>
      </w:pPr>
      <w:r>
        <w:rPr>
          <w:rFonts w:ascii="Arial" w:cs="Arial" w:eastAsia="Arial" w:hAnsi="Arial"/>
          <w:sz w:val="18"/>
          <w:szCs w:val="18"/>
          <w:color w:val="auto"/>
        </w:rPr>
        <w:t>2,711,013</w:t>
      </w:r>
    </w:p>
    <w:p>
      <w:pPr>
        <w:spacing w:after="0" w:line="89" w:lineRule="exact"/>
        <w:rPr>
          <w:sz w:val="20"/>
          <w:szCs w:val="20"/>
          <w:color w:val="auto"/>
        </w:rPr>
      </w:pPr>
    </w:p>
    <w:p>
      <w:pPr>
        <w:ind w:left="960"/>
        <w:spacing w:after="0"/>
        <w:rPr>
          <w:sz w:val="20"/>
          <w:szCs w:val="20"/>
          <w:color w:val="auto"/>
        </w:rPr>
      </w:pPr>
      <w:r>
        <w:rPr>
          <w:rFonts w:ascii="Arial" w:cs="Arial" w:eastAsia="Arial" w:hAnsi="Arial"/>
          <w:sz w:val="18"/>
          <w:szCs w:val="18"/>
          <w:color w:val="auto"/>
        </w:rPr>
        <w:t>AGGREGATE AMOUNT BENEFICIALLY OWNED BY EACH REPORTING PERSON</w:t>
      </w:r>
    </w:p>
    <w:p>
      <w:pPr>
        <w:ind w:left="340"/>
        <w:spacing w:after="0" w:line="211" w:lineRule="auto"/>
        <w:rPr>
          <w:sz w:val="20"/>
          <w:szCs w:val="20"/>
          <w:color w:val="auto"/>
        </w:rPr>
      </w:pPr>
      <w:r>
        <w:rPr>
          <w:rFonts w:ascii="Arial" w:cs="Arial" w:eastAsia="Arial" w:hAnsi="Arial"/>
          <w:sz w:val="25"/>
          <w:szCs w:val="25"/>
          <w:color w:val="auto"/>
        </w:rPr>
        <w:t>11</w:t>
      </w:r>
    </w:p>
    <w:p>
      <w:pPr>
        <w:ind w:left="960"/>
        <w:spacing w:after="0"/>
        <w:rPr>
          <w:sz w:val="20"/>
          <w:szCs w:val="20"/>
          <w:color w:val="auto"/>
        </w:rPr>
      </w:pPr>
      <w:r>
        <w:rPr>
          <w:rFonts w:ascii="Arial" w:cs="Arial" w:eastAsia="Arial" w:hAnsi="Arial"/>
          <w:sz w:val="18"/>
          <w:szCs w:val="18"/>
          <w:color w:val="auto"/>
        </w:rPr>
        <w:t>2,711,013</w:t>
      </w:r>
    </w:p>
    <w:p>
      <w:pPr>
        <w:spacing w:after="0" w:line="56" w:lineRule="exact"/>
        <w:rPr>
          <w:sz w:val="20"/>
          <w:szCs w:val="20"/>
          <w:color w:val="auto"/>
        </w:rPr>
      </w:pPr>
    </w:p>
    <w:p>
      <w:pPr>
        <w:ind w:left="960"/>
        <w:spacing w:after="0" w:line="207" w:lineRule="exact"/>
        <w:tabs>
          <w:tab w:leader="none" w:pos="10960" w:val="left"/>
        </w:tabs>
        <w:rPr>
          <w:sz w:val="20"/>
          <w:szCs w:val="20"/>
          <w:color w:val="auto"/>
        </w:rPr>
      </w:pPr>
      <w:r>
        <w:rPr>
          <w:rFonts w:ascii="Arial" w:cs="Arial" w:eastAsia="Arial" w:hAnsi="Arial"/>
          <w:sz w:val="18"/>
          <w:szCs w:val="18"/>
          <w:color w:val="auto"/>
        </w:rPr>
        <w:t>CHECK BOX IF THE AGGREGATE AMOUNT IN ROW (11) EXCLUDES CERTAIN SHARES (See Instructions)</w:t>
      </w:r>
      <w:r>
        <w:rPr>
          <w:sz w:val="20"/>
          <w:szCs w:val="20"/>
          <w:color w:val="auto"/>
        </w:rPr>
        <w:tab/>
      </w:r>
      <w:r>
        <w:rPr>
          <w:rFonts w:ascii="MS PGothic" w:cs="MS PGothic" w:eastAsia="MS PGothic" w:hAnsi="MS PGothic"/>
          <w:sz w:val="16"/>
          <w:szCs w:val="16"/>
          <w:color w:val="auto"/>
        </w:rPr>
        <w:t>☐</w:t>
      </w:r>
    </w:p>
    <w:p>
      <w:pPr>
        <w:spacing w:after="0" w:line="33" w:lineRule="exact"/>
        <w:rPr>
          <w:sz w:val="20"/>
          <w:szCs w:val="20"/>
          <w:color w:val="auto"/>
        </w:rPr>
      </w:pPr>
    </w:p>
    <w:p>
      <w:pPr>
        <w:ind w:left="340"/>
        <w:spacing w:after="0"/>
        <w:rPr>
          <w:sz w:val="20"/>
          <w:szCs w:val="20"/>
          <w:color w:val="auto"/>
        </w:rPr>
      </w:pPr>
      <w:r>
        <w:rPr>
          <w:rFonts w:ascii="Arial" w:cs="Arial" w:eastAsia="Arial" w:hAnsi="Arial"/>
          <w:sz w:val="25"/>
          <w:szCs w:val="25"/>
          <w:color w:val="auto"/>
        </w:rPr>
        <w:t>12</w:t>
      </w:r>
    </w:p>
    <w:p>
      <w:pPr>
        <w:spacing w:after="0" w:line="262" w:lineRule="exact"/>
        <w:rPr>
          <w:sz w:val="20"/>
          <w:szCs w:val="20"/>
          <w:color w:val="auto"/>
        </w:rPr>
      </w:pPr>
    </w:p>
    <w:p>
      <w:pPr>
        <w:ind w:left="960"/>
        <w:spacing w:after="0"/>
        <w:rPr>
          <w:sz w:val="20"/>
          <w:szCs w:val="20"/>
          <w:color w:val="auto"/>
        </w:rPr>
      </w:pPr>
      <w:r>
        <w:rPr>
          <w:rFonts w:ascii="Arial" w:cs="Arial" w:eastAsia="Arial" w:hAnsi="Arial"/>
          <w:sz w:val="18"/>
          <w:szCs w:val="18"/>
          <w:color w:val="auto"/>
        </w:rPr>
        <w:t>PERCENT OF CLASS REPRESENTED BY AMOUNT IN ROW (11)</w:t>
      </w:r>
    </w:p>
    <w:p>
      <w:pPr>
        <w:ind w:left="340"/>
        <w:spacing w:after="0" w:line="211" w:lineRule="auto"/>
        <w:rPr>
          <w:sz w:val="20"/>
          <w:szCs w:val="20"/>
          <w:color w:val="auto"/>
        </w:rPr>
      </w:pPr>
      <w:r>
        <w:rPr>
          <w:rFonts w:ascii="Arial" w:cs="Arial" w:eastAsia="Arial" w:hAnsi="Arial"/>
          <w:sz w:val="25"/>
          <w:szCs w:val="25"/>
          <w:color w:val="auto"/>
        </w:rPr>
        <w:t>13</w:t>
      </w:r>
    </w:p>
    <w:p>
      <w:pPr>
        <w:ind w:left="960"/>
        <w:spacing w:after="0"/>
        <w:rPr>
          <w:sz w:val="20"/>
          <w:szCs w:val="20"/>
          <w:color w:val="auto"/>
        </w:rPr>
      </w:pPr>
      <w:r>
        <w:rPr>
          <w:rFonts w:ascii="Arial" w:cs="Arial" w:eastAsia="Arial" w:hAnsi="Arial"/>
          <w:sz w:val="18"/>
          <w:szCs w:val="18"/>
          <w:color w:val="auto"/>
        </w:rPr>
        <w:t>8.4%*</w:t>
      </w:r>
    </w:p>
    <w:p>
      <w:pPr>
        <w:spacing w:after="0" w:line="89" w:lineRule="exact"/>
        <w:rPr>
          <w:sz w:val="20"/>
          <w:szCs w:val="20"/>
          <w:color w:val="auto"/>
        </w:rPr>
      </w:pPr>
    </w:p>
    <w:p>
      <w:pPr>
        <w:ind w:left="960"/>
        <w:spacing w:after="0"/>
        <w:rPr>
          <w:sz w:val="20"/>
          <w:szCs w:val="20"/>
          <w:color w:val="auto"/>
        </w:rPr>
      </w:pPr>
      <w:r>
        <w:rPr>
          <w:rFonts w:ascii="Arial" w:cs="Arial" w:eastAsia="Arial" w:hAnsi="Arial"/>
          <w:sz w:val="18"/>
          <w:szCs w:val="18"/>
          <w:color w:val="auto"/>
        </w:rPr>
        <w:t>TYPE OF REPORTING PERSON (See Instructions)</w:t>
      </w:r>
    </w:p>
    <w:p>
      <w:pPr>
        <w:ind w:left="340"/>
        <w:spacing w:after="0" w:line="211" w:lineRule="auto"/>
        <w:rPr>
          <w:sz w:val="20"/>
          <w:szCs w:val="20"/>
          <w:color w:val="auto"/>
        </w:rPr>
      </w:pPr>
      <w:r>
        <w:rPr>
          <w:rFonts w:ascii="Arial" w:cs="Arial" w:eastAsia="Arial" w:hAnsi="Arial"/>
          <w:sz w:val="25"/>
          <w:szCs w:val="25"/>
          <w:color w:val="auto"/>
        </w:rPr>
        <w:t>14</w:t>
      </w:r>
    </w:p>
    <w:p>
      <w:pPr>
        <w:ind w:left="960"/>
        <w:spacing w:after="0"/>
        <w:rPr>
          <w:sz w:val="20"/>
          <w:szCs w:val="20"/>
          <w:color w:val="auto"/>
        </w:rPr>
      </w:pPr>
      <w:r>
        <w:rPr>
          <w:rFonts w:ascii="Arial" w:cs="Arial" w:eastAsia="Arial" w:hAnsi="Arial"/>
          <w:sz w:val="18"/>
          <w:szCs w:val="18"/>
          <w:color w:val="auto"/>
        </w:rPr>
        <w:t>OO</w:t>
      </w:r>
    </w:p>
    <w:p>
      <w:pPr>
        <w:spacing w:after="0" w:line="340" w:lineRule="exact"/>
        <w:rPr>
          <w:sz w:val="20"/>
          <w:szCs w:val="20"/>
          <w:color w:val="auto"/>
        </w:rPr>
      </w:pPr>
    </w:p>
    <w:p>
      <w:pPr>
        <w:ind w:right="140" w:firstLine="8"/>
        <w:spacing w:after="0" w:line="277" w:lineRule="auto"/>
        <w:tabs>
          <w:tab w:leader="none" w:pos="108" w:val="left"/>
        </w:tabs>
        <w:numPr>
          <w:ilvl w:val="0"/>
          <w:numId w:val="5"/>
        </w:numPr>
        <w:rPr>
          <w:rFonts w:ascii="Arial" w:cs="Arial" w:eastAsia="Arial" w:hAnsi="Arial"/>
          <w:sz w:val="14"/>
          <w:szCs w:val="14"/>
          <w:color w:val="auto"/>
        </w:rPr>
      </w:pPr>
      <w:r>
        <w:rPr>
          <w:rFonts w:ascii="Arial" w:cs="Arial" w:eastAsia="Arial" w:hAnsi="Arial"/>
          <w:sz w:val="14"/>
          <w:szCs w:val="14"/>
          <w:color w:val="auto"/>
        </w:rPr>
        <w:t>This percentage is calculated based upon 21,935,381 shares of common stock outstanding of NextCure, Inc. (the “</w:t>
      </w:r>
      <w:r>
        <w:rPr>
          <w:rFonts w:ascii="Arial" w:cs="Arial" w:eastAsia="Arial" w:hAnsi="Arial"/>
          <w:sz w:val="14"/>
          <w:szCs w:val="14"/>
          <w:u w:val="single" w:color="auto"/>
          <w:color w:val="auto"/>
        </w:rPr>
        <w:t>Issuer</w:t>
      </w:r>
      <w:r>
        <w:rPr>
          <w:rFonts w:ascii="Arial" w:cs="Arial" w:eastAsia="Arial" w:hAnsi="Arial"/>
          <w:sz w:val="14"/>
          <w:szCs w:val="14"/>
          <w:color w:val="auto"/>
        </w:rPr>
        <w:t>”), as set forth in the Issuer’s Rule 424(b)(4) Prospectus filed with the Securities and Exchange Commission (“SEC”) on May 9, 2019 and giving effect to the additional 750,000 shares of common stock issued and sold by the Issuer to the underwriters pursuant to the underwriters’ option (according to the Form 8-K as filed by the issuer with the Securities and Exchange Commission on May 13,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609600</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26"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Item 1. Security and Issuer</w:t>
      </w:r>
    </w:p>
    <w:p>
      <w:pPr>
        <w:spacing w:after="0" w:line="22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This Schedule 13D (the “</w:t>
      </w:r>
      <w:r>
        <w:rPr>
          <w:rFonts w:ascii="Arial" w:cs="Arial" w:eastAsia="Arial" w:hAnsi="Arial"/>
          <w:sz w:val="18"/>
          <w:szCs w:val="18"/>
          <w:u w:val="single" w:color="auto"/>
          <w:color w:val="auto"/>
        </w:rPr>
        <w:t>Statement</w:t>
      </w:r>
      <w:r>
        <w:rPr>
          <w:rFonts w:ascii="Arial" w:cs="Arial" w:eastAsia="Arial" w:hAnsi="Arial"/>
          <w:sz w:val="18"/>
          <w:szCs w:val="18"/>
          <w:color w:val="auto"/>
        </w:rPr>
        <w:t>”) relates to the common stock, par value $0.001 per share (the “</w:t>
      </w:r>
      <w:r>
        <w:rPr>
          <w:rFonts w:ascii="Arial" w:cs="Arial" w:eastAsia="Arial" w:hAnsi="Arial"/>
          <w:sz w:val="18"/>
          <w:szCs w:val="18"/>
          <w:u w:val="single" w:color="auto"/>
          <w:color w:val="auto"/>
        </w:rPr>
        <w:t>Shares</w:t>
      </w:r>
      <w:r>
        <w:rPr>
          <w:rFonts w:ascii="Arial" w:cs="Arial" w:eastAsia="Arial" w:hAnsi="Arial"/>
          <w:sz w:val="18"/>
          <w:szCs w:val="18"/>
          <w:color w:val="auto"/>
        </w:rPr>
        <w:t>”) of NextCure, Inc., a corporation organized under the laws of Delaware (the “</w:t>
      </w:r>
      <w:r>
        <w:rPr>
          <w:rFonts w:ascii="Arial" w:cs="Arial" w:eastAsia="Arial" w:hAnsi="Arial"/>
          <w:sz w:val="18"/>
          <w:szCs w:val="18"/>
          <w:u w:val="single" w:color="auto"/>
          <w:color w:val="auto"/>
        </w:rPr>
        <w:t>Issuer</w:t>
      </w:r>
      <w:r>
        <w:rPr>
          <w:rFonts w:ascii="Arial" w:cs="Arial" w:eastAsia="Arial" w:hAnsi="Arial"/>
          <w:sz w:val="18"/>
          <w:szCs w:val="18"/>
          <w:color w:val="auto"/>
        </w:rPr>
        <w:t>”), with its principal executive offices located at 9000 Virginia Manor Road, Suite 200, Beltsville, Maryland 20705. The Shares are listed on the NASDAQ Global Select Market under the ticker symbol “NXTC”. Information given in response to each item shall be deemed incorporated by reference in all other items, as applicable.</w:t>
      </w:r>
    </w:p>
    <w:p>
      <w:pPr>
        <w:spacing w:after="0" w:line="24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On May 13, 2019, the Issuer completed its initial public offering pursuant to which the Issuer agreed to issue and sell to the participants 5,000,000 Shares (the “</w:t>
      </w:r>
      <w:r>
        <w:rPr>
          <w:rFonts w:ascii="Arial" w:cs="Arial" w:eastAsia="Arial" w:hAnsi="Arial"/>
          <w:sz w:val="18"/>
          <w:szCs w:val="18"/>
          <w:u w:val="single" w:color="auto"/>
          <w:color w:val="auto"/>
        </w:rPr>
        <w:t>IPO</w:t>
      </w:r>
      <w:r>
        <w:rPr>
          <w:rFonts w:ascii="Arial" w:cs="Arial" w:eastAsia="Arial" w:hAnsi="Arial"/>
          <w:sz w:val="18"/>
          <w:szCs w:val="18"/>
          <w:color w:val="auto"/>
        </w:rPr>
        <w:t>”). In addition, the Issuer granted the underwriters an option to purchase, at the public offering price less any underwriting discounts and commissions, up to an additional 750,000 Shares. The purchase price for each Share was $15.00. As a result of the IPO, and the underwriters exercise of their option, the Issuer’s total number of outstanding Shares increased to 22,685,381.</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Identity and Background</w:t>
      </w:r>
    </w:p>
    <w:p>
      <w:pPr>
        <w:spacing w:after="0" w:line="229" w:lineRule="exact"/>
        <w:rPr>
          <w:sz w:val="20"/>
          <w:szCs w:val="20"/>
          <w:color w:val="auto"/>
        </w:rPr>
      </w:pPr>
    </w:p>
    <w:p>
      <w:pPr>
        <w:ind w:firstLine="656"/>
        <w:spacing w:after="0" w:line="277" w:lineRule="auto"/>
        <w:tabs>
          <w:tab w:leader="none" w:pos="929" w:val="left"/>
        </w:tabs>
        <w:numPr>
          <w:ilvl w:val="0"/>
          <w:numId w:val="6"/>
        </w:numPr>
        <w:rPr>
          <w:rFonts w:ascii="Arial" w:cs="Arial" w:eastAsia="Arial" w:hAnsi="Arial"/>
          <w:sz w:val="18"/>
          <w:szCs w:val="18"/>
          <w:color w:val="auto"/>
        </w:rPr>
      </w:pPr>
      <w:r>
        <w:rPr>
          <w:rFonts w:ascii="Arial" w:cs="Arial" w:eastAsia="Arial" w:hAnsi="Arial"/>
          <w:sz w:val="18"/>
          <w:szCs w:val="18"/>
          <w:color w:val="auto"/>
        </w:rPr>
        <w:t>This Schedule 13D is being filed by OrbiMed Advisors LLC (“</w:t>
      </w:r>
      <w:r>
        <w:rPr>
          <w:rFonts w:ascii="Arial" w:cs="Arial" w:eastAsia="Arial" w:hAnsi="Arial"/>
          <w:sz w:val="18"/>
          <w:szCs w:val="18"/>
          <w:u w:val="single" w:color="auto"/>
          <w:color w:val="auto"/>
        </w:rPr>
        <w:t>OrbiMed Advisors</w:t>
      </w:r>
      <w:r>
        <w:rPr>
          <w:rFonts w:ascii="Arial" w:cs="Arial" w:eastAsia="Arial" w:hAnsi="Arial"/>
          <w:sz w:val="18"/>
          <w:szCs w:val="18"/>
          <w:color w:val="auto"/>
        </w:rPr>
        <w:t>”) and OrbiMed Capital GP VI LLC (“</w:t>
      </w:r>
      <w:r>
        <w:rPr>
          <w:rFonts w:ascii="Arial" w:cs="Arial" w:eastAsia="Arial" w:hAnsi="Arial"/>
          <w:sz w:val="18"/>
          <w:szCs w:val="18"/>
          <w:u w:val="single" w:color="auto"/>
          <w:color w:val="auto"/>
        </w:rPr>
        <w:t>OrbiMed GP</w:t>
      </w:r>
      <w:r>
        <w:rPr>
          <w:rFonts w:ascii="Arial" w:cs="Arial" w:eastAsia="Arial" w:hAnsi="Arial"/>
          <w:sz w:val="18"/>
          <w:szCs w:val="18"/>
          <w:color w:val="auto"/>
        </w:rPr>
        <w:t>”) (collectively, the “</w:t>
      </w:r>
      <w:r>
        <w:rPr>
          <w:rFonts w:ascii="Arial" w:cs="Arial" w:eastAsia="Arial" w:hAnsi="Arial"/>
          <w:sz w:val="18"/>
          <w:szCs w:val="18"/>
          <w:u w:val="single" w:color="auto"/>
          <w:color w:val="auto"/>
        </w:rPr>
        <w:t>Reporting Persons</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jc w:val="both"/>
        <w:ind w:firstLine="656"/>
        <w:spacing w:after="0" w:line="264" w:lineRule="auto"/>
        <w:tabs>
          <w:tab w:leader="none" w:pos="917" w:val="left"/>
        </w:tabs>
        <w:numPr>
          <w:ilvl w:val="0"/>
          <w:numId w:val="6"/>
        </w:numPr>
        <w:rPr>
          <w:rFonts w:ascii="Arial" w:cs="Arial" w:eastAsia="Arial" w:hAnsi="Arial"/>
          <w:sz w:val="18"/>
          <w:szCs w:val="18"/>
          <w:color w:val="auto"/>
        </w:rPr>
      </w:pPr>
      <w:r>
        <w:rPr>
          <w:rFonts w:ascii="Arial" w:cs="Arial" w:eastAsia="Arial" w:hAnsi="Arial"/>
          <w:sz w:val="18"/>
          <w:szCs w:val="18"/>
          <w:color w:val="auto"/>
        </w:rPr>
        <w:t>— (c), (f) OrbiMed Advisors, a limited liability company organized under the laws of Delaware and a registered investment adviser under the Investment Advisers Act of 1940, as amended, is the managing member or general partner of certain entities as more particularly described in Item 6 below. OrbiMed Advisors has its principal offices at 601 Lexington Avenue, 54th Floor, New York, New York 10022.</w:t>
      </w:r>
    </w:p>
    <w:p>
      <w:pPr>
        <w:spacing w:after="0" w:line="181" w:lineRule="exact"/>
        <w:rPr>
          <w:sz w:val="20"/>
          <w:szCs w:val="20"/>
          <w:color w:val="auto"/>
        </w:rPr>
      </w:pPr>
    </w:p>
    <w:p>
      <w:pPr>
        <w:ind w:right="220" w:firstLine="648"/>
        <w:spacing w:after="0" w:line="308" w:lineRule="auto"/>
        <w:rPr>
          <w:sz w:val="20"/>
          <w:szCs w:val="20"/>
          <w:color w:val="auto"/>
        </w:rPr>
      </w:pPr>
      <w:r>
        <w:rPr>
          <w:rFonts w:ascii="Arial" w:cs="Arial" w:eastAsia="Arial" w:hAnsi="Arial"/>
          <w:sz w:val="17"/>
          <w:szCs w:val="17"/>
          <w:color w:val="auto"/>
        </w:rPr>
        <w:t>OrbiMed GP, a limited liability company organized under the laws of Delaware, is the general partner of a limited partnership as more particularly described in Item 6 below. OrbiMed GP has its principal offices at 601 Lexington Avenue, 54th Floor, New York, New York 10022.</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directors and executive officers of OrbiMed Advisors and OrbiMed GP are set forth on Schedules I and II, respectively, attached hereto.</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Schedules I and II set forth the following information with respect to each such person:</w:t>
      </w:r>
    </w:p>
    <w:p>
      <w:pPr>
        <w:spacing w:after="0" w:line="211" w:lineRule="exact"/>
        <w:rPr>
          <w:sz w:val="20"/>
          <w:szCs w:val="20"/>
          <w:color w:val="auto"/>
        </w:rPr>
      </w:pPr>
    </w:p>
    <w:p>
      <w:pPr>
        <w:ind w:left="1320" w:hanging="664"/>
        <w:spacing w:after="0"/>
        <w:tabs>
          <w:tab w:leader="none" w:pos="1320" w:val="left"/>
        </w:tabs>
        <w:numPr>
          <w:ilvl w:val="0"/>
          <w:numId w:val="7"/>
        </w:numPr>
        <w:rPr>
          <w:rFonts w:ascii="Arial" w:cs="Arial" w:eastAsia="Arial" w:hAnsi="Arial"/>
          <w:sz w:val="18"/>
          <w:szCs w:val="18"/>
          <w:color w:val="auto"/>
        </w:rPr>
      </w:pPr>
      <w:r>
        <w:rPr>
          <w:rFonts w:ascii="Arial" w:cs="Arial" w:eastAsia="Arial" w:hAnsi="Arial"/>
          <w:sz w:val="18"/>
          <w:szCs w:val="18"/>
          <w:color w:val="auto"/>
        </w:rPr>
        <w:t>name;</w:t>
      </w:r>
    </w:p>
    <w:p>
      <w:pPr>
        <w:spacing w:after="0" w:line="225" w:lineRule="exact"/>
        <w:rPr>
          <w:rFonts w:ascii="Arial" w:cs="Arial" w:eastAsia="Arial" w:hAnsi="Arial"/>
          <w:sz w:val="18"/>
          <w:szCs w:val="18"/>
          <w:color w:val="auto"/>
        </w:rPr>
      </w:pPr>
    </w:p>
    <w:p>
      <w:pPr>
        <w:ind w:left="1320" w:hanging="664"/>
        <w:spacing w:after="0"/>
        <w:tabs>
          <w:tab w:leader="none" w:pos="1320" w:val="left"/>
        </w:tabs>
        <w:numPr>
          <w:ilvl w:val="0"/>
          <w:numId w:val="7"/>
        </w:numPr>
        <w:rPr>
          <w:rFonts w:ascii="Arial" w:cs="Arial" w:eastAsia="Arial" w:hAnsi="Arial"/>
          <w:sz w:val="18"/>
          <w:szCs w:val="18"/>
          <w:color w:val="auto"/>
        </w:rPr>
      </w:pPr>
      <w:r>
        <w:rPr>
          <w:rFonts w:ascii="Arial" w:cs="Arial" w:eastAsia="Arial" w:hAnsi="Arial"/>
          <w:sz w:val="18"/>
          <w:szCs w:val="18"/>
          <w:color w:val="auto"/>
        </w:rPr>
        <w:t>business address;</w:t>
      </w:r>
    </w:p>
    <w:p>
      <w:pPr>
        <w:spacing w:after="0" w:line="225" w:lineRule="exact"/>
        <w:rPr>
          <w:rFonts w:ascii="Arial" w:cs="Arial" w:eastAsia="Arial" w:hAnsi="Arial"/>
          <w:sz w:val="18"/>
          <w:szCs w:val="18"/>
          <w:color w:val="auto"/>
        </w:rPr>
      </w:pPr>
    </w:p>
    <w:p>
      <w:pPr>
        <w:ind w:right="20" w:firstLine="656"/>
        <w:spacing w:after="0" w:line="277" w:lineRule="auto"/>
        <w:tabs>
          <w:tab w:leader="none" w:pos="1297" w:val="left"/>
        </w:tabs>
        <w:numPr>
          <w:ilvl w:val="0"/>
          <w:numId w:val="7"/>
        </w:numPr>
        <w:rPr>
          <w:rFonts w:ascii="Arial" w:cs="Arial" w:eastAsia="Arial" w:hAnsi="Arial"/>
          <w:sz w:val="18"/>
          <w:szCs w:val="18"/>
          <w:color w:val="auto"/>
        </w:rPr>
      </w:pPr>
      <w:r>
        <w:rPr>
          <w:rFonts w:ascii="Arial" w:cs="Arial" w:eastAsia="Arial" w:hAnsi="Arial"/>
          <w:sz w:val="18"/>
          <w:szCs w:val="18"/>
          <w:color w:val="auto"/>
        </w:rPr>
        <w:t>present principal occupation of employment and the name, principal business and address of any corporation or other organization in which such employment is conducted; and</w:t>
      </w:r>
    </w:p>
    <w:p>
      <w:pPr>
        <w:spacing w:after="0" w:line="170" w:lineRule="exact"/>
        <w:rPr>
          <w:rFonts w:ascii="Arial" w:cs="Arial" w:eastAsia="Arial" w:hAnsi="Arial"/>
          <w:sz w:val="18"/>
          <w:szCs w:val="18"/>
          <w:color w:val="auto"/>
        </w:rPr>
      </w:pPr>
    </w:p>
    <w:p>
      <w:pPr>
        <w:ind w:left="1320" w:hanging="664"/>
        <w:spacing w:after="0"/>
        <w:tabs>
          <w:tab w:leader="none" w:pos="1320" w:val="left"/>
        </w:tabs>
        <w:numPr>
          <w:ilvl w:val="0"/>
          <w:numId w:val="7"/>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25" w:lineRule="exact"/>
        <w:rPr>
          <w:sz w:val="20"/>
          <w:szCs w:val="20"/>
          <w:color w:val="auto"/>
        </w:rPr>
      </w:pPr>
    </w:p>
    <w:p>
      <w:pPr>
        <w:jc w:val="both"/>
        <w:ind w:firstLine="656"/>
        <w:spacing w:after="0" w:line="259" w:lineRule="auto"/>
        <w:tabs>
          <w:tab w:leader="none" w:pos="911" w:val="left"/>
        </w:tabs>
        <w:numPr>
          <w:ilvl w:val="0"/>
          <w:numId w:val="8"/>
        </w:numPr>
        <w:rPr>
          <w:rFonts w:ascii="Arial" w:cs="Arial" w:eastAsia="Arial" w:hAnsi="Arial"/>
          <w:sz w:val="18"/>
          <w:szCs w:val="18"/>
          <w:color w:val="auto"/>
        </w:rPr>
      </w:pPr>
      <w:r>
        <w:rPr>
          <w:rFonts w:ascii="Arial" w:cs="Arial" w:eastAsia="Arial" w:hAnsi="Arial"/>
          <w:sz w:val="18"/>
          <w:szCs w:val="18"/>
          <w:color w:val="auto"/>
        </w:rPr>
        <w:t>— (e) During the last five years, neither the Reporting Persons nor any Person named in Schedules I and II has been (i) convicted in a criminal proceeding (excluding traffic violations or similar misdemeanors) or (ii)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Source and Amount of Funds or Other Consideration</w:t>
      </w:r>
    </w:p>
    <w:p>
      <w:pPr>
        <w:spacing w:after="0" w:line="283"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In December 2015, OrbiMed Advisors and OrbiMed GP, pursuant to their authority under the limited partnership agreement of OrbiMed Private Investments VI, LP (“</w:t>
      </w:r>
      <w:r>
        <w:rPr>
          <w:rFonts w:ascii="Arial" w:cs="Arial" w:eastAsia="Arial" w:hAnsi="Arial"/>
          <w:sz w:val="18"/>
          <w:szCs w:val="18"/>
          <w:u w:val="single" w:color="auto"/>
          <w:color w:val="auto"/>
        </w:rPr>
        <w:t>OPI VI</w:t>
      </w:r>
      <w:r>
        <w:rPr>
          <w:rFonts w:ascii="Arial" w:cs="Arial" w:eastAsia="Arial" w:hAnsi="Arial"/>
          <w:sz w:val="18"/>
          <w:szCs w:val="18"/>
          <w:color w:val="auto"/>
        </w:rPr>
        <w:t>”), as more particularly referred to in Item 6 below, caused OPI VI to purchase 3,582,000 shares of Series A-1 Preferred Stock of the Issuer. In connection with the IPO, shares of Series A-1 Preferred Stock were subsequently converted (on the closing of the IPO) into Shares on a 1-for-8.0338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273685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 w:name="page5"/>
    <w:bookmarkEnd w:id="4"/>
    <w:p>
      <w:pPr>
        <w:ind w:right="100" w:firstLine="648"/>
        <w:spacing w:after="0" w:line="286" w:lineRule="auto"/>
        <w:rPr>
          <w:sz w:val="20"/>
          <w:szCs w:val="20"/>
          <w:color w:val="auto"/>
        </w:rPr>
      </w:pPr>
      <w:r>
        <w:rPr>
          <w:rFonts w:ascii="Arial" w:cs="Arial" w:eastAsia="Arial" w:hAnsi="Arial"/>
          <w:sz w:val="17"/>
          <w:szCs w:val="17"/>
          <w:color w:val="auto"/>
        </w:rPr>
        <w:t>In January 2017, OrbiMed Advisors and OrbiMed GP, pursuant to their authority under the limited partnership agreement of OPI VI, as more particularly referred to in Item 6 below, caused OPI VI to purchase 5,970,000 shares of Series A-2 Preferred Stock of the Issuer. In connection with the IPO, shares of Series A-2 Preferred Stock were subsequently converted (on the closing of the IPO) into Shares on a 1-for-8.0338 basis.</w:t>
      </w:r>
    </w:p>
    <w:p>
      <w:pPr>
        <w:spacing w:after="0" w:line="220" w:lineRule="exact"/>
        <w:rPr>
          <w:sz w:val="20"/>
          <w:szCs w:val="20"/>
          <w:color w:val="auto"/>
        </w:rPr>
      </w:pPr>
    </w:p>
    <w:p>
      <w:pPr>
        <w:ind w:right="100" w:firstLine="648"/>
        <w:spacing w:after="0" w:line="286" w:lineRule="auto"/>
        <w:rPr>
          <w:sz w:val="20"/>
          <w:szCs w:val="20"/>
          <w:color w:val="auto"/>
        </w:rPr>
      </w:pPr>
      <w:r>
        <w:rPr>
          <w:rFonts w:ascii="Arial" w:cs="Arial" w:eastAsia="Arial" w:hAnsi="Arial"/>
          <w:sz w:val="17"/>
          <w:szCs w:val="17"/>
          <w:color w:val="auto"/>
        </w:rPr>
        <w:t>In April 2018, OrbiMed Advisors and OrbiMed GP, pursuant to their authority under the limited partnership agreement of OPI VI, as more particularly referred to in Item 6 below, caused OPI VI to purchase 5,861,455 shares of Series A-3 Preferred Stock of the Issuer. In connection with the IPO, shares of Series A-3 Preferred Stock were subsequently converted (on the closing of the IPO) into Shares on a 1-for-8.0338 basis.</w:t>
      </w:r>
    </w:p>
    <w:p>
      <w:pPr>
        <w:spacing w:after="0" w:line="220" w:lineRule="exact"/>
        <w:rPr>
          <w:sz w:val="20"/>
          <w:szCs w:val="20"/>
          <w:color w:val="auto"/>
        </w:rPr>
      </w:pPr>
    </w:p>
    <w:p>
      <w:pPr>
        <w:ind w:right="120" w:firstLine="648"/>
        <w:spacing w:after="0" w:line="286" w:lineRule="auto"/>
        <w:rPr>
          <w:sz w:val="20"/>
          <w:szCs w:val="20"/>
          <w:color w:val="auto"/>
        </w:rPr>
      </w:pPr>
      <w:r>
        <w:rPr>
          <w:rFonts w:ascii="Arial" w:cs="Arial" w:eastAsia="Arial" w:hAnsi="Arial"/>
          <w:sz w:val="17"/>
          <w:szCs w:val="17"/>
          <w:color w:val="auto"/>
        </w:rPr>
        <w:t>In November 2018, OrbiMed Advisors and OrbiMed GP, pursuant to their authority under the limited partnership agreement of OPI VI, as more particularly referred to in Item 6 below, caused OPI VI to purchase 3,554,466 shares of Series B-1 Preferred Stock of the Issuer. In connection with the IPO, shares of Series B-1 Preferred Stock were subsequently converted (on the closing of the IPO) into Shares on a 1-for-8.0338 basis.</w:t>
      </w:r>
    </w:p>
    <w:p>
      <w:pPr>
        <w:spacing w:after="0" w:line="220"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On and prior to the close of May 13, 2019, OrbiMed Advisors and OrbiMed GP, pursuant to their authority under the limited partnership agreement of OPI VI, as more particularly referred to in Item 6 below, caused OPI VI to purchase 350,000 Shares in the IPO.</w:t>
      </w:r>
    </w:p>
    <w:p>
      <w:pPr>
        <w:spacing w:after="0" w:line="22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source of funds for such purchases was the working capital of OPI VI.</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As a result of the transactions described in this Item 3, OrbiMed Advisors and OrbiMed GP may collectively be deemed to be the beneficial owners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of approximately 8.4% of the outstanding Shares. OrbiMed GP, as the general partner of OPI VI, may be deemed to be the beneficial owner of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8.4% of the outstanding Shares. OrbiMed Advisors, as the managing member of OrbiMed GP, may be deemed to be the beneficial owner of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8.4% of the outstanding Shares. None of the Reporting Persons have acquired or disposed of any additional Shares since May 13, 2019.</w:t>
      </w: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Purpose of Transaction</w:t>
      </w:r>
    </w:p>
    <w:p>
      <w:pPr>
        <w:spacing w:after="0" w:line="22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This statement relates to the acquisition of Shares by the Reporting Persons. The Shares acquired by the Reporting Persons were acquired for the purpose of making an investment in the Issuer and not with the intention of acquiring control of the Issuer’s business on behalf of the Reporting Persons’ respective advisory clients.</w:t>
      </w:r>
    </w:p>
    <w:p>
      <w:pPr>
        <w:spacing w:after="0" w:line="181"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The Reporting Persons from time to time intend to review their investment in the Issuer on the basis of various factors, including the Issuer’s business, financial condition, results of operations and prospects, general economic and industry conditions, the securities markets in general and those for the Issuer’s Shares in particular, as well as other developments and other investment opportunities. Based upon such review, the Reporting Persons will take such actions in the future as the Reporting Persons may deem appropriate in light of the circumstances existing from time to time. If the Reporting Persons believe that further investment in the Issuer is attractive, whether because of the market price of Shares or otherwise, they may acquire Shares or other securities of the Issuer either in the open market or in privately negotiated transactions. Similarly, depending on market and other factors, the Reporting Persons may determine to dispose of some or all of the Shares currently owned by the Reporting Persons or otherwise acquired by the Reporting Persons either in the open market or in privately negotiated transactions.</w:t>
      </w:r>
    </w:p>
    <w:p>
      <w:pPr>
        <w:spacing w:after="0" w:line="179"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Except as set forth in this Schedule 13D, the Reporting Persons have not formulated any plans or proposals which relate to or would result in: (a) the acquisition by any person of additional securities of the Issuer or the disposition of securities of the Issuer, (b) an extraordinary corporate transaction, such as a merger, reorganization or liquidation, involving the Issuer or any of its subsidiaries, (c) a sale or transfer of a material amount of the assets of the Issuer or any of its subsidiaries, (d) any change in the present Board of Directors or management of the Issuer, including any plans or proposals to change the number or term of directors or to fill any existing vacancies on the board, (e) any material change in the Issuer’s capitalization or dividend policy of the Issuer, (f) any other material change in the Issuer’s business or corporate structure, (g) any change in the Issuer’s charter or bylaws or other instrument corresponding thereto or other action which may impede the acquisition of control of the Issuer by any person, (h) causing a class of the Issuer’s securities to be deregistered or delisted from a national securities exchange or to cease to be authorized to be quoted in an inter-dealer quotation system of a registered national securities association, (i) a class of equity securities of the Issuer becoming eligible for termination of registration pursuant to Section 12(g)(4) of the Act or (j) any action similar to any of those enumerated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233680</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Item 5. Interest in Securities of the Issuer</w:t>
      </w:r>
    </w:p>
    <w:p>
      <w:pPr>
        <w:spacing w:after="0" w:line="229" w:lineRule="exact"/>
        <w:rPr>
          <w:sz w:val="20"/>
          <w:szCs w:val="20"/>
          <w:color w:val="auto"/>
        </w:rPr>
      </w:pPr>
    </w:p>
    <w:p>
      <w:pPr>
        <w:jc w:val="both"/>
        <w:ind w:firstLine="705"/>
        <w:spacing w:after="0" w:line="259" w:lineRule="auto"/>
        <w:tabs>
          <w:tab w:leader="none" w:pos="945" w:val="left"/>
        </w:tabs>
        <w:numPr>
          <w:ilvl w:val="0"/>
          <w:numId w:val="9"/>
        </w:numPr>
        <w:rPr>
          <w:rFonts w:ascii="Arial" w:cs="Arial" w:eastAsia="Arial" w:hAnsi="Arial"/>
          <w:sz w:val="18"/>
          <w:szCs w:val="18"/>
          <w:color w:val="auto"/>
        </w:rPr>
      </w:pPr>
      <w:r>
        <w:rPr>
          <w:rFonts w:ascii="Arial" w:cs="Arial" w:eastAsia="Arial" w:hAnsi="Arial"/>
          <w:sz w:val="18"/>
          <w:szCs w:val="18"/>
          <w:color w:val="auto"/>
        </w:rPr>
        <w:t>— (b) The following disclosure is based upon 21,935,381 outstanding Shares of the Issuer, as set forth in the Issuer’s Rule 424(b)(4) Prospectus filed with the Securities and Exchange Commission on April 18, 2019 and giving effect to the additional 750,000 shares of common stock issued and sold by the Issuer to the underwriters pursuant to the underwriters’ option (according to the Form 8-K as filed by the issuer with the Securities and Exchange Commission on May 13, 2019)..</w:t>
      </w:r>
    </w:p>
    <w:p>
      <w:pPr>
        <w:spacing w:after="0" w:line="241"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As of the date of this filing, OPI VI, a limited partnership organized under the laws of Delaware, holds 2,711,013 Shares constituting approximately 8.4% of the issued and outstanding Shares. OrbiMed GP is the sole general partner of OPI VI, pursuant to the terms of the limited partnership agreement of OPI VI, and OrbiMed Advisors is the sole managing member of OrbiMed GP, pursuant to the terms of the limited liability company agreement of OrbiMed GP. As a result, OrbiMed Advisors and OrbiMed GP share power to direct the vote and disposition of the Shares held by OPI VI and may be deemed directly or indirectly, including by reason of their mutual affiliation, to be the beneficial owners of the Shares held by OPI VI. Advisors exercises this investment and voting power through a management committee comprised of Carl L. Gordon, Sven H. Borho and Jonathan T. Silverstein, each of whom disclaims beneficial ownership of the Shares held by OPI VI.</w:t>
      </w:r>
    </w:p>
    <w:p>
      <w:pPr>
        <w:spacing w:after="0" w:line="23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In addition, Orbimed Advisors and Orbimed GP, pursuant to their authority under the limited partnership agreements of OPI VI, caused OPI VI to enter into the agreements referred to in Item 6 below.</w:t>
      </w:r>
    </w:p>
    <w:p>
      <w:pPr>
        <w:spacing w:after="0" w:line="170" w:lineRule="exact"/>
        <w:rPr>
          <w:sz w:val="20"/>
          <w:szCs w:val="20"/>
          <w:color w:val="auto"/>
        </w:rPr>
      </w:pPr>
    </w:p>
    <w:p>
      <w:pPr>
        <w:ind w:left="900" w:hanging="244"/>
        <w:spacing w:after="0"/>
        <w:tabs>
          <w:tab w:leader="none" w:pos="9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Except as disclosed in Item 3, the Reporting Persons have not effected any transactions during the past sixty (60) days in any Shares.</w:t>
      </w:r>
    </w:p>
    <w:p>
      <w:pPr>
        <w:spacing w:after="0" w:line="236" w:lineRule="exact"/>
        <w:rPr>
          <w:rFonts w:ascii="Arial" w:cs="Arial" w:eastAsia="Arial" w:hAnsi="Arial"/>
          <w:sz w:val="17"/>
          <w:szCs w:val="17"/>
          <w:color w:val="auto"/>
        </w:rPr>
      </w:pPr>
    </w:p>
    <w:p>
      <w:pPr>
        <w:ind w:left="920" w:hanging="264"/>
        <w:spacing w:after="0"/>
        <w:tabs>
          <w:tab w:leader="none" w:pos="9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25" w:lineRule="exact"/>
        <w:rPr>
          <w:rFonts w:ascii="Arial" w:cs="Arial" w:eastAsia="Arial" w:hAnsi="Arial"/>
          <w:sz w:val="18"/>
          <w:szCs w:val="18"/>
          <w:color w:val="auto"/>
        </w:rPr>
      </w:pPr>
    </w:p>
    <w:p>
      <w:pPr>
        <w:ind w:left="900" w:hanging="244"/>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Contracts, Arrangements, Understandings or Relationships with Respect to Securities of the Issuer</w:t>
      </w:r>
    </w:p>
    <w:p>
      <w:pPr>
        <w:spacing w:after="0" w:line="22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addition to the relationships between the Reporting Persons described in Items 2 and 5 above, OrbiMed GP is the sole general partner of OPI VI, pursuant to the terms of the limited partnership agreement of OPI VI. Pursuant to this agreement and relationship, OrbiMed GP has discretionary investment management authority with respect to the assets of OPI VI. Such authority includes the power to vote and otherwise dispose of securities held by OPI VI. The number of outstanding Shares of the Issuer attributable to OPI VI is 2,711,013. OrbiMed GP, pursuant to its authority under the limited partnership agreement of OPI VI, may be considered to hold indirectly 2,711,013 Shares.</w:t>
      </w:r>
    </w:p>
    <w:p>
      <w:pPr>
        <w:spacing w:after="0" w:line="18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OrbiMed Advisors is the sole managing member of OrbiMed GP, pursuant to the terms of the limited liability company agreement of OrbiMed GP. Pursuant to these agreements and relationships, OrbiMed Advisors and OrbiMed GP have discretionary investment management authority with respect to the assets of OPI VI. Such authority includes the power of OrbiMed GP to vote and otherwise dispose of securities held by OPI VI. The number of outstanding Shares attributable to OPI VI is 2,711,013 Shares. OrbiMed Advisors, pursuant to its authority under the terms of the limited liability company agreement of OrbiMed GP, may also be considered to hold indirectly 2,711,013 Shares.</w:t>
      </w:r>
    </w:p>
    <w:p>
      <w:pPr>
        <w:spacing w:after="0" w:line="18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Chau Quang Khuong (“</w:t>
      </w:r>
      <w:r>
        <w:rPr>
          <w:rFonts w:ascii="Arial" w:cs="Arial" w:eastAsia="Arial" w:hAnsi="Arial"/>
          <w:sz w:val="17"/>
          <w:szCs w:val="17"/>
          <w:u w:val="single" w:color="auto"/>
          <w:color w:val="auto"/>
        </w:rPr>
        <w:t>Khuong</w:t>
      </w:r>
      <w:r>
        <w:rPr>
          <w:rFonts w:ascii="Arial" w:cs="Arial" w:eastAsia="Arial" w:hAnsi="Arial"/>
          <w:sz w:val="17"/>
          <w:szCs w:val="17"/>
          <w:color w:val="auto"/>
        </w:rPr>
        <w:t>”), an employee member of OrbiMed Advisors, is a member of the Board of Directors of the Issuer and, accordingly, the Reporting Persons may have the ability to affect and influence control of the Issuer. From time to time, Khuong may receive stock options or other awards of equity-based compensation pursuant to the Issuer’s compensation arrangements for non-employee directors. Pursuant to an agreement with the Reporting Persons, Khuong is obligated to transfer any securities issued under any such stock options or other awards, or the economic benefit thereof, to the Reporting Persons, which will in turn ensure that such securities or economic benefits are provided to OPI VI.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264160</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i w:val="1"/>
          <w:iCs w:val="1"/>
          <w:color w:val="auto"/>
        </w:rPr>
        <w:t>Investor Rights Agreement</w:t>
      </w:r>
    </w:p>
    <w:p>
      <w:pPr>
        <w:spacing w:after="0" w:line="22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In addition, OPI VI and certain other stockholders of the Issuer entered into an amended and restated investor rights with the Issuer (the “</w:t>
      </w:r>
      <w:r>
        <w:rPr>
          <w:rFonts w:ascii="Arial" w:cs="Arial" w:eastAsia="Arial" w:hAnsi="Arial"/>
          <w:sz w:val="18"/>
          <w:szCs w:val="18"/>
          <w:u w:val="single" w:color="auto"/>
          <w:color w:val="auto"/>
        </w:rPr>
        <w:t>Investor Rights</w:t>
      </w:r>
      <w:r>
        <w:rPr>
          <w:rFonts w:ascii="Arial" w:cs="Arial" w:eastAsia="Arial" w:hAnsi="Arial"/>
          <w:sz w:val="18"/>
          <w:szCs w:val="18"/>
          <w:color w:val="auto"/>
        </w:rPr>
        <w:t xml:space="preserve"> </w:t>
      </w:r>
      <w:r>
        <w:rPr>
          <w:rFonts w:ascii="Arial" w:cs="Arial" w:eastAsia="Arial" w:hAnsi="Arial"/>
          <w:sz w:val="18"/>
          <w:szCs w:val="18"/>
          <w:u w:val="single" w:color="auto"/>
          <w:color w:val="auto"/>
        </w:rPr>
        <w:t>Agreement</w:t>
      </w:r>
      <w:r>
        <w:rPr>
          <w:rFonts w:ascii="Arial" w:cs="Arial" w:eastAsia="Arial" w:hAnsi="Arial"/>
          <w:sz w:val="18"/>
          <w:szCs w:val="18"/>
          <w:color w:val="auto"/>
        </w:rPr>
        <w:t>”), dated as of November 5, 2018. Pursuant to the Investors Rights Agreement and subject to the terms and conditions therein, the parties agreed that: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Registration Rights</w:t>
      </w:r>
    </w:p>
    <w:p>
      <w:pPr>
        <w:spacing w:after="0" w:line="22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Following the closing of the IPO, the holders of a certain number of Shares, or their transferees, will be entitled to the registration rights set forth below with respect to registration of the resale of such shares under the Securities Act of 1933, as amended (the “</w:t>
      </w:r>
      <w:r>
        <w:rPr>
          <w:rFonts w:ascii="Arial" w:cs="Arial" w:eastAsia="Arial" w:hAnsi="Arial"/>
          <w:sz w:val="18"/>
          <w:szCs w:val="18"/>
          <w:u w:val="single" w:color="auto"/>
          <w:color w:val="auto"/>
        </w:rPr>
        <w:t>Securities Act</w:t>
      </w:r>
      <w:r>
        <w:rPr>
          <w:rFonts w:ascii="Arial" w:cs="Arial" w:eastAsia="Arial" w:hAnsi="Arial"/>
          <w:sz w:val="18"/>
          <w:szCs w:val="18"/>
          <w:color w:val="auto"/>
        </w:rPr>
        <w:t>”) pursuant to the Investors Rights Agreement.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Demand Registration Rights</w:t>
      </w:r>
    </w:p>
    <w:p>
      <w:pPr>
        <w:spacing w:after="0" w:line="279" w:lineRule="exact"/>
        <w:rPr>
          <w:sz w:val="20"/>
          <w:szCs w:val="20"/>
          <w:color w:val="auto"/>
        </w:rPr>
      </w:pPr>
    </w:p>
    <w:p>
      <w:pPr>
        <w:ind w:right="20" w:firstLine="324"/>
        <w:spacing w:after="0" w:line="302" w:lineRule="auto"/>
        <w:rPr>
          <w:sz w:val="20"/>
          <w:szCs w:val="20"/>
          <w:color w:val="auto"/>
        </w:rPr>
      </w:pPr>
      <w:r>
        <w:rPr>
          <w:rFonts w:ascii="Arial" w:cs="Arial" w:eastAsia="Arial" w:hAnsi="Arial"/>
          <w:sz w:val="16"/>
          <w:szCs w:val="16"/>
          <w:color w:val="auto"/>
        </w:rPr>
        <w:t>At any time beginning or six months following the date of the underwriting agreement of the IPO, the holders of at least 20% of the registrable securities then outstanding of the Issuer may make a written request that the Issuer register some or all of their registrable securities, subject to certain specified conditions and exceptions. The Issuer is required to use commercially reasonable efforts to effect the registration and will pay all registration expenses, other than underwriting discounts and commissions, related to any demand registration. The Issuer is not obligated to effect more than two of these registrations.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Piggyback Registration Rights</w:t>
      </w:r>
    </w:p>
    <w:p>
      <w:pPr>
        <w:spacing w:after="0" w:line="279"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Whenever the Issuer proposes to file a registration statement under the Securities Act, OPI VI will be entitled to notice of the registration and have the right to include its shares in the registration.</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Form S-3 Registration Rights</w:t>
      </w:r>
    </w:p>
    <w:p>
      <w:pPr>
        <w:spacing w:after="0" w:line="279"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Pursuant to the Investor Rights Agreement, at any time after the Issuer is qualified to file a registration statement on Form S-3 under the Securities Act, and subject to limitations and conditions specified in the Investors Rights Agreement, a holder may make a written request that the Issuer prepare and file a registration statement on Form S-3 covering their shares, so long as the aggregate price to the public equal or exceeds $1,000,000. The Issuer is not obligated to effect more than two of these Form S-3 registrations in any 12-month period.</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Lock-Up Agreement</w:t>
      </w:r>
    </w:p>
    <w:p>
      <w:pPr>
        <w:spacing w:after="0" w:line="225" w:lineRule="exact"/>
        <w:rPr>
          <w:sz w:val="20"/>
          <w:szCs w:val="20"/>
          <w:color w:val="auto"/>
        </w:rPr>
      </w:pPr>
    </w:p>
    <w:p>
      <w:pPr>
        <w:ind w:firstLine="360"/>
        <w:spacing w:after="0" w:line="291" w:lineRule="auto"/>
        <w:rPr>
          <w:sz w:val="20"/>
          <w:szCs w:val="20"/>
          <w:color w:val="auto"/>
        </w:rPr>
      </w:pPr>
      <w:r>
        <w:rPr>
          <w:rFonts w:ascii="Arial" w:cs="Arial" w:eastAsia="Arial" w:hAnsi="Arial"/>
          <w:sz w:val="16"/>
          <w:szCs w:val="16"/>
          <w:color w:val="auto"/>
        </w:rPr>
        <w:t>In connection with the IPO, OPI VI and certain other stockholders entered into Lock-Up Agreements with the Issuer’s underwriters. Pursuant to its Lock-Up Agreement, OPI VI agreed that it will not, during the period ending 180 days after the date of the IPO (the “</w:t>
      </w:r>
      <w:r>
        <w:rPr>
          <w:rFonts w:ascii="Arial" w:cs="Arial" w:eastAsia="Arial" w:hAnsi="Arial"/>
          <w:sz w:val="16"/>
          <w:szCs w:val="16"/>
          <w:u w:val="single" w:color="auto"/>
          <w:color w:val="auto"/>
        </w:rPr>
        <w:t>Lock-Up Period</w:t>
      </w:r>
      <w:r>
        <w:rPr>
          <w:rFonts w:ascii="Arial" w:cs="Arial" w:eastAsia="Arial" w:hAnsi="Arial"/>
          <w:sz w:val="16"/>
          <w:szCs w:val="16"/>
          <w:color w:val="auto"/>
        </w:rPr>
        <w:t>”), directly or indirectly</w:t>
      </w:r>
    </w:p>
    <w:p>
      <w:pPr>
        <w:jc w:val="both"/>
        <w:ind w:firstLine="8"/>
        <w:spacing w:after="0" w:line="255" w:lineRule="auto"/>
        <w:tabs>
          <w:tab w:leader="none" w:pos="264" w:val="left"/>
        </w:tabs>
        <w:numPr>
          <w:ilvl w:val="0"/>
          <w:numId w:val="11"/>
        </w:numPr>
        <w:rPr>
          <w:rFonts w:ascii="Arial" w:cs="Arial" w:eastAsia="Arial" w:hAnsi="Arial"/>
          <w:sz w:val="18"/>
          <w:szCs w:val="18"/>
          <w:color w:val="auto"/>
        </w:rPr>
      </w:pPr>
      <w:r>
        <w:rPr>
          <w:rFonts w:ascii="Arial" w:cs="Arial" w:eastAsia="Arial" w:hAnsi="Arial"/>
          <w:sz w:val="18"/>
          <w:szCs w:val="18"/>
          <w:color w:val="auto"/>
        </w:rPr>
        <w:t>sell, assign, transfer, pledge, contract to sell, or otherwise dispose of, any Shares or securities convertible into or exercisable or exchangeable for Shares with respect to which OPI VI has or acquires the power of disposition or (2) enter into any swap or other agreement that transfers, in whole or in part, the economic risk of ownership of any such Shares.</w:t>
      </w:r>
    </w:p>
    <w:p>
      <w:pPr>
        <w:spacing w:after="0" w:line="244"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After the Lock-Up Period expires, the Reporting Persons’ Shares will be eligible for sale in the public market, subject to any applicable limitations under Rule 144 under the Securities Act, and other applicable U.S. securities laws.</w:t>
      </w:r>
    </w:p>
    <w:p>
      <w:pPr>
        <w:spacing w:after="0" w:line="170"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The foregoing description of the Investor Rights Agreement and the Lock-Up Agreement does not purport to be complete and is qualified in its entirety by reference to the full text of the Investor Rights Agreement and Lock-Up Agreement, which is filed as Exhibits 2 and 3 and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269875</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Item 7. Material to Be Filed as Exhibits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292100</wp:posOffset>
            </wp:positionV>
            <wp:extent cx="7246620" cy="9093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90932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ind w:left="60"/>
        <w:spacing w:after="0"/>
        <w:tabs>
          <w:tab w:leader="none" w:pos="1200" w:val="left"/>
        </w:tabs>
        <w:rPr>
          <w:sz w:val="20"/>
          <w:szCs w:val="20"/>
          <w:color w:val="auto"/>
        </w:rPr>
      </w:pPr>
      <w:r>
        <w:rPr>
          <w:rFonts w:ascii="Arial" w:cs="Arial" w:eastAsia="Arial" w:hAnsi="Arial"/>
          <w:sz w:val="18"/>
          <w:szCs w:val="18"/>
          <w:b w:val="1"/>
          <w:bCs w:val="1"/>
          <w:color w:val="auto"/>
        </w:rPr>
        <w:t>Exhibit</w:t>
      </w:r>
      <w:r>
        <w:rPr>
          <w:sz w:val="20"/>
          <w:szCs w:val="20"/>
          <w:color w:val="auto"/>
        </w:rPr>
        <w:tab/>
      </w:r>
      <w:r>
        <w:rPr>
          <w:rFonts w:ascii="Arial" w:cs="Arial" w:eastAsia="Arial" w:hAnsi="Arial"/>
          <w:sz w:val="18"/>
          <w:szCs w:val="18"/>
          <w:b w:val="1"/>
          <w:bCs w:val="1"/>
          <w:color w:val="auto"/>
        </w:rPr>
        <w:t>Description</w:t>
      </w:r>
    </w:p>
    <w:p>
      <w:pPr>
        <w:spacing w:after="0" w:line="94" w:lineRule="exact"/>
        <w:rPr>
          <w:sz w:val="20"/>
          <w:szCs w:val="20"/>
          <w:color w:val="auto"/>
        </w:rPr>
      </w:pPr>
    </w:p>
    <w:p>
      <w:pPr>
        <w:ind w:left="1220" w:hanging="1158"/>
        <w:spacing w:after="0"/>
        <w:tabs>
          <w:tab w:leader="none" w:pos="12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Joint Filing Agreement among OrbiMed Advisors LLC, OrbiMed Capital LLC and OrbiMed Capital GP VI LLC.</w:t>
      </w:r>
    </w:p>
    <w:p>
      <w:pPr>
        <w:spacing w:after="0" w:line="90" w:lineRule="exact"/>
        <w:rPr>
          <w:rFonts w:ascii="Arial" w:cs="Arial" w:eastAsia="Arial" w:hAnsi="Arial"/>
          <w:sz w:val="18"/>
          <w:szCs w:val="18"/>
          <w:color w:val="auto"/>
        </w:rPr>
      </w:pPr>
    </w:p>
    <w:p>
      <w:pPr>
        <w:ind w:left="1220" w:hanging="1158"/>
        <w:spacing w:after="0" w:line="308" w:lineRule="auto"/>
        <w:tabs>
          <w:tab w:leader="none" w:pos="12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Investor Rights Agreement by and among the Issuer and each of the persons listed on Schedule A thereto, dated as of November 5, 2018 (incorporated by reference to Exhibit 4.1 to the Issuer’s Registration Statement on Form S-1 (SEC 333-230837).</w:t>
      </w:r>
    </w:p>
    <w:p>
      <w:pPr>
        <w:spacing w:after="0" w:line="11" w:lineRule="exact"/>
        <w:rPr>
          <w:rFonts w:ascii="Arial" w:cs="Arial" w:eastAsia="Arial" w:hAnsi="Arial"/>
          <w:sz w:val="17"/>
          <w:szCs w:val="17"/>
          <w:color w:val="auto"/>
        </w:rPr>
      </w:pPr>
    </w:p>
    <w:p>
      <w:pPr>
        <w:ind w:left="1220" w:hanging="1158"/>
        <w:spacing w:after="0"/>
        <w:tabs>
          <w:tab w:leader="none" w:pos="12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Form of Lock-Up Agreement filed as Exhibit A to Exhibit 1.1 to the Issuer’s Registration Statement on Form S-1 (SEC 333-230837).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518160</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040"/>
          </w:cols>
          <w:pgMar w:left="240" w:top="121" w:right="61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r>
              <w:rPr>
                <w:rFonts w:ascii="Arial" w:cs="Arial" w:eastAsia="Arial" w:hAnsi="Arial"/>
                <w:sz w:val="18"/>
                <w:szCs w:val="18"/>
                <w:color w:val="auto"/>
              </w:rPr>
              <w:t>Dated: May 20, 2019</w:t>
            </w:r>
          </w:p>
        </w:tc>
        <w:tc>
          <w:tcPr>
            <w:tcW w:w="6660" w:type="dxa"/>
            <w:vAlign w:val="bottom"/>
            <w:gridSpan w:val="2"/>
          </w:tcPr>
          <w:p>
            <w:pPr>
              <w:ind w:left="2100"/>
              <w:spacing w:after="0"/>
              <w:rPr>
                <w:sz w:val="20"/>
                <w:szCs w:val="20"/>
                <w:color w:val="auto"/>
              </w:rPr>
            </w:pPr>
            <w:r>
              <w:rPr>
                <w:rFonts w:ascii="Arial" w:cs="Arial" w:eastAsia="Arial" w:hAnsi="Arial"/>
                <w:sz w:val="18"/>
                <w:szCs w:val="18"/>
                <w:color w:val="auto"/>
              </w:rPr>
              <w:t>ORBIMED ADVISORS LLC</w:t>
            </w:r>
          </w:p>
        </w:tc>
        <w:tc>
          <w:tcPr>
            <w:tcW w:w="1140" w:type="dxa"/>
            <w:vAlign w:val="bottom"/>
          </w:tcPr>
          <w:p>
            <w:pPr>
              <w:spacing w:after="0"/>
              <w:rPr>
                <w:sz w:val="20"/>
                <w:szCs w:val="20"/>
                <w:color w:val="auto"/>
              </w:rPr>
            </w:pPr>
          </w:p>
        </w:tc>
      </w:tr>
      <w:tr>
        <w:trPr>
          <w:trHeight w:val="669"/>
        </w:trPr>
        <w:tc>
          <w:tcPr>
            <w:tcW w:w="3620" w:type="dxa"/>
            <w:vAlign w:val="bottom"/>
          </w:tcPr>
          <w:p>
            <w:pPr>
              <w:spacing w:after="0"/>
              <w:rPr>
                <w:sz w:val="24"/>
                <w:szCs w:val="24"/>
                <w:color w:val="auto"/>
              </w:rPr>
            </w:pPr>
          </w:p>
        </w:tc>
        <w:tc>
          <w:tcPr>
            <w:tcW w:w="2780" w:type="dxa"/>
            <w:vAlign w:val="bottom"/>
          </w:tcPr>
          <w:p>
            <w:pPr>
              <w:ind w:left="2100"/>
              <w:spacing w:after="0"/>
              <w:rPr>
                <w:sz w:val="20"/>
                <w:szCs w:val="20"/>
                <w:color w:val="auto"/>
              </w:rPr>
            </w:pPr>
            <w:r>
              <w:rPr>
                <w:rFonts w:ascii="Arial" w:cs="Arial" w:eastAsia="Arial" w:hAnsi="Arial"/>
                <w:sz w:val="18"/>
                <w:szCs w:val="18"/>
                <w:color w:val="auto"/>
              </w:rPr>
              <w:t>By:</w:t>
            </w:r>
          </w:p>
        </w:tc>
        <w:tc>
          <w:tcPr>
            <w:tcW w:w="3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Jonathan Silverstein</w:t>
            </w:r>
          </w:p>
        </w:tc>
        <w:tc>
          <w:tcPr>
            <w:tcW w:w="1140" w:type="dxa"/>
            <w:vAlign w:val="bottom"/>
          </w:tcPr>
          <w:p>
            <w:pPr>
              <w:spacing w:after="0"/>
              <w:rPr>
                <w:sz w:val="24"/>
                <w:szCs w:val="24"/>
                <w:color w:val="auto"/>
              </w:rPr>
            </w:pPr>
          </w:p>
        </w:tc>
      </w:tr>
      <w:tr>
        <w:trPr>
          <w:trHeight w:val="202"/>
        </w:trPr>
        <w:tc>
          <w:tcPr>
            <w:tcW w:w="3620" w:type="dxa"/>
            <w:vAlign w:val="bottom"/>
          </w:tcPr>
          <w:p>
            <w:pPr>
              <w:spacing w:after="0"/>
              <w:rPr>
                <w:sz w:val="17"/>
                <w:szCs w:val="17"/>
                <w:color w:val="auto"/>
              </w:rPr>
            </w:pPr>
          </w:p>
        </w:tc>
        <w:tc>
          <w:tcPr>
            <w:tcW w:w="2780" w:type="dxa"/>
            <w:vAlign w:val="bottom"/>
          </w:tcPr>
          <w:p>
            <w:pPr>
              <w:spacing w:after="0"/>
              <w:rPr>
                <w:sz w:val="17"/>
                <w:szCs w:val="17"/>
                <w:color w:val="auto"/>
              </w:rPr>
            </w:pPr>
          </w:p>
        </w:tc>
        <w:tc>
          <w:tcPr>
            <w:tcW w:w="3880" w:type="dxa"/>
            <w:vAlign w:val="bottom"/>
          </w:tcPr>
          <w:p>
            <w:pPr>
              <w:spacing w:after="0" w:line="201" w:lineRule="exact"/>
              <w:rPr>
                <w:sz w:val="20"/>
                <w:szCs w:val="20"/>
                <w:color w:val="auto"/>
              </w:rPr>
            </w:pPr>
            <w:r>
              <w:rPr>
                <w:rFonts w:ascii="Arial" w:cs="Arial" w:eastAsia="Arial" w:hAnsi="Arial"/>
                <w:sz w:val="18"/>
                <w:szCs w:val="18"/>
                <w:color w:val="auto"/>
              </w:rPr>
              <w:t>Name: Jonathan Silverstein</w:t>
            </w:r>
          </w:p>
        </w:tc>
        <w:tc>
          <w:tcPr>
            <w:tcW w:w="1140" w:type="dxa"/>
            <w:vAlign w:val="bottom"/>
          </w:tcPr>
          <w:p>
            <w:pPr>
              <w:spacing w:after="0"/>
              <w:rPr>
                <w:sz w:val="17"/>
                <w:szCs w:val="17"/>
                <w:color w:val="auto"/>
              </w:rPr>
            </w:pPr>
          </w:p>
        </w:tc>
      </w:tr>
      <w:tr>
        <w:trPr>
          <w:trHeight w:val="230"/>
        </w:trPr>
        <w:tc>
          <w:tcPr>
            <w:tcW w:w="362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Title: Member of OrbiMed Advisors LLC</w:t>
            </w:r>
          </w:p>
        </w:tc>
        <w:tc>
          <w:tcPr>
            <w:tcW w:w="1140" w:type="dxa"/>
            <w:vAlign w:val="bottom"/>
          </w:tcPr>
          <w:p>
            <w:pPr>
              <w:spacing w:after="0"/>
              <w:rPr>
                <w:sz w:val="20"/>
                <w:szCs w:val="20"/>
                <w:color w:val="auto"/>
              </w:rPr>
            </w:pPr>
          </w:p>
        </w:tc>
      </w:tr>
      <w:tr>
        <w:trPr>
          <w:trHeight w:val="432"/>
        </w:trPr>
        <w:tc>
          <w:tcPr>
            <w:tcW w:w="3620" w:type="dxa"/>
            <w:vAlign w:val="bottom"/>
          </w:tcPr>
          <w:p>
            <w:pPr>
              <w:spacing w:after="0"/>
              <w:rPr>
                <w:sz w:val="24"/>
                <w:szCs w:val="24"/>
                <w:color w:val="auto"/>
              </w:rPr>
            </w:pPr>
          </w:p>
        </w:tc>
        <w:tc>
          <w:tcPr>
            <w:tcW w:w="6660" w:type="dxa"/>
            <w:vAlign w:val="bottom"/>
            <w:gridSpan w:val="2"/>
          </w:tcPr>
          <w:p>
            <w:pPr>
              <w:ind w:left="2100"/>
              <w:spacing w:after="0"/>
              <w:rPr>
                <w:sz w:val="20"/>
                <w:szCs w:val="20"/>
                <w:color w:val="auto"/>
              </w:rPr>
            </w:pPr>
            <w:r>
              <w:rPr>
                <w:rFonts w:ascii="Arial" w:cs="Arial" w:eastAsia="Arial" w:hAnsi="Arial"/>
                <w:sz w:val="18"/>
                <w:szCs w:val="18"/>
                <w:color w:val="auto"/>
              </w:rPr>
              <w:t>ORBIMED CAPITAL GP VI LLC</w:t>
            </w:r>
          </w:p>
        </w:tc>
        <w:tc>
          <w:tcPr>
            <w:tcW w:w="1140" w:type="dxa"/>
            <w:vAlign w:val="bottom"/>
          </w:tcPr>
          <w:p>
            <w:pPr>
              <w:spacing w:after="0"/>
              <w:rPr>
                <w:sz w:val="24"/>
                <w:szCs w:val="24"/>
                <w:color w:val="auto"/>
              </w:rPr>
            </w:pPr>
          </w:p>
        </w:tc>
      </w:tr>
      <w:tr>
        <w:trPr>
          <w:trHeight w:val="432"/>
        </w:trPr>
        <w:tc>
          <w:tcPr>
            <w:tcW w:w="3620" w:type="dxa"/>
            <w:vAlign w:val="bottom"/>
          </w:tcPr>
          <w:p>
            <w:pPr>
              <w:spacing w:after="0"/>
              <w:rPr>
                <w:sz w:val="24"/>
                <w:szCs w:val="24"/>
                <w:color w:val="auto"/>
              </w:rPr>
            </w:pPr>
          </w:p>
        </w:tc>
        <w:tc>
          <w:tcPr>
            <w:tcW w:w="2780" w:type="dxa"/>
            <w:vAlign w:val="bottom"/>
          </w:tcPr>
          <w:p>
            <w:pPr>
              <w:ind w:left="2100"/>
              <w:spacing w:after="0"/>
              <w:rPr>
                <w:sz w:val="20"/>
                <w:szCs w:val="20"/>
                <w:color w:val="auto"/>
              </w:rPr>
            </w:pPr>
            <w:r>
              <w:rPr>
                <w:rFonts w:ascii="Arial" w:cs="Arial" w:eastAsia="Arial" w:hAnsi="Arial"/>
                <w:sz w:val="18"/>
                <w:szCs w:val="18"/>
                <w:color w:val="auto"/>
              </w:rPr>
              <w:t>By:</w:t>
            </w:r>
          </w:p>
        </w:tc>
        <w:tc>
          <w:tcPr>
            <w:tcW w:w="3880" w:type="dxa"/>
            <w:vAlign w:val="bottom"/>
          </w:tcPr>
          <w:p>
            <w:pPr>
              <w:spacing w:after="0"/>
              <w:rPr>
                <w:sz w:val="20"/>
                <w:szCs w:val="20"/>
                <w:color w:val="auto"/>
              </w:rPr>
            </w:pPr>
            <w:r>
              <w:rPr>
                <w:rFonts w:ascii="Arial" w:cs="Arial" w:eastAsia="Arial" w:hAnsi="Arial"/>
                <w:sz w:val="18"/>
                <w:szCs w:val="18"/>
                <w:color w:val="auto"/>
                <w:w w:val="95"/>
              </w:rPr>
              <w:t>ORBIMED ADVISORS LLC, its managing member</w:t>
            </w:r>
          </w:p>
        </w:tc>
        <w:tc>
          <w:tcPr>
            <w:tcW w:w="1140" w:type="dxa"/>
            <w:vAlign w:val="bottom"/>
          </w:tcPr>
          <w:p>
            <w:pPr>
              <w:spacing w:after="0"/>
              <w:rPr>
                <w:sz w:val="24"/>
                <w:szCs w:val="24"/>
                <w:color w:val="auto"/>
              </w:rPr>
            </w:pPr>
          </w:p>
        </w:tc>
      </w:tr>
      <w:tr>
        <w:trPr>
          <w:trHeight w:val="432"/>
        </w:trPr>
        <w:tc>
          <w:tcPr>
            <w:tcW w:w="362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Member of OrbiMed Advisors LLC</w:t>
            </w:r>
          </w:p>
        </w:tc>
        <w:tc>
          <w:tcPr>
            <w:tcW w:w="1140" w:type="dxa"/>
            <w:vAlign w:val="bottom"/>
          </w:tcPr>
          <w:p>
            <w:pPr>
              <w:spacing w:after="0"/>
              <w:rPr>
                <w:sz w:val="24"/>
                <w:szCs w:val="24"/>
                <w:color w:val="auto"/>
              </w:rPr>
            </w:pPr>
          </w:p>
        </w:tc>
      </w:tr>
      <w:tr>
        <w:trPr>
          <w:trHeight w:val="453"/>
        </w:trPr>
        <w:tc>
          <w:tcPr>
            <w:tcW w:w="3620" w:type="dxa"/>
            <w:vAlign w:val="bottom"/>
          </w:tcPr>
          <w:p>
            <w:pPr>
              <w:spacing w:after="0"/>
              <w:rPr>
                <w:sz w:val="24"/>
                <w:szCs w:val="24"/>
                <w:color w:val="auto"/>
              </w:rPr>
            </w:pPr>
          </w:p>
        </w:tc>
        <w:tc>
          <w:tcPr>
            <w:tcW w:w="2780" w:type="dxa"/>
            <w:vAlign w:val="bottom"/>
          </w:tcPr>
          <w:p>
            <w:pPr>
              <w:ind w:left="2100"/>
              <w:spacing w:after="0"/>
              <w:rPr>
                <w:sz w:val="20"/>
                <w:szCs w:val="20"/>
                <w:color w:val="auto"/>
              </w:rPr>
            </w:pPr>
            <w:r>
              <w:rPr>
                <w:rFonts w:ascii="Arial" w:cs="Arial" w:eastAsia="Arial" w:hAnsi="Arial"/>
                <w:sz w:val="18"/>
                <w:szCs w:val="18"/>
                <w:color w:val="auto"/>
              </w:rPr>
              <w:t>By:</w:t>
            </w:r>
          </w:p>
        </w:tc>
        <w:tc>
          <w:tcPr>
            <w:tcW w:w="3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Jonathan Silverstein</w:t>
            </w:r>
          </w:p>
        </w:tc>
        <w:tc>
          <w:tcPr>
            <w:tcW w:w="1140" w:type="dxa"/>
            <w:vAlign w:val="bottom"/>
          </w:tcPr>
          <w:p>
            <w:pPr>
              <w:spacing w:after="0"/>
              <w:rPr>
                <w:sz w:val="24"/>
                <w:szCs w:val="24"/>
                <w:color w:val="auto"/>
              </w:rPr>
            </w:pPr>
          </w:p>
        </w:tc>
      </w:tr>
      <w:tr>
        <w:trPr>
          <w:trHeight w:val="202"/>
        </w:trPr>
        <w:tc>
          <w:tcPr>
            <w:tcW w:w="3620" w:type="dxa"/>
            <w:vAlign w:val="bottom"/>
          </w:tcPr>
          <w:p>
            <w:pPr>
              <w:spacing w:after="0"/>
              <w:rPr>
                <w:sz w:val="17"/>
                <w:szCs w:val="17"/>
                <w:color w:val="auto"/>
              </w:rPr>
            </w:pPr>
          </w:p>
        </w:tc>
        <w:tc>
          <w:tcPr>
            <w:tcW w:w="2780" w:type="dxa"/>
            <w:vAlign w:val="bottom"/>
          </w:tcPr>
          <w:p>
            <w:pPr>
              <w:spacing w:after="0"/>
              <w:rPr>
                <w:sz w:val="17"/>
                <w:szCs w:val="17"/>
                <w:color w:val="auto"/>
              </w:rPr>
            </w:pPr>
          </w:p>
        </w:tc>
        <w:tc>
          <w:tcPr>
            <w:tcW w:w="3880" w:type="dxa"/>
            <w:vAlign w:val="bottom"/>
          </w:tcPr>
          <w:p>
            <w:pPr>
              <w:spacing w:after="0" w:line="201" w:lineRule="exact"/>
              <w:rPr>
                <w:sz w:val="20"/>
                <w:szCs w:val="20"/>
                <w:color w:val="auto"/>
              </w:rPr>
            </w:pPr>
            <w:r>
              <w:rPr>
                <w:rFonts w:ascii="Arial" w:cs="Arial" w:eastAsia="Arial" w:hAnsi="Arial"/>
                <w:sz w:val="18"/>
                <w:szCs w:val="18"/>
                <w:color w:val="auto"/>
              </w:rPr>
              <w:t>Jonathan Silverstein</w:t>
            </w:r>
          </w:p>
        </w:tc>
        <w:tc>
          <w:tcPr>
            <w:tcW w:w="1140" w:type="dxa"/>
            <w:vAlign w:val="bottom"/>
          </w:tcPr>
          <w:p>
            <w:pPr>
              <w:spacing w:after="0"/>
              <w:rPr>
                <w:sz w:val="17"/>
                <w:szCs w:val="17"/>
                <w:color w:val="auto"/>
              </w:rPr>
            </w:pPr>
          </w:p>
        </w:tc>
      </w:tr>
      <w:tr>
        <w:trPr>
          <w:trHeight w:val="230"/>
        </w:trPr>
        <w:tc>
          <w:tcPr>
            <w:tcW w:w="362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Title: Member of OrbiMed Advisors LLC</w:t>
            </w:r>
          </w:p>
        </w:tc>
        <w:tc>
          <w:tcPr>
            <w:tcW w:w="1140" w:type="dxa"/>
            <w:vAlign w:val="bottom"/>
          </w:tcPr>
          <w:p>
            <w:pPr>
              <w:spacing w:after="0"/>
              <w:rPr>
                <w:sz w:val="20"/>
                <w:szCs w:val="20"/>
                <w:color w:val="auto"/>
              </w:rPr>
            </w:pPr>
          </w:p>
        </w:tc>
      </w:tr>
      <w:tr>
        <w:trPr>
          <w:trHeight w:val="939"/>
        </w:trPr>
        <w:tc>
          <w:tcPr>
            <w:tcW w:w="362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tcPr>
          <w:p>
            <w:pPr>
              <w:spacing w:after="0"/>
              <w:rPr>
                <w:sz w:val="24"/>
                <w:szCs w:val="24"/>
                <w:color w:val="auto"/>
              </w:rPr>
            </w:pPr>
          </w:p>
        </w:tc>
        <w:tc>
          <w:tcPr>
            <w:tcW w:w="388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391"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SCHEDULE I</w:t>
      </w:r>
    </w:p>
    <w:p>
      <w:pPr>
        <w:spacing w:after="0" w:line="200" w:lineRule="exact"/>
        <w:rPr>
          <w:sz w:val="20"/>
          <w:szCs w:val="20"/>
          <w:color w:val="auto"/>
        </w:rPr>
      </w:pPr>
    </w:p>
    <w:p>
      <w:pPr>
        <w:spacing w:after="0" w:line="245" w:lineRule="exact"/>
        <w:rPr>
          <w:sz w:val="20"/>
          <w:szCs w:val="20"/>
          <w:color w:val="auto"/>
        </w:rPr>
      </w:pPr>
    </w:p>
    <w:p>
      <w:pPr>
        <w:jc w:val="both"/>
        <w:ind w:left="80" w:right="340" w:firstLine="583"/>
        <w:spacing w:after="0" w:line="264" w:lineRule="auto"/>
        <w:rPr>
          <w:sz w:val="20"/>
          <w:szCs w:val="20"/>
          <w:color w:val="auto"/>
        </w:rPr>
      </w:pPr>
      <w:r>
        <w:rPr>
          <w:rFonts w:ascii="Arial" w:cs="Arial" w:eastAsia="Arial" w:hAnsi="Arial"/>
          <w:sz w:val="18"/>
          <w:szCs w:val="18"/>
          <w:color w:val="auto"/>
        </w:rPr>
        <w:t>The names and present principal occupations of each of the executive officers and directors of OrbiMed Advisors LLC are set forth below. Unless otherwise noted, each of these persons is a United States citizen and has a business address of 601 Lexington Avenue, 54</w:t>
      </w:r>
      <w:r>
        <w:rPr>
          <w:rFonts w:ascii="Arial" w:cs="Arial" w:eastAsia="Arial" w:hAnsi="Arial"/>
          <w:sz w:val="14"/>
          <w:szCs w:val="14"/>
          <w:color w:val="auto"/>
        </w:rPr>
        <w:t>th</w:t>
      </w:r>
      <w:r>
        <w:rPr>
          <w:rFonts w:ascii="Arial" w:cs="Arial" w:eastAsia="Arial" w:hAnsi="Arial"/>
          <w:sz w:val="18"/>
          <w:szCs w:val="18"/>
          <w:color w:val="auto"/>
        </w:rPr>
        <w:t xml:space="preserve"> Floor, New York, NY 10022.</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520" w:type="dxa"/>
            <w:vAlign w:val="bottom"/>
          </w:tcPr>
          <w:p>
            <w:pPr>
              <w:spacing w:after="0"/>
              <w:rPr>
                <w:sz w:val="17"/>
                <w:szCs w:val="17"/>
                <w:color w:val="auto"/>
              </w:rPr>
            </w:pPr>
          </w:p>
        </w:tc>
        <w:tc>
          <w:tcPr>
            <w:tcW w:w="440" w:type="dxa"/>
            <w:vAlign w:val="bottom"/>
          </w:tcPr>
          <w:p>
            <w:pPr>
              <w:spacing w:after="0"/>
              <w:rPr>
                <w:sz w:val="20"/>
                <w:szCs w:val="20"/>
                <w:color w:val="auto"/>
              </w:rPr>
            </w:pPr>
            <w:r>
              <w:rPr>
                <w:rFonts w:ascii="Arial" w:cs="Arial" w:eastAsia="Arial" w:hAnsi="Arial"/>
                <w:sz w:val="18"/>
                <w:szCs w:val="18"/>
                <w:color w:val="auto"/>
                <w:w w:val="87"/>
              </w:rPr>
              <w:t>Name</w:t>
            </w:r>
          </w:p>
        </w:tc>
        <w:tc>
          <w:tcPr>
            <w:tcW w:w="10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740" w:type="dxa"/>
            <w:vAlign w:val="bottom"/>
            <w:gridSpan w:val="2"/>
          </w:tcPr>
          <w:p>
            <w:pPr>
              <w:spacing w:after="0"/>
              <w:rPr>
                <w:sz w:val="20"/>
                <w:szCs w:val="20"/>
                <w:color w:val="auto"/>
              </w:rPr>
            </w:pPr>
            <w:r>
              <w:rPr>
                <w:rFonts w:ascii="Arial" w:cs="Arial" w:eastAsia="Arial" w:hAnsi="Arial"/>
                <w:sz w:val="18"/>
                <w:szCs w:val="18"/>
                <w:color w:val="auto"/>
              </w:rPr>
              <w:t>Position with Reporting Person</w:t>
            </w:r>
          </w:p>
        </w:tc>
        <w:tc>
          <w:tcPr>
            <w:tcW w:w="4260" w:type="dxa"/>
            <w:vAlign w:val="bottom"/>
            <w:gridSpan w:val="3"/>
          </w:tcPr>
          <w:p>
            <w:pPr>
              <w:ind w:left="1440"/>
              <w:spacing w:after="0"/>
              <w:rPr>
                <w:sz w:val="20"/>
                <w:szCs w:val="20"/>
                <w:color w:val="auto"/>
              </w:rPr>
            </w:pPr>
            <w:r>
              <w:rPr>
                <w:rFonts w:ascii="Arial" w:cs="Arial" w:eastAsia="Arial" w:hAnsi="Arial"/>
                <w:sz w:val="18"/>
                <w:szCs w:val="18"/>
                <w:color w:val="auto"/>
              </w:rPr>
              <w:t>Principal Occupation</w:t>
            </w:r>
          </w:p>
        </w:tc>
      </w:tr>
      <w:tr>
        <w:trPr>
          <w:trHeight w:val="20"/>
        </w:trPr>
        <w:tc>
          <w:tcPr>
            <w:tcW w:w="152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2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r>
      <w:tr>
        <w:trPr>
          <w:trHeight w:val="816"/>
        </w:trPr>
        <w:tc>
          <w:tcPr>
            <w:tcW w:w="1520" w:type="dxa"/>
            <w:vAlign w:val="bottom"/>
          </w:tcPr>
          <w:p>
            <w:pPr>
              <w:ind w:left="40"/>
              <w:spacing w:after="0"/>
              <w:rPr>
                <w:sz w:val="20"/>
                <w:szCs w:val="20"/>
                <w:color w:val="auto"/>
              </w:rPr>
            </w:pPr>
            <w:r>
              <w:rPr>
                <w:rFonts w:ascii="Arial" w:cs="Arial" w:eastAsia="Arial" w:hAnsi="Arial"/>
                <w:sz w:val="18"/>
                <w:szCs w:val="18"/>
                <w:color w:val="auto"/>
              </w:rPr>
              <w:t>Carl L. Gordon</w:t>
            </w:r>
          </w:p>
        </w:tc>
        <w:tc>
          <w:tcPr>
            <w:tcW w:w="4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180" w:type="dxa"/>
            <w:vAlign w:val="bottom"/>
            <w:gridSpan w:val="3"/>
          </w:tcPr>
          <w:p>
            <w:pPr>
              <w:ind w:left="840"/>
              <w:spacing w:after="0"/>
              <w:rPr>
                <w:sz w:val="20"/>
                <w:szCs w:val="20"/>
                <w:color w:val="auto"/>
              </w:rPr>
            </w:pPr>
            <w:r>
              <w:rPr>
                <w:rFonts w:ascii="Arial" w:cs="Arial" w:eastAsia="Arial" w:hAnsi="Arial"/>
                <w:sz w:val="18"/>
                <w:szCs w:val="18"/>
                <w:color w:val="auto"/>
              </w:rPr>
              <w:t>Member</w:t>
            </w: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Member</w:t>
            </w:r>
          </w:p>
        </w:tc>
      </w:tr>
      <w:tr>
        <w:trPr>
          <w:trHeight w:val="230"/>
        </w:trPr>
        <w:tc>
          <w:tcPr>
            <w:tcW w:w="15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OrbiMed Advisors LLC</w:t>
            </w:r>
          </w:p>
        </w:tc>
      </w:tr>
      <w:tr>
        <w:trPr>
          <w:trHeight w:val="526"/>
        </w:trPr>
        <w:tc>
          <w:tcPr>
            <w:tcW w:w="2980" w:type="dxa"/>
            <w:vAlign w:val="bottom"/>
            <w:gridSpan w:val="3"/>
          </w:tcPr>
          <w:p>
            <w:pPr>
              <w:ind w:left="40"/>
              <w:spacing w:after="0"/>
              <w:rPr>
                <w:sz w:val="20"/>
                <w:szCs w:val="20"/>
                <w:color w:val="auto"/>
              </w:rPr>
            </w:pPr>
            <w:r>
              <w:rPr>
                <w:rFonts w:ascii="Arial" w:cs="Arial" w:eastAsia="Arial" w:hAnsi="Arial"/>
                <w:sz w:val="18"/>
                <w:szCs w:val="18"/>
                <w:color w:val="auto"/>
              </w:rPr>
              <w:t>Sven H. Borho</w:t>
            </w:r>
          </w:p>
        </w:tc>
        <w:tc>
          <w:tcPr>
            <w:tcW w:w="4180" w:type="dxa"/>
            <w:vAlign w:val="bottom"/>
            <w:gridSpan w:val="3"/>
          </w:tcPr>
          <w:p>
            <w:pPr>
              <w:ind w:left="840"/>
              <w:spacing w:after="0"/>
              <w:rPr>
                <w:sz w:val="20"/>
                <w:szCs w:val="20"/>
                <w:color w:val="auto"/>
              </w:rPr>
            </w:pPr>
            <w:r>
              <w:rPr>
                <w:rFonts w:ascii="Arial" w:cs="Arial" w:eastAsia="Arial" w:hAnsi="Arial"/>
                <w:sz w:val="18"/>
                <w:szCs w:val="18"/>
                <w:color w:val="auto"/>
              </w:rPr>
              <w:t>Member</w:t>
            </w: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Member</w:t>
            </w:r>
          </w:p>
        </w:tc>
      </w:tr>
      <w:tr>
        <w:trPr>
          <w:trHeight w:val="230"/>
        </w:trPr>
        <w:tc>
          <w:tcPr>
            <w:tcW w:w="2980" w:type="dxa"/>
            <w:vAlign w:val="bottom"/>
            <w:gridSpan w:val="3"/>
          </w:tcPr>
          <w:p>
            <w:pPr>
              <w:ind w:left="40"/>
              <w:spacing w:after="0"/>
              <w:rPr>
                <w:sz w:val="20"/>
                <w:szCs w:val="20"/>
                <w:color w:val="auto"/>
              </w:rPr>
            </w:pPr>
            <w:r>
              <w:rPr>
                <w:rFonts w:ascii="Arial" w:cs="Arial" w:eastAsia="Arial" w:hAnsi="Arial"/>
                <w:sz w:val="18"/>
                <w:szCs w:val="18"/>
                <w:color w:val="auto"/>
              </w:rPr>
              <w:t>German and Swedish Citizen</w:t>
            </w:r>
          </w:p>
        </w:tc>
        <w:tc>
          <w:tcPr>
            <w:tcW w:w="144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OrbiMed Advisors LLC</w:t>
            </w:r>
          </w:p>
        </w:tc>
      </w:tr>
      <w:tr>
        <w:trPr>
          <w:trHeight w:val="526"/>
        </w:trPr>
        <w:tc>
          <w:tcPr>
            <w:tcW w:w="2980" w:type="dxa"/>
            <w:vAlign w:val="bottom"/>
            <w:gridSpan w:val="3"/>
          </w:tcPr>
          <w:p>
            <w:pPr>
              <w:ind w:left="40"/>
              <w:spacing w:after="0"/>
              <w:rPr>
                <w:sz w:val="20"/>
                <w:szCs w:val="20"/>
                <w:color w:val="auto"/>
              </w:rPr>
            </w:pPr>
            <w:r>
              <w:rPr>
                <w:rFonts w:ascii="Arial" w:cs="Arial" w:eastAsia="Arial" w:hAnsi="Arial"/>
                <w:sz w:val="18"/>
                <w:szCs w:val="18"/>
                <w:color w:val="auto"/>
              </w:rPr>
              <w:t>Jonathan T. Silverstein</w:t>
            </w:r>
          </w:p>
        </w:tc>
        <w:tc>
          <w:tcPr>
            <w:tcW w:w="4180" w:type="dxa"/>
            <w:vAlign w:val="bottom"/>
            <w:gridSpan w:val="3"/>
          </w:tcPr>
          <w:p>
            <w:pPr>
              <w:ind w:left="840"/>
              <w:spacing w:after="0"/>
              <w:rPr>
                <w:sz w:val="20"/>
                <w:szCs w:val="20"/>
                <w:color w:val="auto"/>
              </w:rPr>
            </w:pPr>
            <w:r>
              <w:rPr>
                <w:rFonts w:ascii="Arial" w:cs="Arial" w:eastAsia="Arial" w:hAnsi="Arial"/>
                <w:sz w:val="18"/>
                <w:szCs w:val="18"/>
                <w:color w:val="auto"/>
              </w:rPr>
              <w:t>Member</w:t>
            </w: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Member</w:t>
            </w:r>
          </w:p>
        </w:tc>
      </w:tr>
      <w:tr>
        <w:trPr>
          <w:trHeight w:val="230"/>
        </w:trPr>
        <w:tc>
          <w:tcPr>
            <w:tcW w:w="15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OrbiMed Advisors LLC</w:t>
            </w:r>
          </w:p>
        </w:tc>
      </w:tr>
      <w:tr>
        <w:trPr>
          <w:trHeight w:val="526"/>
        </w:trPr>
        <w:tc>
          <w:tcPr>
            <w:tcW w:w="2980" w:type="dxa"/>
            <w:vAlign w:val="bottom"/>
            <w:gridSpan w:val="3"/>
          </w:tcPr>
          <w:p>
            <w:pPr>
              <w:ind w:left="40"/>
              <w:spacing w:after="0"/>
              <w:rPr>
                <w:sz w:val="20"/>
                <w:szCs w:val="20"/>
                <w:color w:val="auto"/>
              </w:rPr>
            </w:pPr>
            <w:r>
              <w:rPr>
                <w:rFonts w:ascii="Arial" w:cs="Arial" w:eastAsia="Arial" w:hAnsi="Arial"/>
                <w:sz w:val="18"/>
                <w:szCs w:val="18"/>
                <w:color w:val="auto"/>
              </w:rPr>
              <w:t>W. Carter Neild</w:t>
            </w:r>
          </w:p>
        </w:tc>
        <w:tc>
          <w:tcPr>
            <w:tcW w:w="4180" w:type="dxa"/>
            <w:vAlign w:val="bottom"/>
            <w:gridSpan w:val="3"/>
          </w:tcPr>
          <w:p>
            <w:pPr>
              <w:ind w:left="840"/>
              <w:spacing w:after="0"/>
              <w:rPr>
                <w:sz w:val="20"/>
                <w:szCs w:val="20"/>
                <w:color w:val="auto"/>
              </w:rPr>
            </w:pPr>
            <w:r>
              <w:rPr>
                <w:rFonts w:ascii="Arial" w:cs="Arial" w:eastAsia="Arial" w:hAnsi="Arial"/>
                <w:sz w:val="18"/>
                <w:szCs w:val="18"/>
                <w:color w:val="auto"/>
              </w:rPr>
              <w:t>Member</w:t>
            </w: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Member</w:t>
            </w:r>
          </w:p>
        </w:tc>
      </w:tr>
      <w:tr>
        <w:trPr>
          <w:trHeight w:val="230"/>
        </w:trPr>
        <w:tc>
          <w:tcPr>
            <w:tcW w:w="15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OrbiMed Advisors LLC</w:t>
            </w:r>
          </w:p>
        </w:tc>
      </w:tr>
      <w:tr>
        <w:trPr>
          <w:trHeight w:val="526"/>
        </w:trPr>
        <w:tc>
          <w:tcPr>
            <w:tcW w:w="2980" w:type="dxa"/>
            <w:vAlign w:val="bottom"/>
            <w:gridSpan w:val="3"/>
          </w:tcPr>
          <w:p>
            <w:pPr>
              <w:ind w:left="40"/>
              <w:spacing w:after="0"/>
              <w:rPr>
                <w:sz w:val="20"/>
                <w:szCs w:val="20"/>
                <w:color w:val="auto"/>
              </w:rPr>
            </w:pPr>
            <w:r>
              <w:rPr>
                <w:rFonts w:ascii="Arial" w:cs="Arial" w:eastAsia="Arial" w:hAnsi="Arial"/>
                <w:sz w:val="18"/>
                <w:szCs w:val="18"/>
                <w:color w:val="auto"/>
              </w:rPr>
              <w:t>Geoffrey C. Hsu</w:t>
            </w:r>
          </w:p>
        </w:tc>
        <w:tc>
          <w:tcPr>
            <w:tcW w:w="4180" w:type="dxa"/>
            <w:vAlign w:val="bottom"/>
            <w:gridSpan w:val="3"/>
          </w:tcPr>
          <w:p>
            <w:pPr>
              <w:ind w:left="840"/>
              <w:spacing w:after="0"/>
              <w:rPr>
                <w:sz w:val="20"/>
                <w:szCs w:val="20"/>
                <w:color w:val="auto"/>
              </w:rPr>
            </w:pPr>
            <w:r>
              <w:rPr>
                <w:rFonts w:ascii="Arial" w:cs="Arial" w:eastAsia="Arial" w:hAnsi="Arial"/>
                <w:sz w:val="18"/>
                <w:szCs w:val="18"/>
                <w:color w:val="auto"/>
              </w:rPr>
              <w:t>Member</w:t>
            </w: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Member</w:t>
            </w:r>
          </w:p>
        </w:tc>
      </w:tr>
      <w:tr>
        <w:trPr>
          <w:trHeight w:val="230"/>
        </w:trPr>
        <w:tc>
          <w:tcPr>
            <w:tcW w:w="15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OrbiMed Advisors LLC</w:t>
            </w:r>
          </w:p>
        </w:tc>
      </w:tr>
      <w:tr>
        <w:trPr>
          <w:trHeight w:val="526"/>
        </w:trPr>
        <w:tc>
          <w:tcPr>
            <w:tcW w:w="2980" w:type="dxa"/>
            <w:vAlign w:val="bottom"/>
            <w:gridSpan w:val="3"/>
          </w:tcPr>
          <w:p>
            <w:pPr>
              <w:ind w:left="40"/>
              <w:spacing w:after="0"/>
              <w:rPr>
                <w:sz w:val="20"/>
                <w:szCs w:val="20"/>
                <w:color w:val="auto"/>
              </w:rPr>
            </w:pPr>
            <w:r>
              <w:rPr>
                <w:rFonts w:ascii="Arial" w:cs="Arial" w:eastAsia="Arial" w:hAnsi="Arial"/>
                <w:sz w:val="18"/>
                <w:szCs w:val="18"/>
                <w:color w:val="auto"/>
              </w:rPr>
              <w:t>Evan D. Sotiriou</w:t>
            </w:r>
          </w:p>
        </w:tc>
        <w:tc>
          <w:tcPr>
            <w:tcW w:w="4180" w:type="dxa"/>
            <w:vAlign w:val="bottom"/>
            <w:gridSpan w:val="3"/>
          </w:tcPr>
          <w:p>
            <w:pPr>
              <w:ind w:left="840"/>
              <w:spacing w:after="0"/>
              <w:rPr>
                <w:sz w:val="20"/>
                <w:szCs w:val="20"/>
                <w:color w:val="auto"/>
              </w:rPr>
            </w:pPr>
            <w:r>
              <w:rPr>
                <w:rFonts w:ascii="Arial" w:cs="Arial" w:eastAsia="Arial" w:hAnsi="Arial"/>
                <w:sz w:val="18"/>
                <w:szCs w:val="18"/>
                <w:color w:val="auto"/>
              </w:rPr>
              <w:t>Chief Financial Officer</w:t>
            </w: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Chief Financial Officer</w:t>
            </w:r>
          </w:p>
        </w:tc>
      </w:tr>
      <w:tr>
        <w:trPr>
          <w:trHeight w:val="230"/>
        </w:trPr>
        <w:tc>
          <w:tcPr>
            <w:tcW w:w="15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60" w:type="dxa"/>
            <w:vAlign w:val="bottom"/>
            <w:gridSpan w:val="3"/>
          </w:tcPr>
          <w:p>
            <w:pPr>
              <w:ind w:left="480"/>
              <w:spacing w:after="0"/>
              <w:rPr>
                <w:sz w:val="20"/>
                <w:szCs w:val="20"/>
                <w:color w:val="auto"/>
              </w:rPr>
            </w:pPr>
            <w:r>
              <w:rPr>
                <w:rFonts w:ascii="Arial" w:cs="Arial" w:eastAsia="Arial" w:hAnsi="Arial"/>
                <w:sz w:val="18"/>
                <w:szCs w:val="18"/>
                <w:color w:val="auto"/>
              </w:rPr>
              <w:t>OrbiMed Advisors LLC</w:t>
            </w:r>
          </w:p>
        </w:tc>
      </w:tr>
      <w:tr>
        <w:trPr>
          <w:trHeight w:val="642"/>
        </w:trPr>
        <w:tc>
          <w:tcPr>
            <w:tcW w:w="15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121" w:right="239" w:bottom="1440" w:gutter="0" w:footer="0" w:header="0"/>
        </w:sectPr>
      </w:pPr>
    </w:p>
    <w:bookmarkStart w:id="10" w:name="page11"/>
    <w:bookmarkEnd w:id="10"/>
    <w:p>
      <w:pPr>
        <w:jc w:val="center"/>
        <w:ind w:right="-259"/>
        <w:spacing w:after="0"/>
        <w:rPr>
          <w:sz w:val="20"/>
          <w:szCs w:val="20"/>
          <w:color w:val="auto"/>
        </w:rPr>
      </w:pPr>
      <w:r>
        <w:rPr>
          <w:rFonts w:ascii="Arial" w:cs="Arial" w:eastAsia="Arial" w:hAnsi="Arial"/>
          <w:sz w:val="18"/>
          <w:szCs w:val="18"/>
          <w:b w:val="1"/>
          <w:bCs w:val="1"/>
          <w:color w:val="auto"/>
        </w:rPr>
        <w:t>SCHEDULE II</w:t>
      </w:r>
    </w:p>
    <w:p>
      <w:pPr>
        <w:spacing w:after="0" w:line="283" w:lineRule="exact"/>
        <w:rPr>
          <w:sz w:val="20"/>
          <w:szCs w:val="20"/>
          <w:color w:val="auto"/>
        </w:rPr>
      </w:pPr>
    </w:p>
    <w:p>
      <w:pPr>
        <w:ind w:firstLine="583"/>
        <w:spacing w:after="0" w:line="277" w:lineRule="auto"/>
        <w:rPr>
          <w:sz w:val="20"/>
          <w:szCs w:val="20"/>
          <w:color w:val="auto"/>
        </w:rPr>
      </w:pPr>
      <w:r>
        <w:rPr>
          <w:rFonts w:ascii="Arial" w:cs="Arial" w:eastAsia="Arial" w:hAnsi="Arial"/>
          <w:sz w:val="18"/>
          <w:szCs w:val="18"/>
          <w:color w:val="auto"/>
        </w:rPr>
        <w:t>The business and operations of OrbiMed Capital GP VI LLC are managed by the executive officers and directors of its managing member, OrbiMed Advisors LLC, set forth in Schedule I attached hereto.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wp:posOffset>
            </wp:positionH>
            <wp:positionV relativeFrom="paragraph">
              <wp:posOffset>400050</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000"/>
          </w:cols>
          <w:pgMar w:left="320" w:top="553" w:right="579" w:bottom="1440" w:gutter="0" w:footer="0" w:header="0"/>
        </w:sectPr>
      </w:pPr>
    </w:p>
    <w:bookmarkStart w:id="11" w:name="page12"/>
    <w:bookmarkEnd w:id="11"/>
    <w:p>
      <w:pPr>
        <w:jc w:val="center"/>
        <w:ind w:right="-319"/>
        <w:spacing w:after="0"/>
        <w:rPr>
          <w:sz w:val="20"/>
          <w:szCs w:val="20"/>
          <w:color w:val="auto"/>
        </w:rPr>
      </w:pPr>
      <w:r>
        <w:rPr>
          <w:rFonts w:ascii="Arial" w:cs="Arial" w:eastAsia="Arial" w:hAnsi="Arial"/>
          <w:sz w:val="18"/>
          <w:szCs w:val="18"/>
          <w:b w:val="1"/>
          <w:bCs w:val="1"/>
          <w:color w:val="auto"/>
        </w:rPr>
        <w:t>EXHIBIT INDEX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326390</wp:posOffset>
            </wp:positionV>
            <wp:extent cx="7246620" cy="9093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909320"/>
                    </a:xfrm>
                    <a:prstGeom prst="rect">
                      <a:avLst/>
                    </a:prstGeom>
                    <a:noFill/>
                  </pic:spPr>
                </pic:pic>
              </a:graphicData>
            </a:graphic>
          </wp:anchor>
        </w:drawing>
      </w:r>
    </w:p>
    <w:p>
      <w:pPr>
        <w:spacing w:after="0" w:line="200" w:lineRule="exact"/>
        <w:rPr>
          <w:sz w:val="20"/>
          <w:szCs w:val="20"/>
          <w:color w:val="auto"/>
        </w:rPr>
      </w:pPr>
    </w:p>
    <w:p>
      <w:pPr>
        <w:spacing w:after="0" w:line="329"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Exhibit</w:t>
      </w:r>
      <w:r>
        <w:rPr>
          <w:sz w:val="20"/>
          <w:szCs w:val="20"/>
          <w:color w:val="auto"/>
        </w:rPr>
        <w:tab/>
      </w:r>
      <w:r>
        <w:rPr>
          <w:rFonts w:ascii="Arial" w:cs="Arial" w:eastAsia="Arial" w:hAnsi="Arial"/>
          <w:sz w:val="18"/>
          <w:szCs w:val="18"/>
          <w:b w:val="1"/>
          <w:bCs w:val="1"/>
          <w:color w:val="auto"/>
        </w:rPr>
        <w:t>Description</w:t>
      </w:r>
    </w:p>
    <w:p>
      <w:pPr>
        <w:spacing w:after="0" w:line="94" w:lineRule="exact"/>
        <w:rPr>
          <w:sz w:val="20"/>
          <w:szCs w:val="20"/>
          <w:color w:val="auto"/>
        </w:rPr>
      </w:pPr>
    </w:p>
    <w:p>
      <w:pPr>
        <w:ind w:left="1160" w:hanging="1158"/>
        <w:spacing w:after="0"/>
        <w:tabs>
          <w:tab w:leader="none" w:pos="11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Joint Filing Agreement among OrbiMed Advisors LLC, OrbiMed Capital LLC and OrbiMed Capital GP VI LLC.</w:t>
      </w:r>
    </w:p>
    <w:p>
      <w:pPr>
        <w:spacing w:after="0" w:line="90" w:lineRule="exact"/>
        <w:rPr>
          <w:rFonts w:ascii="Arial" w:cs="Arial" w:eastAsia="Arial" w:hAnsi="Arial"/>
          <w:sz w:val="18"/>
          <w:szCs w:val="18"/>
          <w:color w:val="auto"/>
        </w:rPr>
      </w:pPr>
    </w:p>
    <w:p>
      <w:pPr>
        <w:ind w:left="1160" w:hanging="1158"/>
        <w:spacing w:after="0" w:line="308" w:lineRule="auto"/>
        <w:tabs>
          <w:tab w:leader="none" w:pos="11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Investor Rights Agreement by and among the Issuer and each of the persons listed on Schedule A thereto, dated as of November 5, 2018 (incorporated by reference to Exhibit 4.1 to the Issuer’s Registration Statement on Form S-1 (SEC 333-230837).</w:t>
      </w:r>
    </w:p>
    <w:p>
      <w:pPr>
        <w:spacing w:after="0" w:line="11" w:lineRule="exact"/>
        <w:rPr>
          <w:rFonts w:ascii="Arial" w:cs="Arial" w:eastAsia="Arial" w:hAnsi="Arial"/>
          <w:sz w:val="17"/>
          <w:szCs w:val="17"/>
          <w:color w:val="auto"/>
        </w:rPr>
      </w:pPr>
    </w:p>
    <w:p>
      <w:pPr>
        <w:ind w:left="1160" w:hanging="1158"/>
        <w:spacing w:after="0"/>
        <w:tabs>
          <w:tab w:leader="none" w:pos="11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Form of Lock-Up Agreement filed as Exhibit A to Exhibit 1.1 to the Issuer’s Registration Statement on Form S-1 (SEC 333-230837).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732790</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980"/>
          </w:cols>
          <w:pgMar w:left="300" w:top="121" w:right="619" w:bottom="1440" w:gutter="0" w:footer="0" w:header="0"/>
        </w:sectPr>
      </w:pPr>
    </w:p>
    <w:bookmarkStart w:id="12" w:name="page13"/>
    <w:bookmarkEnd w:id="12"/>
    <w:p>
      <w:pPr>
        <w:jc w:val="right"/>
        <w:spacing w:after="0"/>
        <w:rPr>
          <w:sz w:val="20"/>
          <w:szCs w:val="20"/>
          <w:color w:val="auto"/>
        </w:rPr>
      </w:pPr>
      <w:r>
        <w:rPr>
          <w:rFonts w:ascii="Arial" w:cs="Arial" w:eastAsia="Arial" w:hAnsi="Arial"/>
          <w:sz w:val="18"/>
          <w:szCs w:val="18"/>
          <w:b w:val="1"/>
          <w:bCs w:val="1"/>
          <w:u w:val="single" w:color="auto"/>
          <w:color w:val="auto"/>
        </w:rPr>
        <w:t>Exhibit 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JOINT FILING AGREEMENT</w:t>
      </w:r>
    </w:p>
    <w:p>
      <w:pPr>
        <w:spacing w:after="0" w:line="211" w:lineRule="exact"/>
        <w:rPr>
          <w:sz w:val="20"/>
          <w:szCs w:val="20"/>
          <w:color w:val="auto"/>
        </w:rPr>
      </w:pPr>
    </w:p>
    <w:p>
      <w:pPr>
        <w:jc w:val="both"/>
        <w:ind w:firstLine="707"/>
        <w:spacing w:after="0" w:line="302" w:lineRule="auto"/>
        <w:rPr>
          <w:sz w:val="20"/>
          <w:szCs w:val="20"/>
          <w:color w:val="auto"/>
        </w:rPr>
      </w:pPr>
      <w:r>
        <w:rPr>
          <w:rFonts w:ascii="Arial" w:cs="Arial" w:eastAsia="Arial" w:hAnsi="Arial"/>
          <w:sz w:val="16"/>
          <w:szCs w:val="16"/>
          <w:color w:val="auto"/>
        </w:rPr>
        <w:t>The undersigned hereby agree that the Statement on Schedule 13D, dated May 17, 2019, with respect to the ordinary shares of NextCure, Inc. is filed on behalf of each of us pursuant to and in accordance with the provisions of Rule 13d-1(k) under the Securities Exchange Act of 1934, as amended. Each of the undersigned agrees to be responsible for the timely filing of this Statement, and for the completeness and accuracy of the information concerning itself contained therein. This Agreement may be executed in any number of counterparts, all of which taken together shall constitute one and the same instrument.</w:t>
      </w:r>
    </w:p>
    <w:p>
      <w:pPr>
        <w:spacing w:after="0" w:line="14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WITNESS WHEREOF, the undersigned have executed this Agreement as of the 20</w:t>
      </w:r>
      <w:r>
        <w:rPr>
          <w:rFonts w:ascii="Arial" w:cs="Arial" w:eastAsia="Arial" w:hAnsi="Arial"/>
          <w:sz w:val="30"/>
          <w:szCs w:val="30"/>
          <w:color w:val="auto"/>
          <w:vertAlign w:val="superscript"/>
        </w:rPr>
        <w:t>th</w:t>
      </w:r>
      <w:r>
        <w:rPr>
          <w:rFonts w:ascii="Arial" w:cs="Arial" w:eastAsia="Arial" w:hAnsi="Arial"/>
          <w:sz w:val="18"/>
          <w:szCs w:val="18"/>
          <w:color w:val="auto"/>
        </w:rPr>
        <w:t xml:space="preserve"> day of May 2019.</w:t>
      </w:r>
    </w:p>
    <w:p>
      <w:pPr>
        <w:spacing w:after="0" w:line="9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ORBIMED ADVISORS LLC</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51"/>
        </w:trPr>
        <w:tc>
          <w:tcPr>
            <w:tcW w:w="6400" w:type="dxa"/>
            <w:vAlign w:val="bottom"/>
          </w:tcPr>
          <w:p>
            <w:pPr>
              <w:ind w:left="5720"/>
              <w:spacing w:after="0"/>
              <w:rPr>
                <w:sz w:val="20"/>
                <w:szCs w:val="20"/>
                <w:color w:val="auto"/>
              </w:rPr>
            </w:pPr>
            <w:r>
              <w:rPr>
                <w:rFonts w:ascii="Arial" w:cs="Arial" w:eastAsia="Arial" w:hAnsi="Arial"/>
                <w:sz w:val="18"/>
                <w:szCs w:val="18"/>
                <w:color w:val="auto"/>
              </w:rPr>
              <w:t>By:</w:t>
            </w:r>
          </w:p>
        </w:tc>
        <w:tc>
          <w:tcPr>
            <w:tcW w:w="3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Jonathan Silverstein</w:t>
            </w:r>
          </w:p>
        </w:tc>
        <w:tc>
          <w:tcPr>
            <w:tcW w:w="1140" w:type="dxa"/>
            <w:vAlign w:val="bottom"/>
          </w:tcPr>
          <w:p>
            <w:pPr>
              <w:spacing w:after="0"/>
              <w:rPr>
                <w:sz w:val="21"/>
                <w:szCs w:val="21"/>
                <w:color w:val="auto"/>
              </w:rPr>
            </w:pPr>
          </w:p>
        </w:tc>
      </w:tr>
      <w:tr>
        <w:trPr>
          <w:trHeight w:val="202"/>
        </w:trPr>
        <w:tc>
          <w:tcPr>
            <w:tcW w:w="6400" w:type="dxa"/>
            <w:vAlign w:val="bottom"/>
          </w:tcPr>
          <w:p>
            <w:pPr>
              <w:spacing w:after="0"/>
              <w:rPr>
                <w:sz w:val="17"/>
                <w:szCs w:val="17"/>
                <w:color w:val="auto"/>
              </w:rPr>
            </w:pPr>
          </w:p>
        </w:tc>
        <w:tc>
          <w:tcPr>
            <w:tcW w:w="3880" w:type="dxa"/>
            <w:vAlign w:val="bottom"/>
          </w:tcPr>
          <w:p>
            <w:pPr>
              <w:spacing w:after="0" w:line="201" w:lineRule="exact"/>
              <w:rPr>
                <w:sz w:val="20"/>
                <w:szCs w:val="20"/>
                <w:color w:val="auto"/>
              </w:rPr>
            </w:pPr>
            <w:r>
              <w:rPr>
                <w:rFonts w:ascii="Arial" w:cs="Arial" w:eastAsia="Arial" w:hAnsi="Arial"/>
                <w:sz w:val="18"/>
                <w:szCs w:val="18"/>
                <w:color w:val="auto"/>
              </w:rPr>
              <w:t>Name: Jonathan Silverstein</w:t>
            </w:r>
          </w:p>
        </w:tc>
        <w:tc>
          <w:tcPr>
            <w:tcW w:w="1140" w:type="dxa"/>
            <w:vAlign w:val="bottom"/>
          </w:tcPr>
          <w:p>
            <w:pPr>
              <w:spacing w:after="0"/>
              <w:rPr>
                <w:sz w:val="17"/>
                <w:szCs w:val="17"/>
                <w:color w:val="auto"/>
              </w:rPr>
            </w:pPr>
          </w:p>
        </w:tc>
      </w:tr>
      <w:tr>
        <w:trPr>
          <w:trHeight w:val="230"/>
        </w:trPr>
        <w:tc>
          <w:tcPr>
            <w:tcW w:w="6400" w:type="dxa"/>
            <w:vAlign w:val="bottom"/>
          </w:tcPr>
          <w:p>
            <w:pPr>
              <w:spacing w:after="0"/>
              <w:rPr>
                <w:sz w:val="20"/>
                <w:szCs w:val="20"/>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Title: Member of OrbiMed Advisors LLC</w:t>
            </w:r>
          </w:p>
        </w:tc>
        <w:tc>
          <w:tcPr>
            <w:tcW w:w="1140" w:type="dxa"/>
            <w:vAlign w:val="bottom"/>
          </w:tcPr>
          <w:p>
            <w:pPr>
              <w:spacing w:after="0"/>
              <w:rPr>
                <w:sz w:val="20"/>
                <w:szCs w:val="20"/>
                <w:color w:val="auto"/>
              </w:rPr>
            </w:pPr>
          </w:p>
        </w:tc>
      </w:tr>
      <w:tr>
        <w:trPr>
          <w:trHeight w:val="432"/>
        </w:trPr>
        <w:tc>
          <w:tcPr>
            <w:tcW w:w="10280" w:type="dxa"/>
            <w:vAlign w:val="bottom"/>
            <w:gridSpan w:val="2"/>
          </w:tcPr>
          <w:p>
            <w:pPr>
              <w:ind w:left="5720"/>
              <w:spacing w:after="0"/>
              <w:rPr>
                <w:sz w:val="20"/>
                <w:szCs w:val="20"/>
                <w:color w:val="auto"/>
              </w:rPr>
            </w:pPr>
            <w:r>
              <w:rPr>
                <w:rFonts w:ascii="Arial" w:cs="Arial" w:eastAsia="Arial" w:hAnsi="Arial"/>
                <w:sz w:val="18"/>
                <w:szCs w:val="18"/>
                <w:color w:val="auto"/>
              </w:rPr>
              <w:t>ORBIMED CAPITAL GP VI LLC</w:t>
            </w:r>
          </w:p>
        </w:tc>
        <w:tc>
          <w:tcPr>
            <w:tcW w:w="1140" w:type="dxa"/>
            <w:vAlign w:val="bottom"/>
          </w:tcPr>
          <w:p>
            <w:pPr>
              <w:spacing w:after="0"/>
              <w:rPr>
                <w:sz w:val="24"/>
                <w:szCs w:val="24"/>
                <w:color w:val="auto"/>
              </w:rPr>
            </w:pPr>
          </w:p>
        </w:tc>
      </w:tr>
      <w:tr>
        <w:trPr>
          <w:trHeight w:val="432"/>
        </w:trPr>
        <w:tc>
          <w:tcPr>
            <w:tcW w:w="6400" w:type="dxa"/>
            <w:vAlign w:val="bottom"/>
          </w:tcPr>
          <w:p>
            <w:pPr>
              <w:ind w:left="5720"/>
              <w:spacing w:after="0"/>
              <w:rPr>
                <w:sz w:val="20"/>
                <w:szCs w:val="20"/>
                <w:color w:val="auto"/>
              </w:rPr>
            </w:pPr>
            <w:r>
              <w:rPr>
                <w:rFonts w:ascii="Arial" w:cs="Arial" w:eastAsia="Arial" w:hAnsi="Arial"/>
                <w:sz w:val="18"/>
                <w:szCs w:val="18"/>
                <w:color w:val="auto"/>
              </w:rPr>
              <w:t>By:</w:t>
            </w:r>
          </w:p>
        </w:tc>
        <w:tc>
          <w:tcPr>
            <w:tcW w:w="3880" w:type="dxa"/>
            <w:vAlign w:val="bottom"/>
          </w:tcPr>
          <w:p>
            <w:pPr>
              <w:spacing w:after="0"/>
              <w:rPr>
                <w:sz w:val="20"/>
                <w:szCs w:val="20"/>
                <w:color w:val="auto"/>
              </w:rPr>
            </w:pPr>
            <w:r>
              <w:rPr>
                <w:rFonts w:ascii="Arial" w:cs="Arial" w:eastAsia="Arial" w:hAnsi="Arial"/>
                <w:sz w:val="18"/>
                <w:szCs w:val="18"/>
                <w:color w:val="auto"/>
                <w:w w:val="95"/>
              </w:rPr>
              <w:t>ORBIMED ADVISORS LLC, its managing member</w:t>
            </w:r>
          </w:p>
        </w:tc>
        <w:tc>
          <w:tcPr>
            <w:tcW w:w="1140" w:type="dxa"/>
            <w:vAlign w:val="bottom"/>
          </w:tcPr>
          <w:p>
            <w:pPr>
              <w:spacing w:after="0"/>
              <w:rPr>
                <w:sz w:val="24"/>
                <w:szCs w:val="24"/>
                <w:color w:val="auto"/>
              </w:rPr>
            </w:pPr>
          </w:p>
        </w:tc>
      </w:tr>
      <w:tr>
        <w:trPr>
          <w:trHeight w:val="432"/>
        </w:trPr>
        <w:tc>
          <w:tcPr>
            <w:tcW w:w="6400" w:type="dxa"/>
            <w:vAlign w:val="bottom"/>
          </w:tcPr>
          <w:p>
            <w:pPr>
              <w:spacing w:after="0"/>
              <w:rPr>
                <w:sz w:val="24"/>
                <w:szCs w:val="24"/>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Member of OrbiMed Advisors LLC</w:t>
            </w:r>
          </w:p>
        </w:tc>
        <w:tc>
          <w:tcPr>
            <w:tcW w:w="1140" w:type="dxa"/>
            <w:vAlign w:val="bottom"/>
          </w:tcPr>
          <w:p>
            <w:pPr>
              <w:spacing w:after="0"/>
              <w:rPr>
                <w:sz w:val="24"/>
                <w:szCs w:val="24"/>
                <w:color w:val="auto"/>
              </w:rPr>
            </w:pPr>
          </w:p>
        </w:tc>
      </w:tr>
      <w:tr>
        <w:trPr>
          <w:trHeight w:val="453"/>
        </w:trPr>
        <w:tc>
          <w:tcPr>
            <w:tcW w:w="6400" w:type="dxa"/>
            <w:vAlign w:val="bottom"/>
          </w:tcPr>
          <w:p>
            <w:pPr>
              <w:ind w:left="5720"/>
              <w:spacing w:after="0"/>
              <w:rPr>
                <w:sz w:val="20"/>
                <w:szCs w:val="20"/>
                <w:color w:val="auto"/>
              </w:rPr>
            </w:pPr>
            <w:r>
              <w:rPr>
                <w:rFonts w:ascii="Arial" w:cs="Arial" w:eastAsia="Arial" w:hAnsi="Arial"/>
                <w:sz w:val="18"/>
                <w:szCs w:val="18"/>
                <w:color w:val="auto"/>
              </w:rPr>
              <w:t>By:</w:t>
            </w:r>
          </w:p>
        </w:tc>
        <w:tc>
          <w:tcPr>
            <w:tcW w:w="3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Jonathan Silverstein</w:t>
            </w:r>
          </w:p>
        </w:tc>
        <w:tc>
          <w:tcPr>
            <w:tcW w:w="1140" w:type="dxa"/>
            <w:vAlign w:val="bottom"/>
          </w:tcPr>
          <w:p>
            <w:pPr>
              <w:spacing w:after="0"/>
              <w:rPr>
                <w:sz w:val="24"/>
                <w:szCs w:val="24"/>
                <w:color w:val="auto"/>
              </w:rPr>
            </w:pPr>
          </w:p>
        </w:tc>
      </w:tr>
      <w:tr>
        <w:trPr>
          <w:trHeight w:val="202"/>
        </w:trPr>
        <w:tc>
          <w:tcPr>
            <w:tcW w:w="6400" w:type="dxa"/>
            <w:vAlign w:val="bottom"/>
          </w:tcPr>
          <w:p>
            <w:pPr>
              <w:spacing w:after="0"/>
              <w:rPr>
                <w:sz w:val="17"/>
                <w:szCs w:val="17"/>
                <w:color w:val="auto"/>
              </w:rPr>
            </w:pPr>
          </w:p>
        </w:tc>
        <w:tc>
          <w:tcPr>
            <w:tcW w:w="3880" w:type="dxa"/>
            <w:vAlign w:val="bottom"/>
          </w:tcPr>
          <w:p>
            <w:pPr>
              <w:spacing w:after="0" w:line="201" w:lineRule="exact"/>
              <w:rPr>
                <w:sz w:val="20"/>
                <w:szCs w:val="20"/>
                <w:color w:val="auto"/>
              </w:rPr>
            </w:pPr>
            <w:r>
              <w:rPr>
                <w:rFonts w:ascii="Arial" w:cs="Arial" w:eastAsia="Arial" w:hAnsi="Arial"/>
                <w:sz w:val="18"/>
                <w:szCs w:val="18"/>
                <w:color w:val="auto"/>
              </w:rPr>
              <w:t>Jonathan Silverstein</w:t>
            </w:r>
          </w:p>
        </w:tc>
        <w:tc>
          <w:tcPr>
            <w:tcW w:w="1140" w:type="dxa"/>
            <w:vAlign w:val="bottom"/>
          </w:tcPr>
          <w:p>
            <w:pPr>
              <w:spacing w:after="0"/>
              <w:rPr>
                <w:sz w:val="17"/>
                <w:szCs w:val="17"/>
                <w:color w:val="auto"/>
              </w:rPr>
            </w:pPr>
          </w:p>
        </w:tc>
      </w:tr>
      <w:tr>
        <w:trPr>
          <w:trHeight w:val="230"/>
        </w:trPr>
        <w:tc>
          <w:tcPr>
            <w:tcW w:w="6400" w:type="dxa"/>
            <w:vAlign w:val="bottom"/>
          </w:tcPr>
          <w:p>
            <w:pPr>
              <w:spacing w:after="0"/>
              <w:rPr>
                <w:sz w:val="20"/>
                <w:szCs w:val="20"/>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Title: Member of OrbiMed Advisors LLC</w:t>
            </w:r>
          </w:p>
        </w:tc>
        <w:tc>
          <w:tcPr>
            <w:tcW w:w="1140" w:type="dxa"/>
            <w:vAlign w:val="bottom"/>
          </w:tcPr>
          <w:p>
            <w:pPr>
              <w:spacing w:after="0"/>
              <w:rPr>
                <w:sz w:val="20"/>
                <w:szCs w:val="20"/>
                <w:color w:val="auto"/>
              </w:rPr>
            </w:pPr>
          </w:p>
        </w:tc>
      </w:tr>
      <w:tr>
        <w:trPr>
          <w:trHeight w:val="1466"/>
        </w:trPr>
        <w:tc>
          <w:tcPr>
            <w:tcW w:w="6400" w:type="dxa"/>
            <w:vAlign w:val="bottom"/>
            <w:tcBorders>
              <w:bottom w:val="single" w:sz="8" w:color="auto"/>
            </w:tcBorders>
          </w:tcPr>
          <w:p>
            <w:pPr>
              <w:spacing w:after="0"/>
              <w:rPr>
                <w:sz w:val="24"/>
                <w:szCs w:val="24"/>
                <w:color w:val="auto"/>
              </w:rPr>
            </w:pPr>
          </w:p>
        </w:tc>
        <w:tc>
          <w:tcPr>
            <w:tcW w:w="388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420"/>
      </w:cols>
      <w:pgMar w:left="240" w:top="39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2"/>
      <w:numFmt w:val="bullet"/>
      <w:start w:val="1"/>
    </w:lvl>
  </w:abstractNum>
  <w:abstractNum w:abstractNumId="2">
    <w:nsid w:val="7545E146"/>
    <w:multiLevelType w:val="hybridMultilevel"/>
    <w:lvl w:ilvl="0">
      <w:lvlJc w:val="left"/>
      <w:lvlText w:val="*"/>
      <w:numFmt w:val="bullet"/>
      <w:start w:val="1"/>
    </w:lvl>
  </w:abstractNum>
  <w:abstractNum w:abstractNumId="3">
    <w:nsid w:val="515F007C"/>
    <w:multiLevelType w:val="hybridMultilevel"/>
    <w:lvl w:ilvl="0">
      <w:lvlJc w:val="left"/>
      <w:lvlText w:val="2"/>
      <w:numFmt w:val="bullet"/>
      <w:start w:val="1"/>
    </w:lvl>
  </w:abstractNum>
  <w:abstractNum w:abstractNumId="4">
    <w:nsid w:val="5BD062C2"/>
    <w:multiLevelType w:val="hybridMultilevel"/>
    <w:lvl w:ilvl="0">
      <w:lvlJc w:val="left"/>
      <w:lvlText w:val="*"/>
      <w:numFmt w:val="bullet"/>
      <w:start w:val="1"/>
    </w:lvl>
  </w:abstractNum>
  <w:abstractNum w:abstractNumId="5">
    <w:nsid w:val="12200854"/>
    <w:multiLevelType w:val="hybridMultilevel"/>
    <w:lvl w:ilvl="0">
      <w:lvlJc w:val="left"/>
      <w:lvlText w:val="(%1)"/>
      <w:numFmt w:val="lowerLetter"/>
      <w:start w:val="1"/>
    </w:lvl>
  </w:abstractNum>
  <w:abstractNum w:abstractNumId="6">
    <w:nsid w:val="4DB127F8"/>
    <w:multiLevelType w:val="hybridMultilevel"/>
    <w:lvl w:ilvl="0">
      <w:lvlJc w:val="left"/>
      <w:lvlText w:val="(%1)"/>
      <w:numFmt w:val="lowerRoman"/>
      <w:start w:val="1"/>
    </w:lvl>
  </w:abstractNum>
  <w:abstractNum w:abstractNumId="7">
    <w:nsid w:val="216231B"/>
    <w:multiLevelType w:val="hybridMultilevel"/>
    <w:lvl w:ilvl="0">
      <w:lvlJc w:val="left"/>
      <w:lvlText w:val="(%1)"/>
      <w:numFmt w:val="lowerLetter"/>
      <w:start w:val="4"/>
    </w:lvl>
  </w:abstractNum>
  <w:abstractNum w:abstractNumId="8">
    <w:nsid w:val="1F16E9E8"/>
    <w:multiLevelType w:val="hybridMultilevel"/>
    <w:lvl w:ilvl="0">
      <w:lvlJc w:val="left"/>
      <w:lvlText w:val="(%1)"/>
      <w:numFmt w:val="lowerLetter"/>
      <w:start w:val="1"/>
    </w:lvl>
  </w:abstractNum>
  <w:abstractNum w:abstractNumId="9">
    <w:nsid w:val="1190CDE7"/>
    <w:multiLevelType w:val="hybridMultilevel"/>
    <w:lvl w:ilvl="0">
      <w:lvlJc w:val="left"/>
      <w:lvlText w:val="(%1)"/>
      <w:numFmt w:val="lowerLetter"/>
      <w:start w:val="3"/>
    </w:lvl>
  </w:abstractNum>
  <w:abstractNum w:abstractNumId="10">
    <w:nsid w:val="66EF438D"/>
    <w:multiLevelType w:val="hybridMultilevel"/>
    <w:lvl w:ilvl="0">
      <w:lvlJc w:val="left"/>
      <w:lvlText w:val="(%1)"/>
      <w:numFmt w:val="decimal"/>
      <w:start w:val="1"/>
    </w:lvl>
  </w:abstractNum>
  <w:abstractNum w:abstractNumId="11">
    <w:nsid w:val="140E0F76"/>
    <w:multiLevelType w:val="hybridMultilevel"/>
    <w:lvl w:ilvl="0">
      <w:lvlJc w:val="left"/>
      <w:lvlText w:val="%1."/>
      <w:numFmt w:val="decimal"/>
      <w:start w:val="1"/>
    </w:lvl>
  </w:abstractNum>
  <w:abstractNum w:abstractNumId="12">
    <w:nsid w:val="3352255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2019-12-02T17:52:52Z</dcterms:created>
  <dcterms:modified xsi:type="dcterms:W3CDTF">2019-12-02T17:52:52Z</dcterms:modified>
</cp:coreProperties>
</file>