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NextCure,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722,419.00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722,419.00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722,419.00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15.8 %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722,419 shares of common stock, $0.001 par value per share ("Common Stock"), of NextCure, Inc. (the "Issuer") owned directly by private investment funds managed by ADAR1 Capital Management, LLC and separately managed accounts of ADAR1 Capital Management, LLC. Such securities may be deemed to be indirectly beneficially owned by ADAR1 Capital Management, LLC. The percentage in box 11 is based on 4,577,359 shares of Common Stock outstanding as of July 31, 2026, as reported in the Issuer's Quarterly Report on Form 10-Q for the quarterly period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722,419.00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722,419.00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722,419.00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15.8 %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722,419 shares of common stock, $0.001 par value per share ("Common Stock"), of NextCure, Inc. (the "Issuer") owned directly by private investment funds managed by ADAR1 Capital Management, LLC and separately managed accounts of ADAR1 Capital Management, LLC. Such securities may be deemed to be indirectly beneficially owned by Daniel Schneeberger, the sole manager of ADAR1 Capital Management, LLC. The percentage in box 11 is based on 4,577,359 shares of Common Stock outstanding as of July 31, 2026, as reported in the Company's Quarterly Report on Form 10-Q for the quarterly period ended June 30, 2026,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NextCure,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9000 Virginia Manor Road, Suite 140, Beltsville, MD 20705</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23241d17_ex99-a.htm"/>
      <w:bookmarkStart w:id="21" w:name="kstm2623241d17_ex99a"/>
      <w:bookmarkEnd w:id="20"/>
      <w:bookmarkEnd w:id="21"/>
      <w:r>
        <w:rPr/>
        <w:t> </w:t>
      </w:r>
      <w:r>
        <w:br w:type="page"/>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$0.001 par value per share, of NextCure, Inc., and further agree that this Joint Filing Agreement be included as an Exhibit to such joint filings.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August 14, 2026.</w:t>
      </w:r>
    </w:p>
    <w:p>
      <w:pPr>
        <w:pStyle w:val="TextBody"/>
        <w:bidi w:val="0"/>
        <w:spacing w:before="0" w:after="0"/>
        <w:ind w:left="0" w:right="0" w:hanging="0"/>
        <w:jc w:val="center"/>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Schneeberger</w:t>
            </w:r>
            <w:r>
              <w:rPr>
                <w:rFonts w:ascii="Times New Roman;Times;Serif" w:hAnsi="Times New Roman;Times;Serif"/>
                <w:b w:val="false"/>
                <w:i w:val="false"/>
                <w:caps w:val="false"/>
                <w:smallCaps w:val="false"/>
                <w:sz w:val="20"/>
              </w:rPr>
              <w:t>, in his individual 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1459</Words>
  <Characters>7714</Characters>
  <CharactersWithSpaces>9150</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