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nxtc-20260331x10q.htm"/>
        <w:bookmarkStart w:id="1" w:name="ksnxtc20260331x10q"/>
        <w:bookmarkEnd w:id="0"/>
        <w:bookmarkEnd w:id="1"/>
        <w:r>
          <w:rPr>
            <w:rStyle w:val="InternetLink"/>
            <w:rFonts w:ascii="Times New Roman;Times;serif" w:hAnsi="Times New Roman;Times;serif"/>
            <w:b w:val="false"/>
            <w:i w:val="false"/>
            <w:caps w:val="false"/>
            <w:smallCaps w:val="false"/>
            <w:sz w:val="24"/>
          </w:rPr>
          <w:t>Table of Contents</w:t>
        </w:r>
      </w:hyperlink>
    </w:p>
    <w:p>
      <w:pPr>
        <w:pStyle w:val="TextBody"/>
        <w:pBdr>
          <w:top w:val="single" w:sz="24" w:space="1" w:color="000000"/>
          <w:bottom w:val="single" w:sz="8"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bookmarkStart w:id="2" w:name="_e46d5b53_d821_4835_8ca6_7a9a0b300e7a"/>
      <w:bookmarkEnd w:id="2"/>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8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npRw4RoEq0GsEPw-i0Tv1A_1_1"/>
      <w:bookmarkStart w:id="4" w:name="_dabe6e60_9f46_492a_8d8b_3c510b5e2982"/>
      <w:bookmarkStart w:id="5" w:name="Tc_npRw4RoEq0GsEPw-i0Tv1A_1_1"/>
      <w:bookmarkStart w:id="6" w:name="_dabe6e60_9f46_492a_8d8b_3c510b5e2982"/>
      <w:bookmarkEnd w:id="5"/>
      <w:bookmarkEnd w:id="6"/>
    </w:p>
    <w:tbl>
      <w:tblPr>
        <w:tblW w:w="9782" w:type="dxa"/>
        <w:jc w:val="left"/>
        <w:tblInd w:w="0" w:type="dxa"/>
        <w:tblLayout w:type="fixed"/>
        <w:tblCellMar>
          <w:top w:w="0" w:type="dxa"/>
          <w:left w:w="0" w:type="dxa"/>
          <w:bottom w:w="0" w:type="dxa"/>
          <w:right w:w="0" w:type="dxa"/>
        </w:tblCellMar>
      </w:tblPr>
      <w:tblGrid>
        <w:gridCol w:w="331"/>
        <w:gridCol w:w="945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5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lineRule="auto" w:line="304" w:before="0" w:after="0"/>
              <w:ind w:left="0" w:right="0" w:hanging="0"/>
              <w:jc w:val="center"/>
              <w:rPr/>
            </w:pPr>
            <w:r>
              <w:rPr/>
              <w:t>☒</w:t>
            </w:r>
          </w:p>
        </w:tc>
        <w:tc>
          <w:tcPr>
            <w:tcW w:w="9451" w:type="dxa"/>
            <w:tcBorders/>
            <w:vAlign w:val="center"/>
          </w:tcPr>
          <w:p>
            <w:pPr>
              <w:pStyle w:val="TableContents"/>
              <w:bidi w:val="0"/>
              <w:spacing w:lineRule="auto" w:line="304" w:before="0" w:after="0"/>
              <w:ind w:left="0" w:right="0" w:hanging="0"/>
              <w:jc w:val="left"/>
              <w:rPr>
                <w:rFonts w:ascii="Times New Roman;Times;serif" w:hAnsi="Times New Roman;Times;serif"/>
                <w:b/>
                <w:caps/>
                <w:sz w:val="18"/>
              </w:rPr>
            </w:pPr>
            <w:r>
              <w:rPr>
                <w:rFonts w:ascii="Times New Roman;Times;serif" w:hAnsi="Times New Roman;Times;serif"/>
                <w:b/>
                <w:caps/>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9lJ4W2yvNk66iQQr_us_vw_1_1"/>
      <w:bookmarkStart w:id="8" w:name="_708522db_da3f_43a6_bb4b_30ee113e556c"/>
      <w:bookmarkStart w:id="9" w:name="Tc_9lJ4W2yvNk66iQQr_us_vw_1_1"/>
      <w:bookmarkStart w:id="10" w:name="_708522db_da3f_43a6_bb4b_30ee113e556c"/>
      <w:bookmarkEnd w:id="9"/>
      <w:bookmarkEnd w:id="10"/>
    </w:p>
    <w:tbl>
      <w:tblPr>
        <w:tblW w:w="9782" w:type="dxa"/>
        <w:jc w:val="left"/>
        <w:tblInd w:w="0" w:type="dxa"/>
        <w:tblLayout w:type="fixed"/>
        <w:tblCellMar>
          <w:top w:w="0" w:type="dxa"/>
          <w:left w:w="0" w:type="dxa"/>
          <w:bottom w:w="0" w:type="dxa"/>
          <w:right w:w="0" w:type="dxa"/>
        </w:tblCellMar>
      </w:tblPr>
      <w:tblGrid>
        <w:gridCol w:w="331"/>
        <w:gridCol w:w="945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5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lineRule="auto" w:line="304" w:before="0" w:after="0"/>
              <w:ind w:left="0" w:right="0" w:hanging="0"/>
              <w:jc w:val="center"/>
              <w:rPr/>
            </w:pPr>
            <w:r>
              <w:rPr/>
              <w:t>☐</w:t>
            </w:r>
          </w:p>
        </w:tc>
        <w:tc>
          <w:tcPr>
            <w:tcW w:w="9451" w:type="dxa"/>
            <w:tcBorders/>
            <w:vAlign w:val="center"/>
          </w:tcPr>
          <w:p>
            <w:pPr>
              <w:pStyle w:val="TableContents"/>
              <w:bidi w:val="0"/>
              <w:spacing w:lineRule="auto" w:line="304" w:before="0" w:after="0"/>
              <w:ind w:left="0" w:right="0" w:hanging="0"/>
              <w:jc w:val="left"/>
              <w:rPr>
                <w:rFonts w:ascii="Times New Roman;Times;serif" w:hAnsi="Times New Roman;Times;serif"/>
                <w:b/>
                <w:caps/>
                <w:sz w:val="18"/>
              </w:rPr>
            </w:pPr>
            <w:r>
              <w:rPr>
                <w:rFonts w:ascii="Times New Roman;Times;serif" w:hAnsi="Times New Roman;Times;serif"/>
                <w:b/>
                <w:caps/>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Commission File Number: 001-38905</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NextCure, Inc.</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11" w:name="Tc_IJ04j0e5UkqlEm-DpwA_BA_4_1"/>
      <w:bookmarkStart w:id="12" w:name="Tc_L8bckiSpdEC8FaF9YZIu-Q_4_0"/>
      <w:bookmarkStart w:id="13" w:name="Tc_V3obYxWUlUGrcr2rSbKTSw_3_0"/>
      <w:bookmarkStart w:id="14" w:name="Tc_3CqT62ax_0OTxaul-sVYKg_1_1"/>
      <w:bookmarkStart w:id="15" w:name="Tc_TNC1fNbtjEqZq0yxrFtDVA_1_0"/>
      <w:bookmarkStart w:id="16" w:name="_3df319e9_60b0_45d2_848d_e09901aaa47c"/>
      <w:bookmarkStart w:id="17" w:name="Tc_IJ04j0e5UkqlEm-DpwA_BA_4_1"/>
      <w:bookmarkStart w:id="18" w:name="Tc_L8bckiSpdEC8FaF9YZIu-Q_4_0"/>
      <w:bookmarkStart w:id="19" w:name="Tc_V3obYxWUlUGrcr2rSbKTSw_3_0"/>
      <w:bookmarkStart w:id="20" w:name="Tc_3CqT62ax_0OTxaul-sVYKg_1_1"/>
      <w:bookmarkStart w:id="21" w:name="Tc_TNC1fNbtjEqZq0yxrFtDVA_1_0"/>
      <w:bookmarkStart w:id="22" w:name="_3df319e9_60b0_45d2_848d_e09901aaa47c"/>
      <w:bookmarkEnd w:id="17"/>
      <w:bookmarkEnd w:id="18"/>
      <w:bookmarkEnd w:id="19"/>
      <w:bookmarkEnd w:id="20"/>
      <w:bookmarkEnd w:id="21"/>
      <w:bookmarkEnd w:id="22"/>
    </w:p>
    <w:tbl>
      <w:tblPr>
        <w:tblW w:w="6962" w:type="dxa"/>
        <w:jc w:val="left"/>
        <w:tblInd w:w="0" w:type="dxa"/>
        <w:tblLayout w:type="fixed"/>
        <w:tblCellMar>
          <w:top w:w="0" w:type="dxa"/>
          <w:left w:w="0" w:type="dxa"/>
          <w:bottom w:w="0" w:type="dxa"/>
          <w:right w:w="0" w:type="dxa"/>
        </w:tblCellMar>
      </w:tblPr>
      <w:tblGrid>
        <w:gridCol w:w="4291"/>
        <w:gridCol w:w="2671"/>
      </w:tblGrid>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47-5231247</w:t>
            </w:r>
          </w:p>
        </w:tc>
      </w:tr>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lineRule="auto" w:line="304" w:before="0" w:after="0"/>
              <w:ind w:left="0" w:right="0" w:hanging="0"/>
              <w:jc w:val="center"/>
              <w:rPr/>
            </w:pPr>
            <w:r>
              <w:rPr/>
              <w:t>​</w:t>
            </w:r>
          </w:p>
        </w:tc>
        <w:tc>
          <w:tcPr>
            <w:tcW w:w="2671" w:type="dxa"/>
            <w:tcBorders/>
            <w:vAlign w:val="center"/>
          </w:tcPr>
          <w:p>
            <w:pPr>
              <w:pStyle w:val="TableContents"/>
              <w:bidi w:val="0"/>
              <w:spacing w:lineRule="auto" w:line="304" w:before="0" w:after="0"/>
              <w:ind w:left="0" w:right="0" w:hanging="0"/>
              <w:jc w:val="center"/>
              <w:rPr/>
            </w:pPr>
            <w:r>
              <w:rPr/>
              <w:t>​</w:t>
            </w:r>
          </w:p>
        </w:tc>
      </w:tr>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9000 Virginia Manor Road, Suite 200</w:t>
              <w:br/>
              <w:t>Beltsville, Maryland</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20705</w:t>
            </w:r>
          </w:p>
        </w:tc>
      </w:tr>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(240) 399-4900</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23" w:name="Tc_JcN6rJ6n90a445MTEt_7rA_0_2"/>
      <w:bookmarkStart w:id="24" w:name="Tc_eoCo6ubKLU-RbG4pZpBXmA_0_1"/>
      <w:bookmarkStart w:id="25" w:name="Tc_CAIYzHjOwE2OiSyZ-R3Lhg_0_0"/>
      <w:bookmarkStart w:id="26" w:name="_31ccb22e_4cd5_449a_b3fe_0275418db443"/>
      <w:bookmarkStart w:id="27" w:name="Tc_JcN6rJ6n90a445MTEt_7rA_0_2"/>
      <w:bookmarkStart w:id="28" w:name="Tc_eoCo6ubKLU-RbG4pZpBXmA_0_1"/>
      <w:bookmarkStart w:id="29" w:name="Tc_CAIYzHjOwE2OiSyZ-R3Lhg_0_0"/>
      <w:bookmarkStart w:id="30" w:name="_31ccb22e_4cd5_449a_b3fe_0275418db443"/>
      <w:bookmarkEnd w:id="27"/>
      <w:bookmarkEnd w:id="28"/>
      <w:bookmarkEnd w:id="29"/>
      <w:bookmarkEnd w:id="30"/>
    </w:p>
    <w:tbl>
      <w:tblPr>
        <w:tblW w:w="7893" w:type="dxa"/>
        <w:jc w:val="left"/>
        <w:tblInd w:w="0" w:type="dxa"/>
        <w:tblLayout w:type="fixed"/>
        <w:tblCellMar>
          <w:top w:w="28" w:type="dxa"/>
          <w:left w:w="28" w:type="dxa"/>
          <w:bottom w:w="28" w:type="dxa"/>
          <w:right w:w="28" w:type="dxa"/>
        </w:tblCellMar>
      </w:tblPr>
      <w:tblGrid>
        <w:gridCol w:w="3196"/>
        <w:gridCol w:w="1426"/>
        <w:gridCol w:w="3271"/>
      </w:tblGrid>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NXTC</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8"/>
        </w:rPr>
        <w:t xml:space="preserve">No </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4"/>
        </w:rPr>
        <w:t xml:space="preserve"> ☒ </w:t>
      </w:r>
      <w:r>
        <w:rPr>
          <w:rFonts w:ascii="Times New Roman;Times;serif" w:hAnsi="Times New Roman;Times;serif"/>
          <w:sz w:val="18"/>
        </w:rPr>
        <w:t xml:space="preserve">No </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217" w:type="dxa"/>
        <w:jc w:val="left"/>
        <w:tblInd w:w="0" w:type="dxa"/>
        <w:tblLayout w:type="fixed"/>
        <w:tblCellMar>
          <w:top w:w="0" w:type="dxa"/>
          <w:left w:w="0" w:type="dxa"/>
          <w:bottom w:w="0" w:type="dxa"/>
          <w:right w:w="0" w:type="dxa"/>
        </w:tblCellMar>
      </w:tblPr>
      <w:tblGrid>
        <w:gridCol w:w="1876"/>
        <w:gridCol w:w="2341"/>
      </w:tblGrid>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23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18"/>
              </w:rPr>
              <w:t>Non-accelerated filer</w:t>
            </w:r>
            <w:r>
              <w:rPr>
                <w:rFonts w:ascii="Times New Roman;Times;serif" w:hAnsi="Times New Roman;Times;serif"/>
                <w:sz w:val="24"/>
              </w:rPr>
              <w:t xml:space="preserve"> ☒</w:t>
            </w:r>
          </w:p>
        </w:tc>
        <w:tc>
          <w:tcPr>
            <w:tcW w:w="234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 xml:space="preserve">Smaller reporting company </w:t>
            </w:r>
            <w:r>
              <w:rPr>
                <w:rFonts w:ascii="Times New Roman;Times;serif" w:hAnsi="Times New Roman;Times;serif"/>
                <w:sz w:val="24"/>
              </w:rPr>
              <w:t>☒</w:t>
            </w:r>
          </w:p>
        </w:tc>
      </w:tr>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 xml:space="preserve">Emerging growth company </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4"/>
        </w:rPr>
        <w:t>☐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As of May 1, 2026, the registrant had 3,612,096 shares of common stock, par value $0.001 per share, issued and outstanding.</w:t>
      </w:r>
    </w:p>
    <w:p>
      <w:pPr>
        <w:pStyle w:val="TextBody"/>
        <w:bidi w:val="0"/>
        <w:spacing w:before="0" w:after="0"/>
        <w:ind w:left="0" w:right="0" w:firstLine="720"/>
        <w:jc w:val="left"/>
        <w:rPr/>
      </w:pPr>
      <w:r>
        <w:rPr/>
        <w:t>​</w:t>
      </w:r>
    </w:p>
    <w:p>
      <w:pPr>
        <w:pStyle w:val="TextBody"/>
        <w:pBdr>
          <w:top w:val="single" w:sz="8" w:space="1" w:color="000000"/>
          <w:bottom w:val="single" w:sz="24" w:space="1" w:color="000000"/>
        </w:pBdr>
        <w:bidi w:val="0"/>
        <w:spacing w:lineRule="atLeast" w:line="142"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45f62bad_c3df_495b_b88a_8e5ca1290668"/>
      <w:bookmarkStart w:id="32" w:name="TOC"/>
      <w:bookmarkEnd w:id="31"/>
      <w:bookmarkEnd w:id="32"/>
      <w:r>
        <w:rPr>
          <w:rFonts w:ascii="Times New Roman;Times;serif" w:hAnsi="Times New Roman;Times;serif"/>
          <w:b/>
          <w:sz w:val="20"/>
        </w:rPr>
        <w:t>NextCure,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March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3"/>
        <w:gridCol w:w="8940"/>
        <w:gridCol w:w="512"/>
      </w:tblGrid>
      <w:tr>
        <w:trPr/>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78155" cy="175260"/>
                      <wp:effectExtent l="0" t="0" r="0" b="0"/>
                      <wp:wrapNone/>
                      <wp:docPr id="1" name="Frame1"/>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676900" cy="175260"/>
                      <wp:effectExtent l="0" t="0" r="0" b="0"/>
                      <wp:wrapNone/>
                      <wp:docPr id="2" name="Frame2"/>
                      <a:graphic xmlns:a="http://schemas.openxmlformats.org/drawingml/2006/main">
                        <a:graphicData uri="http://schemas.microsoft.com/office/word/2010/wordprocessingShape">
                          <wps:wsp>
                            <wps:cNvSpPr txBox="1"/>
                            <wps:spPr>
                              <a:xfrm>
                                <a:off x="0" y="0"/>
                                <a:ext cx="567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25120" cy="29210"/>
                      <wp:effectExtent l="0" t="0" r="0" b="0"/>
                      <wp:wrapNone/>
                      <wp:docPr id="3" name="Frame3"/>
                      <a:graphic xmlns:a="http://schemas.openxmlformats.org/drawingml/2006/main">
                        <a:graphicData uri="http://schemas.microsoft.com/office/word/2010/wordprocessingShape">
                          <wps:wsp>
                            <wps:cNvSpPr txBox="1"/>
                            <wps:spPr>
                              <a:xfrm>
                                <a:off x="0" y="0"/>
                                <a:ext cx="325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3" w:type="dxa"/>
            <w:tcBorders/>
            <w:vAlign w:val="center"/>
          </w:tcPr>
          <w:p>
            <w:pPr>
              <w:pStyle w:val="TableContents"/>
              <w:bidi w:val="0"/>
              <w:spacing w:lineRule="auto" w:line="304" w:before="0" w:after="0"/>
              <w:ind w:left="0" w:right="0" w:hanging="0"/>
              <w:jc w:val="center"/>
              <w:rPr/>
            </w:pPr>
            <w:r>
              <w:rPr/>
              <w:t>​</w:t>
            </w:r>
          </w:p>
        </w:tc>
        <w:tc>
          <w:tcPr>
            <w:tcW w:w="8940" w:type="dxa"/>
            <w:tcBorders/>
            <w:vAlign w:val="center"/>
          </w:tcPr>
          <w:p>
            <w:pPr>
              <w:pStyle w:val="TableContents"/>
              <w:bidi w:val="0"/>
              <w:spacing w:lineRule="auto" w:line="304" w:before="0" w:after="0"/>
              <w:ind w:left="0" w:right="0" w:hanging="0"/>
              <w:jc w:val="center"/>
              <w:rPr/>
            </w:pPr>
            <w:r>
              <w:rPr/>
              <w:t>​</w:t>
            </w:r>
          </w:p>
        </w:tc>
        <w:tc>
          <w:tcPr>
            <w:tcW w:w="512"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3" w:type="dxa"/>
            <w:gridSpan w:val="2"/>
            <w:tcBorders/>
            <w:vAlign w:val="center"/>
          </w:tcPr>
          <w:p>
            <w:pPr>
              <w:pStyle w:val="TableContents"/>
              <w:pBdr/>
              <w:bidi w:val="0"/>
              <w:spacing w:lineRule="auto" w:line="304" w:before="0" w:after="0"/>
              <w:ind w:left="0" w:right="0" w:hanging="0"/>
              <w:jc w:val="left"/>
              <w:rPr/>
            </w:pPr>
            <w:hyperlink w:anchor="Part1">
              <w:r>
                <w:rPr>
                  <w:rStyle w:val="InternetLink"/>
                  <w:rFonts w:ascii="Times New Roman;Times;serif" w:hAnsi="Times New Roman;Times;serif"/>
                  <w:b/>
                  <w:i w:val="false"/>
                  <w:caps w:val="false"/>
                  <w:smallCaps w:val="false"/>
                  <w:sz w:val="20"/>
                </w:rPr>
                <w:t>PART I. FINANCIAL INFORMATION</w:t>
              </w:r>
            </w:hyperlink>
          </w:p>
        </w:tc>
        <w:tc>
          <w:tcPr>
            <w:tcW w:w="512"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tcBorders/>
            <w:vAlign w:val="center"/>
          </w:tcPr>
          <w:p>
            <w:pPr>
              <w:pStyle w:val="TableContents"/>
              <w:pBdr/>
              <w:bidi w:val="0"/>
              <w:spacing w:lineRule="auto" w:line="304" w:before="0" w:after="0"/>
              <w:ind w:left="0" w:right="0" w:hanging="0"/>
              <w:jc w:val="left"/>
              <w:rPr/>
            </w:pPr>
            <w:hyperlink w:anchor="Item1_FinancialStatements">
              <w:r>
                <w:rPr>
                  <w:rStyle w:val="InternetLink"/>
                  <w:rFonts w:ascii="Times New Roman;Times;serif" w:hAnsi="Times New Roman;Times;serif"/>
                  <w:b w:val="false"/>
                  <w:i w:val="false"/>
                  <w:caps w:val="false"/>
                  <w:smallCaps w:val="false"/>
                  <w:sz w:val="20"/>
                </w:rPr>
                <w:t>Item 1.</w:t>
              </w:r>
            </w:hyperlink>
          </w:p>
        </w:tc>
        <w:tc>
          <w:tcPr>
            <w:tcW w:w="8940" w:type="dxa"/>
            <w:tcBorders/>
            <w:vAlign w:val="center"/>
          </w:tcPr>
          <w:p>
            <w:pPr>
              <w:pStyle w:val="TableContents"/>
              <w:bidi w:val="0"/>
              <w:spacing w:lineRule="auto" w:line="304" w:before="0" w:after="0"/>
              <w:ind w:left="0" w:right="0" w:hanging="0"/>
              <w:jc w:val="left"/>
              <w:rPr/>
            </w:pPr>
            <w:hyperlink w:anchor="Item1_FinancialStatements">
              <w:r>
                <w:rPr>
                  <w:rStyle w:val="InternetLink"/>
                  <w:rFonts w:ascii="Times New Roman;Times;serif" w:hAnsi="Times New Roman;Times;serif"/>
                  <w:b w:val="false"/>
                  <w:i w:val="false"/>
                  <w:caps w:val="false"/>
                  <w:smallCaps w:val="false"/>
                  <w:sz w:val="20"/>
                </w:rPr>
                <w:t>Financial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53" w:type="dxa"/>
            <w:tcBorders/>
            <w:vAlign w:val="center"/>
          </w:tcPr>
          <w:p>
            <w:pPr>
              <w:pStyle w:val="TableContents"/>
              <w:pBdr/>
              <w:bidi w:val="0"/>
              <w:spacing w:lineRule="auto" w:line="304" w:before="0" w:after="0"/>
              <w:ind w:left="0" w:right="0" w:hanging="0"/>
              <w:jc w:val="left"/>
              <w:rPr/>
            </w:pPr>
            <w:r>
              <w:rPr/>
              <w:t>​</w:t>
            </w:r>
          </w:p>
        </w:tc>
        <w:tc>
          <w:tcPr>
            <w:tcW w:w="8940" w:type="dxa"/>
            <w:tcBorders/>
            <w:vAlign w:val="center"/>
          </w:tcPr>
          <w:p>
            <w:pPr>
              <w:pStyle w:val="TableContents"/>
              <w:bidi w:val="0"/>
              <w:spacing w:lineRule="auto" w:line="304" w:before="0" w:after="0"/>
              <w:ind w:left="0" w:right="0" w:hanging="0"/>
              <w:jc w:val="left"/>
              <w:rPr/>
            </w:pPr>
            <w:hyperlink w:anchor="CONDENSEDBALANCESHEETS_592220">
              <w:r>
                <w:rPr>
                  <w:rStyle w:val="InternetLink"/>
                  <w:rFonts w:ascii="Times New Roman;Times;serif" w:hAnsi="Times New Roman;Times;serif"/>
                  <w:b w:val="false"/>
                  <w:i w:val="false"/>
                  <w:caps w:val="false"/>
                  <w:smallCaps w:val="false"/>
                  <w:sz w:val="20"/>
                </w:rPr>
                <w:t>Condensed Balance Sheets as of March 31, 2026 (unaudited) and December 31,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53" w:type="dxa"/>
            <w:tcBorders/>
            <w:vAlign w:val="center"/>
          </w:tcPr>
          <w:p>
            <w:pPr>
              <w:pStyle w:val="TableContents"/>
              <w:bidi w:val="0"/>
              <w:spacing w:lineRule="auto" w:line="304" w:before="0" w:after="0"/>
              <w:ind w:left="0" w:right="0" w:hanging="0"/>
              <w:jc w:val="left"/>
              <w:rPr/>
            </w:pPr>
            <w:r>
              <w:rPr/>
              <w:t>​</w:t>
            </w:r>
          </w:p>
        </w:tc>
        <w:tc>
          <w:tcPr>
            <w:tcW w:w="8940" w:type="dxa"/>
            <w:tcBorders/>
            <w:vAlign w:val="center"/>
          </w:tcPr>
          <w:p>
            <w:pPr>
              <w:pStyle w:val="TableContents"/>
              <w:bidi w:val="0"/>
              <w:spacing w:lineRule="auto" w:line="304" w:before="0" w:after="0"/>
              <w:ind w:left="0" w:right="0" w:hanging="0"/>
              <w:jc w:val="left"/>
              <w:rPr/>
            </w:pPr>
            <w:hyperlink w:anchor="CONDENSEDSTATEMENTSOFOPERATIONSANDCOMPRE">
              <w:r>
                <w:rPr>
                  <w:rStyle w:val="InternetLink"/>
                  <w:rFonts w:ascii="Times New Roman;Times;serif" w:hAnsi="Times New Roman;Times;serif"/>
                  <w:b w:val="false"/>
                  <w:i w:val="false"/>
                  <w:caps w:val="false"/>
                  <w:smallCaps w:val="false"/>
                  <w:sz w:val="20"/>
                </w:rPr>
                <w:t>Unaudited Condensed Statements of Operations and Comprehensive Loss for the Three Months Ended March 31, 2026 and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3" w:type="dxa"/>
            <w:tcBorders/>
            <w:vAlign w:val="center"/>
          </w:tcPr>
          <w:p>
            <w:pPr>
              <w:pStyle w:val="TableContents"/>
              <w:bidi w:val="0"/>
              <w:spacing w:lineRule="auto" w:line="304" w:before="0" w:after="0"/>
              <w:ind w:left="0" w:right="0" w:hanging="0"/>
              <w:jc w:val="left"/>
              <w:rPr/>
            </w:pPr>
            <w:r>
              <w:rPr/>
              <w:t>​</w:t>
            </w:r>
          </w:p>
        </w:tc>
        <w:tc>
          <w:tcPr>
            <w:tcW w:w="8940" w:type="dxa"/>
            <w:tcBorders/>
            <w:vAlign w:val="center"/>
          </w:tcPr>
          <w:p>
            <w:pPr>
              <w:pStyle w:val="TableContents"/>
              <w:bidi w:val="0"/>
              <w:spacing w:lineRule="auto" w:line="304" w:before="0" w:after="0"/>
              <w:ind w:left="0" w:right="0" w:hanging="0"/>
              <w:jc w:val="left"/>
              <w:rPr/>
            </w:pPr>
            <w:hyperlink w:anchor="CONDENSEDSTATEMENTSOFPREFERREDSTOCKANDST">
              <w:r>
                <w:rPr>
                  <w:rStyle w:val="InternetLink"/>
                  <w:rFonts w:ascii="Times New Roman;Times;serif" w:hAnsi="Times New Roman;Times;serif"/>
                  <w:b w:val="false"/>
                  <w:i w:val="false"/>
                  <w:caps w:val="false"/>
                  <w:smallCaps w:val="false"/>
                  <w:sz w:val="20"/>
                </w:rPr>
                <w:t>Unaudited Condensed Statements of Stockholders’ Equity for the Three Months Ended March 31, 2026 and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53" w:type="dxa"/>
            <w:tcBorders/>
            <w:vAlign w:val="center"/>
          </w:tcPr>
          <w:p>
            <w:pPr>
              <w:pStyle w:val="TableContents"/>
              <w:bidi w:val="0"/>
              <w:spacing w:lineRule="auto" w:line="304" w:before="0" w:after="0"/>
              <w:ind w:left="0" w:right="0" w:hanging="0"/>
              <w:jc w:val="left"/>
              <w:rPr/>
            </w:pPr>
            <w:r>
              <w:rPr/>
              <w:t>​</w:t>
            </w:r>
          </w:p>
        </w:tc>
        <w:tc>
          <w:tcPr>
            <w:tcW w:w="8940" w:type="dxa"/>
            <w:tcBorders/>
            <w:vAlign w:val="center"/>
          </w:tcPr>
          <w:p>
            <w:pPr>
              <w:pStyle w:val="TableContents"/>
              <w:bidi w:val="0"/>
              <w:spacing w:lineRule="auto" w:line="304" w:before="0" w:after="0"/>
              <w:ind w:left="0" w:right="0" w:hanging="0"/>
              <w:jc w:val="left"/>
              <w:rPr/>
            </w:pPr>
            <w:hyperlink w:anchor="CONDENSEDSTATEMENTSOFCASHFLOWS_178014">
              <w:r>
                <w:rPr>
                  <w:rStyle w:val="InternetLink"/>
                  <w:rFonts w:ascii="Times New Roman;Times;serif" w:hAnsi="Times New Roman;Times;serif"/>
                  <w:b w:val="false"/>
                  <w:i w:val="false"/>
                  <w:caps w:val="false"/>
                  <w:smallCaps w:val="false"/>
                  <w:sz w:val="20"/>
                </w:rPr>
                <w:t>Unaudited Condensed Statements of Cash Flows for the Three Months Ended March 31, 2026 and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53" w:type="dxa"/>
            <w:tcBorders/>
            <w:vAlign w:val="center"/>
          </w:tcPr>
          <w:p>
            <w:pPr>
              <w:pStyle w:val="TableContents"/>
              <w:bidi w:val="0"/>
              <w:spacing w:lineRule="auto" w:line="304" w:before="0" w:after="0"/>
              <w:ind w:left="0" w:right="0" w:hanging="0"/>
              <w:jc w:val="left"/>
              <w:rPr/>
            </w:pPr>
            <w:r>
              <w:rPr/>
              <w:t>​</w:t>
            </w:r>
          </w:p>
        </w:tc>
        <w:tc>
          <w:tcPr>
            <w:tcW w:w="8940" w:type="dxa"/>
            <w:tcBorders/>
            <w:vAlign w:val="center"/>
          </w:tcPr>
          <w:p>
            <w:pPr>
              <w:pStyle w:val="TableContents"/>
              <w:bidi w:val="0"/>
              <w:spacing w:lineRule="auto" w:line="304" w:before="0" w:after="0"/>
              <w:ind w:left="0" w:right="0" w:hanging="0"/>
              <w:jc w:val="left"/>
              <w:rPr/>
            </w:pPr>
            <w:hyperlink w:anchor="a1NatureoftheBusinessandBasisofPresentat">
              <w:r>
                <w:rPr>
                  <w:rStyle w:val="InternetLink"/>
                  <w:rFonts w:ascii="Times New Roman;Times;serif" w:hAnsi="Times New Roman;Times;serif"/>
                  <w:b w:val="false"/>
                  <w:i w:val="false"/>
                  <w:caps w:val="false"/>
                  <w:smallCaps w:val="false"/>
                  <w:sz w:val="20"/>
                </w:rPr>
                <w:t>Notes to Unaudited Condensed Financial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53"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40"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753"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40"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53" w:type="dxa"/>
            <w:tcBorders/>
            <w:vAlign w:val="center"/>
          </w:tcPr>
          <w:p>
            <w:pPr>
              <w:pStyle w:val="TableContents"/>
              <w:bidi w:val="0"/>
              <w:spacing w:lineRule="auto" w:line="304" w:before="0" w:after="0"/>
              <w:ind w:left="0" w:right="0" w:hanging="0"/>
              <w:jc w:val="left"/>
              <w:rPr/>
            </w:pPr>
            <w:hyperlink w:anchor="Item4ControlsandProcedures_238918">
              <w:r>
                <w:rPr>
                  <w:rStyle w:val="InternetLink"/>
                  <w:rFonts w:ascii="Times New Roman;Times;serif" w:hAnsi="Times New Roman;Times;serif"/>
                  <w:b w:val="false"/>
                  <w:i w:val="false"/>
                  <w:caps w:val="false"/>
                  <w:smallCaps w:val="false"/>
                  <w:sz w:val="20"/>
                </w:rPr>
                <w:t>Item 4.</w:t>
              </w:r>
            </w:hyperlink>
          </w:p>
        </w:tc>
        <w:tc>
          <w:tcPr>
            <w:tcW w:w="8940" w:type="dxa"/>
            <w:tcBorders/>
            <w:vAlign w:val="center"/>
          </w:tcPr>
          <w:p>
            <w:pPr>
              <w:pStyle w:val="TableContents"/>
              <w:bidi w:val="0"/>
              <w:spacing w:lineRule="auto" w:line="304" w:before="0" w:after="0"/>
              <w:ind w:left="0" w:right="0" w:hanging="0"/>
              <w:jc w:val="left"/>
              <w:rPr/>
            </w:pPr>
            <w:hyperlink w:anchor="Item4ControlsandProcedures_238918">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693" w:type="dxa"/>
            <w:gridSpan w:val="2"/>
            <w:tcBorders/>
            <w:vAlign w:val="center"/>
          </w:tcPr>
          <w:p>
            <w:pPr>
              <w:pStyle w:val="TableContents"/>
              <w:bidi w:val="0"/>
              <w:spacing w:lineRule="auto" w:line="304" w:before="0" w:after="0"/>
              <w:ind w:left="0" w:right="0" w:hanging="0"/>
              <w:jc w:val="left"/>
              <w:rPr/>
            </w:pPr>
            <w:hyperlink w:anchor="PARTIIOTHERINFORMATION_389335">
              <w:r>
                <w:rPr>
                  <w:rStyle w:val="InternetLink"/>
                  <w:rFonts w:ascii="Times New Roman;Times;serif" w:hAnsi="Times New Roman;Times;serif"/>
                  <w:b/>
                  <w:i w:val="false"/>
                  <w:caps w:val="false"/>
                  <w:smallCaps w:val="false"/>
                  <w:sz w:val="20"/>
                </w:rPr>
                <w:t>Part II. OTHER INFORMATION</w:t>
              </w:r>
            </w:hyperlink>
          </w:p>
        </w:tc>
        <w:tc>
          <w:tcPr>
            <w:tcW w:w="512"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tcBorders/>
            <w:vAlign w:val="center"/>
          </w:tcPr>
          <w:p>
            <w:pPr>
              <w:pStyle w:val="TableContents"/>
              <w:bidi w:val="0"/>
              <w:spacing w:lineRule="auto" w:line="304" w:before="0" w:after="0"/>
              <w:ind w:left="0" w:right="0" w:hanging="0"/>
              <w:jc w:val="left"/>
              <w:rPr/>
            </w:pPr>
            <w:hyperlink w:anchor="Item1LegalProceedings_501881">
              <w:r>
                <w:rPr>
                  <w:rStyle w:val="InternetLink"/>
                  <w:rFonts w:ascii="Times New Roman;Times;serif" w:hAnsi="Times New Roman;Times;serif"/>
                  <w:b w:val="false"/>
                  <w:i w:val="false"/>
                  <w:caps w:val="false"/>
                  <w:smallCaps w:val="false"/>
                  <w:sz w:val="20"/>
                </w:rPr>
                <w:t>Item 1.</w:t>
              </w:r>
            </w:hyperlink>
          </w:p>
        </w:tc>
        <w:tc>
          <w:tcPr>
            <w:tcW w:w="8940" w:type="dxa"/>
            <w:tcBorders/>
            <w:vAlign w:val="center"/>
          </w:tcPr>
          <w:p>
            <w:pPr>
              <w:pStyle w:val="TableContents"/>
              <w:bidi w:val="0"/>
              <w:spacing w:lineRule="auto" w:line="304" w:before="0" w:after="0"/>
              <w:ind w:left="0" w:right="0" w:hanging="0"/>
              <w:jc w:val="left"/>
              <w:rPr/>
            </w:pPr>
            <w:hyperlink w:anchor="Item1LegalProceedings_501881">
              <w:r>
                <w:rPr>
                  <w:rStyle w:val="InternetLink"/>
                  <w:rFonts w:ascii="Times New Roman;Times;serif" w:hAnsi="Times New Roman;Times;serif"/>
                  <w:b w:val="false"/>
                  <w:i w:val="false"/>
                  <w:caps w:val="false"/>
                  <w:smallCaps w:val="false"/>
                  <w:sz w:val="20"/>
                </w:rPr>
                <w:t>Legal Proceedings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53" w:type="dxa"/>
            <w:tcBorders/>
            <w:vAlign w:val="center"/>
          </w:tcPr>
          <w:p>
            <w:pPr>
              <w:pStyle w:val="TableContents"/>
              <w:bidi w:val="0"/>
              <w:spacing w:lineRule="auto" w:line="304" w:before="0" w:after="0"/>
              <w:ind w:left="0" w:right="0" w:hanging="0"/>
              <w:jc w:val="left"/>
              <w:rPr/>
            </w:pPr>
            <w:hyperlink w:anchor="Item1ARiskFactors_504818">
              <w:r>
                <w:rPr>
                  <w:rStyle w:val="InternetLink"/>
                  <w:rFonts w:ascii="Times New Roman;Times;serif" w:hAnsi="Times New Roman;Times;serif"/>
                  <w:b w:val="false"/>
                  <w:i w:val="false"/>
                  <w:caps w:val="false"/>
                  <w:smallCaps w:val="false"/>
                  <w:sz w:val="20"/>
                </w:rPr>
                <w:t>Item 1A.</w:t>
              </w:r>
            </w:hyperlink>
          </w:p>
        </w:tc>
        <w:tc>
          <w:tcPr>
            <w:tcW w:w="8940" w:type="dxa"/>
            <w:tcBorders/>
            <w:vAlign w:val="center"/>
          </w:tcPr>
          <w:p>
            <w:pPr>
              <w:pStyle w:val="TableContents"/>
              <w:bidi w:val="0"/>
              <w:spacing w:lineRule="auto" w:line="304" w:before="0" w:after="0"/>
              <w:ind w:left="0" w:right="0" w:hanging="0"/>
              <w:jc w:val="left"/>
              <w:rPr/>
            </w:pPr>
            <w:hyperlink w:anchor="Item1ARiskFactors_504818">
              <w:r>
                <w:rPr>
                  <w:rStyle w:val="InternetLink"/>
                  <w:rFonts w:ascii="Times New Roman;Times;serif" w:hAnsi="Times New Roman;Times;serif"/>
                  <w:b w:val="false"/>
                  <w:i w:val="false"/>
                  <w:caps w:val="false"/>
                  <w:smallCaps w:val="false"/>
                  <w:sz w:val="20"/>
                </w:rPr>
                <w:t>Risk Factors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53"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8940"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r>
              <w:rPr>
                <w:rFonts w:ascii="Times New Roman;Times;serif" w:hAnsi="Times New Roman;Times;serif"/>
                <w:sz w:val="20"/>
              </w:rPr>
              <w:t xml:space="preserve"> </w:t>
            </w:r>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53" w:type="dxa"/>
            <w:tcBorders/>
            <w:vAlign w:val="center"/>
          </w:tcPr>
          <w:p>
            <w:pPr>
              <w:pStyle w:val="TableContents"/>
              <w:bidi w:val="0"/>
              <w:spacing w:lineRule="auto" w:line="304" w:before="0" w:after="0"/>
              <w:ind w:left="0" w:right="0" w:hanging="0"/>
              <w:jc w:val="left"/>
              <w:rPr/>
            </w:pPr>
            <w:hyperlink w:anchor="Item3DefaultsUponSeniorSecurities_191585">
              <w:r>
                <w:rPr>
                  <w:rStyle w:val="InternetLink"/>
                  <w:rFonts w:ascii="Times New Roman;Times;serif" w:hAnsi="Times New Roman;Times;serif"/>
                  <w:b w:val="false"/>
                  <w:i w:val="false"/>
                  <w:caps w:val="false"/>
                  <w:smallCaps w:val="false"/>
                  <w:sz w:val="20"/>
                </w:rPr>
                <w:t>Item 3.</w:t>
              </w:r>
            </w:hyperlink>
          </w:p>
        </w:tc>
        <w:tc>
          <w:tcPr>
            <w:tcW w:w="8940" w:type="dxa"/>
            <w:tcBorders/>
            <w:vAlign w:val="center"/>
          </w:tcPr>
          <w:p>
            <w:pPr>
              <w:pStyle w:val="TableContents"/>
              <w:bidi w:val="0"/>
              <w:spacing w:lineRule="auto" w:line="304" w:before="0" w:after="0"/>
              <w:ind w:left="0" w:right="0" w:hanging="0"/>
              <w:jc w:val="left"/>
              <w:rPr/>
            </w:pPr>
            <w:hyperlink w:anchor="Item3DefaultsUponSeniorSecurities_191585">
              <w:r>
                <w:rPr>
                  <w:rStyle w:val="InternetLink"/>
                  <w:rFonts w:ascii="Times New Roman;Times;serif" w:hAnsi="Times New Roman;Times;serif"/>
                  <w:b w:val="false"/>
                  <w:i w:val="false"/>
                  <w:caps w:val="false"/>
                  <w:smallCaps w:val="false"/>
                  <w:sz w:val="20"/>
                </w:rPr>
                <w:t>Defaults Upon Senior Securities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3" w:type="dxa"/>
            <w:tcBorders/>
            <w:vAlign w:val="center"/>
          </w:tcPr>
          <w:p>
            <w:pPr>
              <w:pStyle w:val="TableContents"/>
              <w:bidi w:val="0"/>
              <w:spacing w:lineRule="auto" w:line="304" w:before="0" w:after="0"/>
              <w:ind w:left="0" w:right="0" w:hanging="0"/>
              <w:jc w:val="left"/>
              <w:rPr/>
            </w:pPr>
            <w:hyperlink w:anchor="Item4MineSafetyDisclosures_21766">
              <w:r>
                <w:rPr>
                  <w:rStyle w:val="InternetLink"/>
                  <w:rFonts w:ascii="Times New Roman;Times;serif" w:hAnsi="Times New Roman;Times;serif"/>
                  <w:b w:val="false"/>
                  <w:i w:val="false"/>
                  <w:caps w:val="false"/>
                  <w:smallCaps w:val="false"/>
                  <w:sz w:val="20"/>
                </w:rPr>
                <w:t>Item 4.</w:t>
              </w:r>
            </w:hyperlink>
          </w:p>
        </w:tc>
        <w:tc>
          <w:tcPr>
            <w:tcW w:w="8940" w:type="dxa"/>
            <w:tcBorders/>
            <w:vAlign w:val="center"/>
          </w:tcPr>
          <w:p>
            <w:pPr>
              <w:pStyle w:val="TableContents"/>
              <w:bidi w:val="0"/>
              <w:spacing w:lineRule="auto" w:line="304" w:before="0" w:after="0"/>
              <w:ind w:left="0" w:right="0" w:hanging="0"/>
              <w:jc w:val="left"/>
              <w:rPr/>
            </w:pPr>
            <w:hyperlink w:anchor="Item4MineSafetyDisclosures_21766">
              <w:r>
                <w:rPr>
                  <w:rStyle w:val="InternetLink"/>
                  <w:rFonts w:ascii="Times New Roman;Times;serif" w:hAnsi="Times New Roman;Times;serif"/>
                  <w:b w:val="false"/>
                  <w:i w:val="false"/>
                  <w:caps w:val="false"/>
                  <w:smallCaps w:val="false"/>
                  <w:sz w:val="20"/>
                </w:rPr>
                <w:t>Mine Safety Disclosures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3" w:type="dxa"/>
            <w:tcBorders/>
            <w:vAlign w:val="center"/>
          </w:tcPr>
          <w:p>
            <w:pPr>
              <w:pStyle w:val="TableContents"/>
              <w:bidi w:val="0"/>
              <w:spacing w:lineRule="auto" w:line="304" w:before="0" w:after="0"/>
              <w:ind w:left="0" w:right="0" w:hanging="0"/>
              <w:jc w:val="left"/>
              <w:rPr/>
            </w:pPr>
            <w:hyperlink w:anchor="Item5OtherInformation_899953">
              <w:r>
                <w:rPr>
                  <w:rStyle w:val="InternetLink"/>
                  <w:rFonts w:ascii="Times New Roman;Times;serif" w:hAnsi="Times New Roman;Times;serif"/>
                  <w:b w:val="false"/>
                  <w:i w:val="false"/>
                  <w:caps w:val="false"/>
                  <w:smallCaps w:val="false"/>
                  <w:sz w:val="20"/>
                </w:rPr>
                <w:t>Item 5.</w:t>
              </w:r>
            </w:hyperlink>
          </w:p>
        </w:tc>
        <w:tc>
          <w:tcPr>
            <w:tcW w:w="8940" w:type="dxa"/>
            <w:tcBorders/>
            <w:vAlign w:val="center"/>
          </w:tcPr>
          <w:p>
            <w:pPr>
              <w:pStyle w:val="TableContents"/>
              <w:bidi w:val="0"/>
              <w:spacing w:lineRule="auto" w:line="304" w:before="0" w:after="0"/>
              <w:ind w:left="0" w:right="0" w:hanging="0"/>
              <w:jc w:val="left"/>
              <w:rPr/>
            </w:pPr>
            <w:hyperlink w:anchor="Item5OtherInformation_899953">
              <w:r>
                <w:rPr>
                  <w:rStyle w:val="InternetLink"/>
                  <w:rFonts w:ascii="Times New Roman;Times;serif" w:hAnsi="Times New Roman;Times;serif"/>
                  <w:b w:val="false"/>
                  <w:i w:val="false"/>
                  <w:caps w:val="false"/>
                  <w:smallCaps w:val="false"/>
                  <w:sz w:val="20"/>
                </w:rPr>
                <w:t>Other Information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3" w:type="dxa"/>
            <w:tcBorders/>
            <w:vAlign w:val="center"/>
          </w:tcPr>
          <w:p>
            <w:pPr>
              <w:pStyle w:val="TableContents"/>
              <w:bidi w:val="0"/>
              <w:spacing w:lineRule="auto" w:line="304" w:before="0" w:after="0"/>
              <w:ind w:left="0" w:right="0" w:hanging="0"/>
              <w:jc w:val="left"/>
              <w:rPr/>
            </w:pPr>
            <w:hyperlink w:anchor="Item6Exhibits_48299">
              <w:r>
                <w:rPr>
                  <w:rStyle w:val="InternetLink"/>
                  <w:rFonts w:ascii="Times New Roman;Times;serif" w:hAnsi="Times New Roman;Times;serif"/>
                  <w:b w:val="false"/>
                  <w:i w:val="false"/>
                  <w:caps w:val="false"/>
                  <w:smallCaps w:val="false"/>
                  <w:sz w:val="20"/>
                </w:rPr>
                <w:t>Item 6.</w:t>
              </w:r>
            </w:hyperlink>
          </w:p>
        </w:tc>
        <w:tc>
          <w:tcPr>
            <w:tcW w:w="8940" w:type="dxa"/>
            <w:tcBorders/>
            <w:vAlign w:val="center"/>
          </w:tcPr>
          <w:p>
            <w:pPr>
              <w:pStyle w:val="TableContents"/>
              <w:bidi w:val="0"/>
              <w:spacing w:lineRule="auto" w:line="304" w:before="0" w:after="0"/>
              <w:ind w:left="0" w:right="0" w:hanging="0"/>
              <w:jc w:val="left"/>
              <w:rPr/>
            </w:pPr>
            <w:hyperlink w:anchor="Item6Exhibits_48299">
              <w:r>
                <w:rPr>
                  <w:rStyle w:val="InternetLink"/>
                  <w:rFonts w:ascii="Times New Roman;Times;serif" w:hAnsi="Times New Roman;Times;serif"/>
                  <w:b w:val="false"/>
                  <w:i w:val="false"/>
                  <w:caps w:val="false"/>
                  <w:smallCaps w:val="false"/>
                  <w:sz w:val="20"/>
                </w:rPr>
                <w:t>Exhibits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693" w:type="dxa"/>
            <w:gridSpan w:val="2"/>
            <w:tcBorders/>
            <w:vAlign w:val="center"/>
          </w:tcPr>
          <w:p>
            <w:pPr>
              <w:pStyle w:val="TableContents"/>
              <w:bidi w:val="0"/>
              <w:spacing w:lineRule="auto" w:line="304" w:before="0" w:after="0"/>
              <w:ind w:left="0" w:right="0" w:hanging="0"/>
              <w:jc w:val="left"/>
              <w:rPr/>
            </w:pPr>
            <w:hyperlink w:anchor="SIGNATURES_917919">
              <w:r>
                <w:rPr>
                  <w:rStyle w:val="InternetLink"/>
                  <w:rFonts w:ascii="Times New Roman;Times;serif" w:hAnsi="Times New Roman;Times;serif"/>
                  <w:b w:val="false"/>
                  <w:i w:val="false"/>
                  <w:caps w:val="false"/>
                  <w:smallCaps w:val="false"/>
                  <w:sz w:val="20"/>
                </w:rPr>
                <w:t>SIGNATURES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center"/>
        <w:rPr>
          <w:rFonts w:ascii="Times New Roman;Times;serif" w:hAnsi="Times New Roman;Times;serif"/>
          <w:b/>
          <w:sz w:val="24"/>
        </w:rPr>
      </w:pPr>
      <w:bookmarkStart w:id="33" w:name="Part1"/>
      <w:bookmarkStart w:id="34" w:name="_af49cdcd_a8ab_4b3e_b6ad_0d382e27d450"/>
      <w:bookmarkStart w:id="35" w:name="REPORTOFINDEPENDENTREGISTEREDPUBLICACCOU"/>
      <w:bookmarkEnd w:id="33"/>
      <w:bookmarkEnd w:id="34"/>
      <w:bookmarkEnd w:id="35"/>
      <w:r>
        <w:rPr>
          <w:rFonts w:ascii="Times New Roman;Times;serif" w:hAnsi="Times New Roman;Times;serif"/>
          <w:b/>
          <w:sz w:val="24"/>
        </w:rPr>
        <w:t>PART I. FINANCIAL INFORMATION</w:t>
      </w:r>
    </w:p>
    <w:p>
      <w:pPr>
        <w:pStyle w:val="TextBody"/>
        <w:bidi w:val="0"/>
        <w:spacing w:before="0" w:after="240"/>
        <w:ind w:left="0" w:right="0" w:hanging="0"/>
        <w:jc w:val="left"/>
        <w:rPr>
          <w:rFonts w:ascii="Times New Roman;Times;serif" w:hAnsi="Times New Roman;Times;serif"/>
          <w:b/>
          <w:sz w:val="20"/>
        </w:rPr>
      </w:pPr>
      <w:bookmarkStart w:id="36" w:name="Item1_FinancialStatements"/>
      <w:bookmarkEnd w:id="3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b/>
          <w:sz w:val="24"/>
        </w:rPr>
      </w:pPr>
      <w:bookmarkStart w:id="37" w:name="CONDENSEDBALANCESHEETS_592220"/>
      <w:bookmarkEnd w:id="37"/>
      <w:r>
        <w:rPr>
          <w:rFonts w:ascii="Times New Roman;Times;serif" w:hAnsi="Times New Roman;Times;serif"/>
          <w:b/>
          <w:sz w:val="24"/>
        </w:rPr>
        <w:t>CONDENSED BALANCE SHEETS</w:t>
      </w:r>
    </w:p>
    <w:p>
      <w:pPr>
        <w:pStyle w:val="TextBody"/>
        <w:bidi w:val="0"/>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 w:name="Tc_BV6NDZP8RkO6xT_Pgms8Dg_28_5"/>
      <w:bookmarkStart w:id="39" w:name="Tc_CmmW5ogwZkq5NG1xVD5ruw_28_2"/>
      <w:bookmarkStart w:id="40" w:name="Tc_-pOX-8dxTkOzI77FCZhWXQ_28_0"/>
      <w:bookmarkStart w:id="41" w:name="Tc_ntkTA199eEO-oU_E4l__gw_27_0"/>
      <w:bookmarkStart w:id="42" w:name="Tc_Y1r12tCQLkK7sL77TrWYsA_26_0"/>
      <w:bookmarkStart w:id="43" w:name="Tc_A2H4ekkqy0Ka1w58Xz0HkA_25_0"/>
      <w:bookmarkStart w:id="44" w:name="Tc_gugCR3N_OkiFkUJ1iGDBAg_24_0"/>
      <w:bookmarkStart w:id="45" w:name="Tc_medkLhnA2EOeMCOJnu3FHg_23_0"/>
      <w:bookmarkStart w:id="46" w:name="_4d726368_3366_46f9_841a_7d1ac639a1f9_3"/>
      <w:bookmarkStart w:id="47" w:name="_4d726368_3366_46f9_841a_7d1ac639a1f9_2"/>
      <w:bookmarkStart w:id="48" w:name="_4d726368_3366_46f9_841a_7d1ac639a1f9"/>
      <w:bookmarkStart w:id="49" w:name="Tc_J6xgzzgjJkirku7GsxdaJw_22_0"/>
      <w:bookmarkStart w:id="50" w:name="Tc_S_cSkCc44Uqxkm8woktEDg_21_0"/>
      <w:bookmarkStart w:id="51" w:name="Tc_sRpqnH1iTk-PUBrQ98DS8w_20_0"/>
      <w:bookmarkStart w:id="52" w:name="Tc_ST2vZsXKHEiqclcgIbi8Ww_19_0"/>
      <w:bookmarkStart w:id="53" w:name="Tc_c9cvEs7GTUOSsNBxxZoCUg_18_0"/>
      <w:bookmarkStart w:id="54" w:name="Tc_Dc86TSyD5EqaQa3tqf9Ixw_17_0"/>
      <w:bookmarkStart w:id="55" w:name="Tc_Iy-V5Q3HZkiyAwbKEYM5GA_16_0"/>
      <w:bookmarkStart w:id="56" w:name="Tc_w4ndsBkMy06r6N2p6m3XOw_15_5"/>
      <w:bookmarkStart w:id="57" w:name="Tc_gqNNRQv_okS9uhcB3UGswA_15_2"/>
      <w:bookmarkStart w:id="58" w:name="Tc_rFNUdNhWekiS2b3E65Bmlw_15_0"/>
      <w:bookmarkStart w:id="59" w:name="Tc_ZL1TsD2KfkSZCOsmVcS8Sg_14_0"/>
      <w:bookmarkStart w:id="60" w:name="Tc_uVyyPWSdNk-318Nktnv-XA_13_0"/>
      <w:bookmarkStart w:id="61" w:name="Tc_AT8NjsXGC0eiJ6B0gmPjGQ_12_5"/>
      <w:bookmarkStart w:id="62" w:name="Tc_tFE4BwZkbEekUq3-hdw0FA_12_2"/>
      <w:bookmarkStart w:id="63" w:name="Tc_yqiyQKl-JUawhSfSpW1RrA_12_0"/>
      <w:bookmarkStart w:id="64" w:name="Tc_GC_8wvNgCUaxF_6kE_vclQ_11_0"/>
      <w:bookmarkStart w:id="65" w:name="Tc_IuYEU9lGuUWMF5iCIBiRew_10_0"/>
      <w:bookmarkStart w:id="66" w:name="Tc_aWaq4-P4dU2TQUosWvrRXA_9_0"/>
      <w:bookmarkStart w:id="67" w:name="Tc_TqTEn-GQPEKciI1wE4shmg_8_0"/>
      <w:bookmarkStart w:id="68" w:name="Tc_SCkq3eUEgkqTFSvyGiP2PQ_7_0"/>
      <w:bookmarkStart w:id="69" w:name="Tc_bocOm4tXoUqsx29PZ8oORQ_6_0"/>
      <w:bookmarkStart w:id="70" w:name="Tc_uvcjsyY0d0GkFJEZWAxfRg_5_5"/>
      <w:bookmarkStart w:id="71" w:name="Tc_mwc_1EOGGEmp06xwq8hVUg_5_2"/>
      <w:bookmarkStart w:id="72" w:name="Tc_OUG73RoNsEWdDnmyMqzuJg_5_0"/>
      <w:bookmarkStart w:id="73" w:name="Tc_CSiyTmGxG0eMWX0roS7vzg_4_0"/>
      <w:bookmarkStart w:id="74" w:name="Tc_oT4fNGKj8EaS95y7jamhXg_3_0"/>
      <w:bookmarkStart w:id="75" w:name="Tc_7mCb5-YcW0e9VfOxDotrZw_2_5"/>
      <w:bookmarkStart w:id="76" w:name="Tc_lxUhVQoMnkSbaP1bNaVKsQ_2_2"/>
      <w:bookmarkStart w:id="77" w:name="Tc_psxpy30i40OZnYntHQPDcg_1_5"/>
      <w:bookmarkStart w:id="78" w:name="Tc_3ZtmG1uCFEmx2sF-Ua3cdg_1_2"/>
      <w:bookmarkStart w:id="79" w:name="_13f5efca_f111_4d2f_89e5_2b0952f0e94d"/>
      <w:bookmarkStart w:id="80" w:name="Tc_BV6NDZP8RkO6xT_Pgms8Dg_28_5"/>
      <w:bookmarkStart w:id="81" w:name="Tc_CmmW5ogwZkq5NG1xVD5ruw_28_2"/>
      <w:bookmarkStart w:id="82" w:name="Tc_-pOX-8dxTkOzI77FCZhWXQ_28_0"/>
      <w:bookmarkStart w:id="83" w:name="Tc_ntkTA199eEO-oU_E4l__gw_27_0"/>
      <w:bookmarkStart w:id="84" w:name="Tc_Y1r12tCQLkK7sL77TrWYsA_26_0"/>
      <w:bookmarkStart w:id="85" w:name="Tc_A2H4ekkqy0Ka1w58Xz0HkA_25_0"/>
      <w:bookmarkStart w:id="86" w:name="Tc_gugCR3N_OkiFkUJ1iGDBAg_24_0"/>
      <w:bookmarkStart w:id="87" w:name="Tc_medkLhnA2EOeMCOJnu3FHg_23_0"/>
      <w:bookmarkStart w:id="88" w:name="_4d726368_3366_46f9_841a_7d1ac639a1f9_3"/>
      <w:bookmarkStart w:id="89" w:name="_4d726368_3366_46f9_841a_7d1ac639a1f9_2"/>
      <w:bookmarkStart w:id="90" w:name="_4d726368_3366_46f9_841a_7d1ac639a1f9"/>
      <w:bookmarkStart w:id="91" w:name="Tc_J6xgzzgjJkirku7GsxdaJw_22_0"/>
      <w:bookmarkStart w:id="92" w:name="Tc_S_cSkCc44Uqxkm8woktEDg_21_0"/>
      <w:bookmarkStart w:id="93" w:name="Tc_sRpqnH1iTk-PUBrQ98DS8w_20_0"/>
      <w:bookmarkStart w:id="94" w:name="Tc_ST2vZsXKHEiqclcgIbi8Ww_19_0"/>
      <w:bookmarkStart w:id="95" w:name="Tc_c9cvEs7GTUOSsNBxxZoCUg_18_0"/>
      <w:bookmarkStart w:id="96" w:name="Tc_Dc86TSyD5EqaQa3tqf9Ixw_17_0"/>
      <w:bookmarkStart w:id="97" w:name="Tc_Iy-V5Q3HZkiyAwbKEYM5GA_16_0"/>
      <w:bookmarkStart w:id="98" w:name="Tc_w4ndsBkMy06r6N2p6m3XOw_15_5"/>
      <w:bookmarkStart w:id="99" w:name="Tc_gqNNRQv_okS9uhcB3UGswA_15_2"/>
      <w:bookmarkStart w:id="100" w:name="Tc_rFNUdNhWekiS2b3E65Bmlw_15_0"/>
      <w:bookmarkStart w:id="101" w:name="Tc_ZL1TsD2KfkSZCOsmVcS8Sg_14_0"/>
      <w:bookmarkStart w:id="102" w:name="Tc_uVyyPWSdNk-318Nktnv-XA_13_0"/>
      <w:bookmarkStart w:id="103" w:name="Tc_AT8NjsXGC0eiJ6B0gmPjGQ_12_5"/>
      <w:bookmarkStart w:id="104" w:name="Tc_tFE4BwZkbEekUq3-hdw0FA_12_2"/>
      <w:bookmarkStart w:id="105" w:name="Tc_yqiyQKl-JUawhSfSpW1RrA_12_0"/>
      <w:bookmarkStart w:id="106" w:name="Tc_GC_8wvNgCUaxF_6kE_vclQ_11_0"/>
      <w:bookmarkStart w:id="107" w:name="Tc_IuYEU9lGuUWMF5iCIBiRew_10_0"/>
      <w:bookmarkStart w:id="108" w:name="Tc_aWaq4-P4dU2TQUosWvrRXA_9_0"/>
      <w:bookmarkStart w:id="109" w:name="Tc_TqTEn-GQPEKciI1wE4shmg_8_0"/>
      <w:bookmarkStart w:id="110" w:name="Tc_SCkq3eUEgkqTFSvyGiP2PQ_7_0"/>
      <w:bookmarkStart w:id="111" w:name="Tc_bocOm4tXoUqsx29PZ8oORQ_6_0"/>
      <w:bookmarkStart w:id="112" w:name="Tc_uvcjsyY0d0GkFJEZWAxfRg_5_5"/>
      <w:bookmarkStart w:id="113" w:name="Tc_mwc_1EOGGEmp06xwq8hVUg_5_2"/>
      <w:bookmarkStart w:id="114" w:name="Tc_OUG73RoNsEWdDnmyMqzuJg_5_0"/>
      <w:bookmarkStart w:id="115" w:name="Tc_CSiyTmGxG0eMWX0roS7vzg_4_0"/>
      <w:bookmarkStart w:id="116" w:name="Tc_oT4fNGKj8EaS95y7jamhXg_3_0"/>
      <w:bookmarkStart w:id="117" w:name="Tc_7mCb5-YcW0e9VfOxDotrZw_2_5"/>
      <w:bookmarkStart w:id="118" w:name="Tc_lxUhVQoMnkSbaP1bNaVKsQ_2_2"/>
      <w:bookmarkStart w:id="119" w:name="Tc_psxpy30i40OZnYntHQPDcg_1_5"/>
      <w:bookmarkStart w:id="120" w:name="Tc_3ZtmG1uCFEmx2sF-Ua3cdg_1_2"/>
      <w:bookmarkStart w:id="121" w:name="_13f5efca_f111_4d2f_89e5_2b0952f0e94d"/>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tbl>
      <w:tblPr>
        <w:tblW w:w="10205" w:type="dxa"/>
        <w:jc w:val="left"/>
        <w:tblInd w:w="0" w:type="dxa"/>
        <w:tblLayout w:type="fixed"/>
        <w:tblCellMar>
          <w:top w:w="0" w:type="dxa"/>
          <w:left w:w="0" w:type="dxa"/>
          <w:bottom w:w="0" w:type="dxa"/>
          <w:right w:w="0" w:type="dxa"/>
        </w:tblCellMar>
      </w:tblPr>
      <w:tblGrid>
        <w:gridCol w:w="7123"/>
        <w:gridCol w:w="346"/>
        <w:gridCol w:w="260"/>
        <w:gridCol w:w="1001"/>
        <w:gridCol w:w="346"/>
        <w:gridCol w:w="222"/>
        <w:gridCol w:w="907"/>
      </w:tblGrid>
      <w:tr>
        <w:trPr/>
        <w:tc>
          <w:tcPr>
            <w:tcW w:w="7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523105" cy="175260"/>
                      <wp:effectExtent l="0" t="0" r="0" b="0"/>
                      <wp:wrapNone/>
                      <wp:docPr id="4" name="Frame4"/>
                      <a:graphic xmlns:a="http://schemas.openxmlformats.org/drawingml/2006/main">
                        <a:graphicData uri="http://schemas.microsoft.com/office/word/2010/wordprocessingShape">
                          <wps:wsp>
                            <wps:cNvSpPr txBox="1"/>
                            <wps:spPr>
                              <a:xfrm>
                                <a:off x="0" y="0"/>
                                <a:ext cx="452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5100" cy="175260"/>
                      <wp:effectExtent l="0" t="0" r="0" b="0"/>
                      <wp:wrapNone/>
                      <wp:docPr id="6" name="Frame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35635" cy="175260"/>
                      <wp:effectExtent l="0" t="0" r="0" b="0"/>
                      <wp:wrapNone/>
                      <wp:docPr id="7" name="Frame7"/>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0970" cy="175260"/>
                      <wp:effectExtent l="0" t="0" r="0" b="0"/>
                      <wp:wrapNone/>
                      <wp:docPr id="9" name="Frame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5945" cy="175260"/>
                      <wp:effectExtent l="0" t="0" r="0" b="0"/>
                      <wp:wrapNone/>
                      <wp:docPr id="10" name="Frame10"/>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  ​</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pPr>
            <w:r>
              <w:rPr/>
              <w:t>  ​</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15,167</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25,982</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15,836</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1,929</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31,741</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43,747</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3,273</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2,399</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2,617</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37,977</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50,183</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7" w:type="dxa"/>
            <w:tcBorders/>
            <w:shd w:fill="CCEEFF" w:val="clear"/>
            <w:vAlign w:val="center"/>
          </w:tcPr>
          <w:p>
            <w:pPr>
              <w:pStyle w:val="TableContents"/>
              <w:bidi w:val="0"/>
              <w:spacing w:before="0" w:after="0"/>
              <w:ind w:left="0" w:right="0" w:hanging="0"/>
              <w:jc w:val="right"/>
              <w:rPr/>
            </w:pPr>
            <w:r>
              <w:rPr/>
              <w:t>  ​</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pPr>
            <w:r>
              <w:rPr/>
              <w:t>  ​</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2,011</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 liabilities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3,821</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8,555</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10,566</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long term</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3,879</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4,148</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11,261</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15,240</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7" w:type="dxa"/>
            <w:tcBorders/>
            <w:shd w:fill="CCEEFF" w:val="clear"/>
            <w:vAlign w:val="center"/>
          </w:tcPr>
          <w:p>
            <w:pPr>
              <w:pStyle w:val="TableContents"/>
              <w:bidi w:val="0"/>
              <w:spacing w:before="0" w:after="0"/>
              <w:ind w:left="0" w:right="0" w:hanging="0"/>
              <w:jc w:val="right"/>
              <w:rPr/>
            </w:pPr>
            <w:r>
              <w:rPr/>
              <w:t>  ​</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par value of $0.001 per share; 10,000,000 shares authorized at March 31, 2026 and December 31, 2025; No shares issued and outstanding at March 31, 2026 and December 31, 2025</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18"/>
              </w:rPr>
              <w:t>Common stock, par value of $0.001</w:t>
            </w:r>
            <w:r>
              <w:rPr>
                <w:rFonts w:ascii="Times New Roman;Times;serif" w:hAnsi="Times New Roman;Times;serif"/>
                <w:sz w:val="24"/>
              </w:rPr>
              <w:t xml:space="preserve"> </w:t>
            </w:r>
            <w:r>
              <w:rPr>
                <w:rFonts w:ascii="Times New Roman;Times;serif" w:hAnsi="Times New Roman;Times;serif"/>
                <w:sz w:val="18"/>
              </w:rPr>
              <w:t>per share; 100,000,000</w:t>
            </w:r>
            <w:r>
              <w:rPr>
                <w:rFonts w:ascii="Times New Roman;Times;serif" w:hAnsi="Times New Roman;Times;serif"/>
                <w:sz w:val="24"/>
              </w:rPr>
              <w:t xml:space="preserve"> </w:t>
            </w:r>
            <w:r>
              <w:rPr>
                <w:rFonts w:ascii="Times New Roman;Times;serif" w:hAnsi="Times New Roman;Times;serif"/>
                <w:sz w:val="18"/>
              </w:rPr>
              <w:t>shares authorized at March 31, 2026 and December 31, 2025; 3,607,555</w:t>
            </w:r>
            <w:r>
              <w:rPr>
                <w:rFonts w:ascii="Times New Roman;Times;serif" w:hAnsi="Times New Roman;Times;serif"/>
                <w:sz w:val="24"/>
              </w:rPr>
              <w:t xml:space="preserve"> </w:t>
            </w:r>
            <w:r>
              <w:rPr>
                <w:rFonts w:ascii="Times New Roman;Times;serif" w:hAnsi="Times New Roman;Times;serif"/>
                <w:sz w:val="18"/>
              </w:rPr>
              <w:t>and 3,505,621</w:t>
            </w:r>
            <w:r>
              <w:rPr>
                <w:rFonts w:ascii="Times New Roman;Times;serif" w:hAnsi="Times New Roman;Times;serif"/>
                <w:sz w:val="24"/>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4"/>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4"/>
              </w:rPr>
              <w:t xml:space="preserve"> </w:t>
            </w:r>
            <w:r>
              <w:rPr>
                <w:rFonts w:ascii="Times New Roman;Times;serif" w:hAnsi="Times New Roman;Times;serif"/>
                <w:sz w:val="18"/>
              </w:rPr>
              <w:t>at March 31,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472,490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470,898</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(loss)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(445,776)</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(435,980)</w:t>
            </w:r>
          </w:p>
        </w:tc>
      </w:tr>
      <w:tr>
        <w:trPr/>
        <w:tc>
          <w:tcPr>
            <w:tcW w:w="71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26,716</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34,943</w:t>
            </w:r>
          </w:p>
        </w:tc>
      </w:tr>
      <w:tr>
        <w:trPr/>
        <w:tc>
          <w:tcPr>
            <w:tcW w:w="71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37,977</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center"/>
        <w:rPr>
          <w:rFonts w:ascii="Times New Roman;Times;serif" w:hAnsi="Times New Roman;Times;serif"/>
          <w:b/>
          <w:sz w:val="24"/>
        </w:rPr>
      </w:pPr>
      <w:bookmarkStart w:id="122" w:name="_458aaad2_1b83_4834_ad60_cb20963659ed"/>
      <w:bookmarkEnd w:id="122"/>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sz w:val="24"/>
        </w:rPr>
      </w:pPr>
      <w:bookmarkStart w:id="123" w:name="CONDENSEDSTATEMENTSOFOPERATIONSANDCOMPRE"/>
      <w:bookmarkEnd w:id="123"/>
      <w:r>
        <w:rPr>
          <w:rFonts w:ascii="Times New Roman;Times;serif" w:hAnsi="Times New Roman;Times;serif"/>
          <w:b/>
          <w:sz w:val="24"/>
        </w:rPr>
        <w:t>CONDENSED STATEMENTS OF OPERATIONS</w:t>
      </w:r>
      <w:r>
        <w:rPr>
          <w:rFonts w:ascii="Times New Roman;Times;serif" w:hAnsi="Times New Roman;Times;serif"/>
          <w:sz w:val="24"/>
        </w:rPr>
        <w:t xml:space="preserve"> </w:t>
      </w:r>
      <w:r>
        <w:rPr>
          <w:rFonts w:ascii="Times New Roman;Times;serif" w:hAnsi="Times New Roman;Times;serif"/>
          <w:b/>
          <w:sz w:val="24"/>
        </w:rPr>
        <w:t>AND COMPREHENSIVE LOSS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i/>
          <w:sz w:val="24"/>
        </w:rPr>
        <w:t>(unaudited, in thousands, except share</w:t>
      </w:r>
      <w:r>
        <w:rPr>
          <w:rFonts w:ascii="Times New Roman;Times;serif" w:hAnsi="Times New Roman;Times;serif"/>
          <w:sz w:val="24"/>
        </w:rPr>
        <w:t xml:space="preserve"> </w:t>
      </w:r>
      <w:r>
        <w:rPr>
          <w:rFonts w:ascii="Times New Roman;Times;serif" w:hAnsi="Times New Roman;Times;serif"/>
          <w:b/>
          <w:i/>
          <w:sz w:val="24"/>
        </w:rPr>
        <w:t>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4" w:name="Tc_yp8jLgRcUke5uszlvc5KHw_16_4"/>
      <w:bookmarkStart w:id="125" w:name="Tc_oKRnbdn8mUSczuJCnXoxzA_16_1"/>
      <w:bookmarkStart w:id="126" w:name="Tc_dZ-lMGXPjkaKBWRnhWK13A_16_0"/>
      <w:bookmarkStart w:id="127" w:name="Tc_rSHlojVZ10-r5yWQAi8sMA_15_0"/>
      <w:bookmarkStart w:id="128" w:name="Tc_oS4NdK03LEmXEGDiKYtRFw_14_4"/>
      <w:bookmarkStart w:id="129" w:name="Tc_sqJnfKMIXEOqC4mva-aFMw_14_1"/>
      <w:bookmarkStart w:id="130" w:name="Tc_IodPYawpSUeDJkR4D1zlOA_14_0"/>
      <w:bookmarkStart w:id="131" w:name="Tc_BrJkNcayYEKUc3jVFTL9zQ_13_0"/>
      <w:bookmarkStart w:id="132" w:name="Tc_bC-hiuEvd06ROXLgA05P-g_12_0"/>
      <w:bookmarkStart w:id="133" w:name="Tc_M3zvjSiXqk6YNpjPI2lB_A_11_4"/>
      <w:bookmarkStart w:id="134" w:name="Tc_ULnPFntA1UeUXQSjQq6cnQ_11_1"/>
      <w:bookmarkStart w:id="135" w:name="Tc_ppHeP4hOZUCegENBFeMWgw_11_0"/>
      <w:bookmarkStart w:id="136" w:name="Tc_Gpz97zf090u3W-kGuCPvug_10_4"/>
      <w:bookmarkStart w:id="137" w:name="Tc_VW_QP7WTSkmeObLTgBVKXw_10_1"/>
      <w:bookmarkStart w:id="138" w:name="Tc_TDw0b-7lWE6P9hKH5oJkNg_10_0"/>
      <w:bookmarkStart w:id="139" w:name="Tc_FMaWJf3WFku7l1KcywAMhQ_9_0"/>
      <w:bookmarkStart w:id="140" w:name="Tc_GNBRlqpy-kS9vKQ371HZoA_8_0"/>
      <w:bookmarkStart w:id="141" w:name="Tc_mi-lcBQPQUKnUqdM34m4LQ_7_0"/>
      <w:bookmarkStart w:id="142" w:name="Tc_bNgEhmSN8EmX4K0mDmoi6w_6_0"/>
      <w:bookmarkStart w:id="143" w:name="Tc_Nf7SOM7F7EWEPkAe3PvRNQ_5_4"/>
      <w:bookmarkStart w:id="144" w:name="Tc_v_-UfTVtmka9K5k5ByKRgw_5_1"/>
      <w:bookmarkStart w:id="145" w:name="Tc_HIghi-VrlEWKg7RsF2CDZg_5_0"/>
      <w:bookmarkStart w:id="146" w:name="Tc_ZSH29adQq0a9Hmm_u0go8g_4_0"/>
      <w:bookmarkStart w:id="147" w:name="Tc_hyzcjAXbvkeT63g9uAV8OQ_3_4"/>
      <w:bookmarkStart w:id="148" w:name="Tc_fGVNLFh9M0qeo-JoUsZHdQ_3_1"/>
      <w:bookmarkStart w:id="149" w:name="Tc_D9_Bfp4q-0Ck_Ya39gtRIA_2_1"/>
      <w:bookmarkStart w:id="150" w:name="Tc_jJzHKGXzbEmzy6FYQYWVoA_1_1"/>
      <w:bookmarkStart w:id="151" w:name="_7e556cb2_401c_4401_8c64_53c08a9fb7f0"/>
      <w:bookmarkStart w:id="152" w:name="_faa8df74_bfce_4701_8e55_b9bde525fbc4"/>
      <w:bookmarkStart w:id="153" w:name="Tc_yp8jLgRcUke5uszlvc5KHw_16_4"/>
      <w:bookmarkStart w:id="154" w:name="Tc_oKRnbdn8mUSczuJCnXoxzA_16_1"/>
      <w:bookmarkStart w:id="155" w:name="Tc_dZ-lMGXPjkaKBWRnhWK13A_16_0"/>
      <w:bookmarkStart w:id="156" w:name="Tc_rSHlojVZ10-r5yWQAi8sMA_15_0"/>
      <w:bookmarkStart w:id="157" w:name="Tc_oS4NdK03LEmXEGDiKYtRFw_14_4"/>
      <w:bookmarkStart w:id="158" w:name="Tc_sqJnfKMIXEOqC4mva-aFMw_14_1"/>
      <w:bookmarkStart w:id="159" w:name="Tc_IodPYawpSUeDJkR4D1zlOA_14_0"/>
      <w:bookmarkStart w:id="160" w:name="Tc_BrJkNcayYEKUc3jVFTL9zQ_13_0"/>
      <w:bookmarkStart w:id="161" w:name="Tc_bC-hiuEvd06ROXLgA05P-g_12_0"/>
      <w:bookmarkStart w:id="162" w:name="Tc_M3zvjSiXqk6YNpjPI2lB_A_11_4"/>
      <w:bookmarkStart w:id="163" w:name="Tc_ULnPFntA1UeUXQSjQq6cnQ_11_1"/>
      <w:bookmarkStart w:id="164" w:name="Tc_ppHeP4hOZUCegENBFeMWgw_11_0"/>
      <w:bookmarkStart w:id="165" w:name="Tc_Gpz97zf090u3W-kGuCPvug_10_4"/>
      <w:bookmarkStart w:id="166" w:name="Tc_VW_QP7WTSkmeObLTgBVKXw_10_1"/>
      <w:bookmarkStart w:id="167" w:name="Tc_TDw0b-7lWE6P9hKH5oJkNg_10_0"/>
      <w:bookmarkStart w:id="168" w:name="Tc_FMaWJf3WFku7l1KcywAMhQ_9_0"/>
      <w:bookmarkStart w:id="169" w:name="Tc_GNBRlqpy-kS9vKQ371HZoA_8_0"/>
      <w:bookmarkStart w:id="170" w:name="Tc_mi-lcBQPQUKnUqdM34m4LQ_7_0"/>
      <w:bookmarkStart w:id="171" w:name="Tc_bNgEhmSN8EmX4K0mDmoi6w_6_0"/>
      <w:bookmarkStart w:id="172" w:name="Tc_Nf7SOM7F7EWEPkAe3PvRNQ_5_4"/>
      <w:bookmarkStart w:id="173" w:name="Tc_v_-UfTVtmka9K5k5ByKRgw_5_1"/>
      <w:bookmarkStart w:id="174" w:name="Tc_HIghi-VrlEWKg7RsF2CDZg_5_0"/>
      <w:bookmarkStart w:id="175" w:name="Tc_ZSH29adQq0a9Hmm_u0go8g_4_0"/>
      <w:bookmarkStart w:id="176" w:name="Tc_hyzcjAXbvkeT63g9uAV8OQ_3_4"/>
      <w:bookmarkStart w:id="177" w:name="Tc_fGVNLFh9M0qeo-JoUsZHdQ_3_1"/>
      <w:bookmarkStart w:id="178" w:name="Tc_D9_Bfp4q-0Ck_Ya39gtRIA_2_1"/>
      <w:bookmarkStart w:id="179" w:name="Tc_jJzHKGXzbEmzy6FYQYWVoA_1_1"/>
      <w:bookmarkStart w:id="180" w:name="_7e556cb2_401c_4401_8c64_53c08a9fb7f0"/>
      <w:bookmarkStart w:id="181" w:name="_faa8df74_bfce_4701_8e55_b9bde525fbc4"/>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tbl>
      <w:tblPr>
        <w:tblW w:w="7495" w:type="dxa"/>
        <w:jc w:val="left"/>
        <w:tblInd w:w="0" w:type="dxa"/>
        <w:tblLayout w:type="fixed"/>
        <w:tblCellMar>
          <w:top w:w="0" w:type="dxa"/>
          <w:left w:w="0" w:type="dxa"/>
          <w:bottom w:w="0" w:type="dxa"/>
          <w:right w:w="0" w:type="dxa"/>
        </w:tblCellMar>
      </w:tblPr>
      <w:tblGrid>
        <w:gridCol w:w="4711"/>
        <w:gridCol w:w="211"/>
        <w:gridCol w:w="931"/>
        <w:gridCol w:w="346"/>
        <w:gridCol w:w="211"/>
        <w:gridCol w:w="931"/>
        <w:gridCol w:w="154"/>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991485" cy="175260"/>
                      <wp:effectExtent l="0" t="0" r="0" b="0"/>
                      <wp:wrapNone/>
                      <wp:docPr id="11" name="Frame11"/>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3"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6"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75260"/>
                      <wp:effectExtent l="0" t="0" r="0" b="0"/>
                      <wp:wrapNone/>
                      <wp:docPr id="17" name="Frame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2630"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FFFF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expenses: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7,896</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11,622</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net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 - basic and diluted</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5,239,236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2,333,890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54"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bookmarkStart w:id="182" w:name="_fe98e761_04f4_49ba_81cb_a952b9fefd77"/>
      <w:bookmarkEnd w:id="182"/>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b/>
          <w:sz w:val="24"/>
        </w:rPr>
      </w:pPr>
      <w:bookmarkStart w:id="183" w:name="CONDENSEDSTATEMENTSOFPREFERREDSTOCKANDST"/>
      <w:bookmarkEnd w:id="183"/>
      <w:r>
        <w:rPr>
          <w:rFonts w:ascii="Times New Roman;Times;serif" w:hAnsi="Times New Roman;Times;serif"/>
          <w:b/>
          <w:sz w:val="24"/>
        </w:rPr>
        <w:t>CONDENSED STATEMENTS OF STOCKHOLDERS’ EQUITY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t>
      </w:r>
      <w:r>
        <w:rPr>
          <w:rFonts w:ascii="Times New Roman;Times;serif" w:hAnsi="Times New Roman;Times;serif"/>
          <w:b/>
          <w:i/>
          <w:sz w:val="24"/>
        </w:rPr>
        <w:t>unaudited, in thousands, except share data</w:t>
      </w:r>
      <w:r>
        <w:rPr>
          <w:rFonts w:ascii="Times New Roman;Times;serif" w:hAnsi="Times New Roman;Times;serif"/>
          <w:b/>
          <w:sz w:val="24"/>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4" w:name="Tc_KcZB6AoXMUGJMsPz39iDmA_26_16"/>
      <w:bookmarkStart w:id="185" w:name="Tc_PwMF7UeSX06pT6SbnaPCsA_26_13"/>
      <w:bookmarkStart w:id="186" w:name="Tc_1hLQm1N9M0CnHP7j_pQWtA_26_11"/>
      <w:bookmarkStart w:id="187" w:name="Tc_1VGaPqfpvkus7oblqAooXg_26_10"/>
      <w:bookmarkStart w:id="188" w:name="Tc_WQZQzmNDlEK_06paulFHDw_26_7"/>
      <w:bookmarkStart w:id="189" w:name="Tc_-UctN6r4R06Y_HnXUZHTHg_26_4"/>
      <w:bookmarkStart w:id="190" w:name="Tc_G3xUDxd6BUu6gGlZ3MZYIg_26_0"/>
      <w:bookmarkStart w:id="191" w:name="Tc_PWBLBsBAxEmuIktw9VwizQ_25_11"/>
      <w:bookmarkStart w:id="192" w:name="Tc_FTRq_iRmZUWgBWp859m-4Q_25_8"/>
      <w:bookmarkStart w:id="193" w:name="Tc_zHXKNRX66Eed-Sr1vuQoNA_25_5"/>
      <w:bookmarkStart w:id="194" w:name="Tc_l347Y9HKxE6mIbSGy_zMyQ_25_2"/>
      <w:bookmarkStart w:id="195" w:name="Tc_yUdVPav-hkO68yJgproSIA_25_0"/>
      <w:bookmarkStart w:id="196" w:name="Tc_SkZIPThYAkOqxES8xEfkfQ_24_14"/>
      <w:bookmarkStart w:id="197" w:name="Tc_4cV3VkybmUex0rhESeq5XQ_24_8"/>
      <w:bookmarkStart w:id="198" w:name="Tc_KqjIJugS7E-M9ZEtN0frrQ_24_5"/>
      <w:bookmarkStart w:id="199" w:name="Tc_mwaa43XmHUmyjFZ6Cw-5_g_24_2"/>
      <w:bookmarkStart w:id="200" w:name="Tc_tk2mz_RWQUWqvmffAEYwKA_24_0"/>
      <w:bookmarkStart w:id="201" w:name="Tc_eWenqBmza0-nyE6h9Nagrw_23_14"/>
      <w:bookmarkStart w:id="202" w:name="Tc_HEGi3aLpJ0eRJn16ACarAA_23_11"/>
      <w:bookmarkStart w:id="203" w:name="Tc_xX_PaNc_m0WQmqafxKbYhw_23_5"/>
      <w:bookmarkStart w:id="204" w:name="Tc_nju38269xkiGZu-mCImMWA_23_2"/>
      <w:bookmarkStart w:id="205" w:name="Tc_wuG1NzU020i2CU6gYNpuCQ_23_0"/>
      <w:bookmarkStart w:id="206" w:name="Tc_z4CGT744fE6xcLubxgvzWA_22_16"/>
      <w:bookmarkStart w:id="207" w:name="Tc_nS6VDfXa102gopK5v0tbNQ_22_13"/>
      <w:bookmarkStart w:id="208" w:name="Tc_ibtfHTW3fk-eEFfSR_76-A_22_10"/>
      <w:bookmarkStart w:id="209" w:name="Tc_l-Y3IGUdgkO0T1gV3Ni8BQ_22_7"/>
      <w:bookmarkStart w:id="210" w:name="Tc_LUsaO-cGCku9Y6aKGegp0Q_22_4"/>
      <w:bookmarkStart w:id="211" w:name="Tc_BdtHRj-NxkO7Clni5L7CUA_22_0"/>
      <w:bookmarkStart w:id="212" w:name="Tc_kOj2wdgktE-EjGDhiy3mSw_21_16"/>
      <w:bookmarkStart w:id="213" w:name="Tc_6kdEURYyY0CWUQF7RTP0BQ_21_13"/>
      <w:bookmarkStart w:id="214" w:name="Tc_cnRbs1FkVUOIPlOUpqPZyA_21_10"/>
      <w:bookmarkStart w:id="215" w:name="Tc_KMLeldWT0EG-8qtWVc6r-Q_21_7"/>
      <w:bookmarkStart w:id="216" w:name="Tc_lP0By8rq7UOztSlfII4VKA_21_4"/>
      <w:bookmarkStart w:id="217" w:name="Tc_oHPg8jnvOEaPOw4SmljPLA_21_2"/>
      <w:bookmarkStart w:id="218" w:name="Tc_TIlkZdjw7Uu0w4VlIOPjEQ_20_16"/>
      <w:bookmarkStart w:id="219" w:name="Tc_Ww1gGDGIiEe4izQ8_myZPw_20_13"/>
      <w:bookmarkStart w:id="220" w:name="Tc__pvSV9J1t0-VRuDVa-7V0g_20_10"/>
      <w:bookmarkStart w:id="221" w:name="Tc_qgr1Xk4OBkSHVAG6omGtcw_20_7"/>
      <w:bookmarkStart w:id="222" w:name="Tc_gfwxO-GOj0-L5m7WLh8VLQ_20_2"/>
      <w:bookmarkStart w:id="223" w:name="Tc_UzLJV3tfOEaBpJf4UspYfQ_19_10"/>
      <w:bookmarkStart w:id="224" w:name="Tc_77pPVkuw5E2xdbgzrWtrww_19_7"/>
      <w:bookmarkStart w:id="225" w:name="Tc_BqSZFrFMeky5meF4I8x82Q_18_2"/>
      <w:bookmarkStart w:id="226" w:name="Tc_4NxTL-N4NkqI5_6v8LsTvA_16_2"/>
      <w:bookmarkStart w:id="227" w:name="Tc_peE0bu1Kh0a-UpabXSJZYw_13_16"/>
      <w:bookmarkStart w:id="228" w:name="Tc_r2_QSvbWp0uHUjdBgW91fA_13_13"/>
      <w:bookmarkStart w:id="229" w:name="Tc_JdrtbaSXQ0CEh1oB1c1FXQ_13_10"/>
      <w:bookmarkStart w:id="230" w:name="Tc_tAG5stJbVku13_BRno3_IA_13_7"/>
      <w:bookmarkStart w:id="231" w:name="Tc_XUnf_dGj1E-HVC_c-VDwPQ_13_4"/>
      <w:bookmarkStart w:id="232" w:name="Tc_NJ7t1-6SLkuWU1NSZu8TeA_13_0"/>
      <w:bookmarkStart w:id="233" w:name="Tc_woVAtZ8DWEmbaF-ZgDh21w_12_11"/>
      <w:bookmarkStart w:id="234" w:name="Tc_uaq0PONBnUGgHF-bVoTy0A_12_8"/>
      <w:bookmarkStart w:id="235" w:name="Tc_COkbRuwPHEmTahdAQs1l7Q_12_5"/>
      <w:bookmarkStart w:id="236" w:name="Tc_jBwyakGWCkObqJv_JXortA_12_2"/>
      <w:bookmarkStart w:id="237" w:name="Tc_1azlemcp90mtpVMl5_8BDA_12_0"/>
      <w:bookmarkStart w:id="238" w:name="Tc_t_iqC_uFGkijritddQxr0A_11_14"/>
      <w:bookmarkStart w:id="239" w:name="Tc_UBKHPKYqhEKQEbEBtofM_g_11_8"/>
      <w:bookmarkStart w:id="240" w:name="Tc_4GrAxl5muESGD4RtuzBWfg_11_5"/>
      <w:bookmarkStart w:id="241" w:name="Tc_Bcw9B3Sf902E9-wt-QlcZA_11_2"/>
      <w:bookmarkStart w:id="242" w:name="Tc_i_8J7IXHvE-0JBi-_udRug_11_0"/>
      <w:bookmarkStart w:id="243" w:name="Tc_v5_N6ojFaEaWlG9OSKVPxw_10_14"/>
      <w:bookmarkStart w:id="244" w:name="Tc_pJV2ZxIsSkyt7iqOChSeJw_10_11"/>
      <w:bookmarkStart w:id="245" w:name="Tc_jO-yaDX-yE61FLwsWYiZPQ_10_5"/>
      <w:bookmarkStart w:id="246" w:name="Tc_Y4-0EClkhEer0WCnIGNkfA_10_0"/>
      <w:bookmarkStart w:id="247" w:name="Tc_Tj5SiufgGUmCBsU2fyv4Gw_9_14"/>
      <w:bookmarkStart w:id="248" w:name="Tc_V2Y7sAih30Kth8ZvbQT7Yw_9_11"/>
      <w:bookmarkStart w:id="249" w:name="Tc_Gu6AylW7XEKjFP9brOTnQA_9_5"/>
      <w:bookmarkStart w:id="250" w:name="Tc_i2Mjh_k9PEyBrbrJCUXIzg_9_0"/>
      <w:bookmarkStart w:id="251" w:name="Tc_rQCLK8z44UKyVBa3IXGiIw_8_14"/>
      <w:bookmarkStart w:id="252" w:name="Tc_A6uP7eaSmE2ipBdKr6I9Hw_8_11"/>
      <w:bookmarkStart w:id="253" w:name="Tc_puqeZj1aVUq0XeB__O6ZHg_8_5"/>
      <w:bookmarkStart w:id="254" w:name="Tc_WLzcWR45vEKluMDwtasp8A_8_2"/>
      <w:bookmarkStart w:id="255" w:name="Tc_gw07mENzLk-WD90-GpbfUQ_8_0"/>
      <w:bookmarkStart w:id="256" w:name="Tc_35QEIuOBekGJnwyzgVNTLg_7_16"/>
      <w:bookmarkStart w:id="257" w:name="Tc_MQoYa-ND0kefeiH_s6GFUQ_7_13"/>
      <w:bookmarkStart w:id="258" w:name="Tc_qKY9KYZpWkqEXVYnRsm5GA_7_10"/>
      <w:bookmarkStart w:id="259" w:name="Tc_sfjb15W2OUiy4OxiZoKAaw_7_7"/>
      <w:bookmarkStart w:id="260" w:name="Tc_eO5_ahPPwk6X37t_kFbjrw_7_4"/>
      <w:bookmarkStart w:id="261" w:name="Tc_H0ru5njVaEeSngftYLLHDw_7_0"/>
      <w:bookmarkStart w:id="262" w:name="Tc_aXp1pQWyaEmWoJVcczZebA_6_16"/>
      <w:bookmarkStart w:id="263" w:name="Tc_IcsnrdnUPkOYu2d_4FApiw_6_13"/>
      <w:bookmarkStart w:id="264" w:name="Tc_afHUMjPayEaBdCp1G80naw_6_10"/>
      <w:bookmarkStart w:id="265" w:name="Tc_RbIBRXzW2kKhKZcPTKxSTQ_6_7"/>
      <w:bookmarkStart w:id="266" w:name="Tc_RLiI4V0i10ObtnumDxaSXQ_6_4"/>
      <w:bookmarkStart w:id="267" w:name="Tc_tanIjIJb1Em8hQU3lM4NvQ_6_2"/>
      <w:bookmarkStart w:id="268" w:name="Tc_hlOA-9Vhd06l0SDQiTSVhg_5_16"/>
      <w:bookmarkStart w:id="269" w:name="Tc_qpL6rfd9oUy9Ub3_FXPsPA_5_13"/>
      <w:bookmarkStart w:id="270" w:name="Tc_edYN4R4sc0GcQEUe69nMIA_5_10"/>
      <w:bookmarkStart w:id="271" w:name="Tc_wWxBrOnyokiWo5-zu_YVDg_5_7"/>
      <w:bookmarkStart w:id="272" w:name="Tc_3yYRpMRdcEGkOINZU5hdkg_5_2"/>
      <w:bookmarkStart w:id="273" w:name="Tc_8WmgVI7xOUmQGD9ATJas2w_4_10"/>
      <w:bookmarkStart w:id="274" w:name="Tc_LgRy_PMsNkSqXLR4LzLHLw_4_7"/>
      <w:bookmarkStart w:id="275" w:name="Tc_HKgjCoKROUSXliMR86oqlw_3_2"/>
      <w:bookmarkStart w:id="276" w:name="Tc_QpBnOTS0nEu0pi8Bvv6mNg_1_2"/>
      <w:bookmarkStart w:id="277" w:name="_6cbf461b_2087_42ca_ba5b_ebd94191841d"/>
      <w:bookmarkStart w:id="278" w:name="Tc_KcZB6AoXMUGJMsPz39iDmA_26_16"/>
      <w:bookmarkStart w:id="279" w:name="Tc_PwMF7UeSX06pT6SbnaPCsA_26_13"/>
      <w:bookmarkStart w:id="280" w:name="Tc_1hLQm1N9M0CnHP7j_pQWtA_26_11"/>
      <w:bookmarkStart w:id="281" w:name="Tc_1VGaPqfpvkus7oblqAooXg_26_10"/>
      <w:bookmarkStart w:id="282" w:name="Tc_WQZQzmNDlEK_06paulFHDw_26_7"/>
      <w:bookmarkStart w:id="283" w:name="Tc_-UctN6r4R06Y_HnXUZHTHg_26_4"/>
      <w:bookmarkStart w:id="284" w:name="Tc_G3xUDxd6BUu6gGlZ3MZYIg_26_0"/>
      <w:bookmarkStart w:id="285" w:name="Tc_PWBLBsBAxEmuIktw9VwizQ_25_11"/>
      <w:bookmarkStart w:id="286" w:name="Tc_FTRq_iRmZUWgBWp859m-4Q_25_8"/>
      <w:bookmarkStart w:id="287" w:name="Tc_zHXKNRX66Eed-Sr1vuQoNA_25_5"/>
      <w:bookmarkStart w:id="288" w:name="Tc_l347Y9HKxE6mIbSGy_zMyQ_25_2"/>
      <w:bookmarkStart w:id="289" w:name="Tc_yUdVPav-hkO68yJgproSIA_25_0"/>
      <w:bookmarkStart w:id="290" w:name="Tc_SkZIPThYAkOqxES8xEfkfQ_24_14"/>
      <w:bookmarkStart w:id="291" w:name="Tc_4cV3VkybmUex0rhESeq5XQ_24_8"/>
      <w:bookmarkStart w:id="292" w:name="Tc_KqjIJugS7E-M9ZEtN0frrQ_24_5"/>
      <w:bookmarkStart w:id="293" w:name="Tc_mwaa43XmHUmyjFZ6Cw-5_g_24_2"/>
      <w:bookmarkStart w:id="294" w:name="Tc_tk2mz_RWQUWqvmffAEYwKA_24_0"/>
      <w:bookmarkStart w:id="295" w:name="Tc_eWenqBmza0-nyE6h9Nagrw_23_14"/>
      <w:bookmarkStart w:id="296" w:name="Tc_HEGi3aLpJ0eRJn16ACarAA_23_11"/>
      <w:bookmarkStart w:id="297" w:name="Tc_xX_PaNc_m0WQmqafxKbYhw_23_5"/>
      <w:bookmarkStart w:id="298" w:name="Tc_nju38269xkiGZu-mCImMWA_23_2"/>
      <w:bookmarkStart w:id="299" w:name="Tc_wuG1NzU020i2CU6gYNpuCQ_23_0"/>
      <w:bookmarkStart w:id="300" w:name="Tc_z4CGT744fE6xcLubxgvzWA_22_16"/>
      <w:bookmarkStart w:id="301" w:name="Tc_nS6VDfXa102gopK5v0tbNQ_22_13"/>
      <w:bookmarkStart w:id="302" w:name="Tc_ibtfHTW3fk-eEFfSR_76-A_22_10"/>
      <w:bookmarkStart w:id="303" w:name="Tc_l-Y3IGUdgkO0T1gV3Ni8BQ_22_7"/>
      <w:bookmarkStart w:id="304" w:name="Tc_LUsaO-cGCku9Y6aKGegp0Q_22_4"/>
      <w:bookmarkStart w:id="305" w:name="Tc_BdtHRj-NxkO7Clni5L7CUA_22_0"/>
      <w:bookmarkStart w:id="306" w:name="Tc_kOj2wdgktE-EjGDhiy3mSw_21_16"/>
      <w:bookmarkStart w:id="307" w:name="Tc_6kdEURYyY0CWUQF7RTP0BQ_21_13"/>
      <w:bookmarkStart w:id="308" w:name="Tc_cnRbs1FkVUOIPlOUpqPZyA_21_10"/>
      <w:bookmarkStart w:id="309" w:name="Tc_KMLeldWT0EG-8qtWVc6r-Q_21_7"/>
      <w:bookmarkStart w:id="310" w:name="Tc_lP0By8rq7UOztSlfII4VKA_21_4"/>
      <w:bookmarkStart w:id="311" w:name="Tc_oHPg8jnvOEaPOw4SmljPLA_21_2"/>
      <w:bookmarkStart w:id="312" w:name="Tc_TIlkZdjw7Uu0w4VlIOPjEQ_20_16"/>
      <w:bookmarkStart w:id="313" w:name="Tc_Ww1gGDGIiEe4izQ8_myZPw_20_13"/>
      <w:bookmarkStart w:id="314" w:name="Tc__pvSV9J1t0-VRuDVa-7V0g_20_10"/>
      <w:bookmarkStart w:id="315" w:name="Tc_qgr1Xk4OBkSHVAG6omGtcw_20_7"/>
      <w:bookmarkStart w:id="316" w:name="Tc_gfwxO-GOj0-L5m7WLh8VLQ_20_2"/>
      <w:bookmarkStart w:id="317" w:name="Tc_UzLJV3tfOEaBpJf4UspYfQ_19_10"/>
      <w:bookmarkStart w:id="318" w:name="Tc_77pPVkuw5E2xdbgzrWtrww_19_7"/>
      <w:bookmarkStart w:id="319" w:name="Tc_BqSZFrFMeky5meF4I8x82Q_18_2"/>
      <w:bookmarkStart w:id="320" w:name="Tc_4NxTL-N4NkqI5_6v8LsTvA_16_2"/>
      <w:bookmarkStart w:id="321" w:name="Tc_peE0bu1Kh0a-UpabXSJZYw_13_16"/>
      <w:bookmarkStart w:id="322" w:name="Tc_r2_QSvbWp0uHUjdBgW91fA_13_13"/>
      <w:bookmarkStart w:id="323" w:name="Tc_JdrtbaSXQ0CEh1oB1c1FXQ_13_10"/>
      <w:bookmarkStart w:id="324" w:name="Tc_tAG5stJbVku13_BRno3_IA_13_7"/>
      <w:bookmarkStart w:id="325" w:name="Tc_XUnf_dGj1E-HVC_c-VDwPQ_13_4"/>
      <w:bookmarkStart w:id="326" w:name="Tc_NJ7t1-6SLkuWU1NSZu8TeA_13_0"/>
      <w:bookmarkStart w:id="327" w:name="Tc_woVAtZ8DWEmbaF-ZgDh21w_12_11"/>
      <w:bookmarkStart w:id="328" w:name="Tc_uaq0PONBnUGgHF-bVoTy0A_12_8"/>
      <w:bookmarkStart w:id="329" w:name="Tc_COkbRuwPHEmTahdAQs1l7Q_12_5"/>
      <w:bookmarkStart w:id="330" w:name="Tc_jBwyakGWCkObqJv_JXortA_12_2"/>
      <w:bookmarkStart w:id="331" w:name="Tc_1azlemcp90mtpVMl5_8BDA_12_0"/>
      <w:bookmarkStart w:id="332" w:name="Tc_t_iqC_uFGkijritddQxr0A_11_14"/>
      <w:bookmarkStart w:id="333" w:name="Tc_UBKHPKYqhEKQEbEBtofM_g_11_8"/>
      <w:bookmarkStart w:id="334" w:name="Tc_4GrAxl5muESGD4RtuzBWfg_11_5"/>
      <w:bookmarkStart w:id="335" w:name="Tc_Bcw9B3Sf902E9-wt-QlcZA_11_2"/>
      <w:bookmarkStart w:id="336" w:name="Tc_i_8J7IXHvE-0JBi-_udRug_11_0"/>
      <w:bookmarkStart w:id="337" w:name="Tc_v5_N6ojFaEaWlG9OSKVPxw_10_14"/>
      <w:bookmarkStart w:id="338" w:name="Tc_pJV2ZxIsSkyt7iqOChSeJw_10_11"/>
      <w:bookmarkStart w:id="339" w:name="Tc_jO-yaDX-yE61FLwsWYiZPQ_10_5"/>
      <w:bookmarkStart w:id="340" w:name="Tc_Y4-0EClkhEer0WCnIGNkfA_10_0"/>
      <w:bookmarkStart w:id="341" w:name="Tc_Tj5SiufgGUmCBsU2fyv4Gw_9_14"/>
      <w:bookmarkStart w:id="342" w:name="Tc_V2Y7sAih30Kth8ZvbQT7Yw_9_11"/>
      <w:bookmarkStart w:id="343" w:name="Tc_Gu6AylW7XEKjFP9brOTnQA_9_5"/>
      <w:bookmarkStart w:id="344" w:name="Tc_i2Mjh_k9PEyBrbrJCUXIzg_9_0"/>
      <w:bookmarkStart w:id="345" w:name="Tc_rQCLK8z44UKyVBa3IXGiIw_8_14"/>
      <w:bookmarkStart w:id="346" w:name="Tc_A6uP7eaSmE2ipBdKr6I9Hw_8_11"/>
      <w:bookmarkStart w:id="347" w:name="Tc_puqeZj1aVUq0XeB__O6ZHg_8_5"/>
      <w:bookmarkStart w:id="348" w:name="Tc_WLzcWR45vEKluMDwtasp8A_8_2"/>
      <w:bookmarkStart w:id="349" w:name="Tc_gw07mENzLk-WD90-GpbfUQ_8_0"/>
      <w:bookmarkStart w:id="350" w:name="Tc_35QEIuOBekGJnwyzgVNTLg_7_16"/>
      <w:bookmarkStart w:id="351" w:name="Tc_MQoYa-ND0kefeiH_s6GFUQ_7_13"/>
      <w:bookmarkStart w:id="352" w:name="Tc_qKY9KYZpWkqEXVYnRsm5GA_7_10"/>
      <w:bookmarkStart w:id="353" w:name="Tc_sfjb15W2OUiy4OxiZoKAaw_7_7"/>
      <w:bookmarkStart w:id="354" w:name="Tc_eO5_ahPPwk6X37t_kFbjrw_7_4"/>
      <w:bookmarkStart w:id="355" w:name="Tc_H0ru5njVaEeSngftYLLHDw_7_0"/>
      <w:bookmarkStart w:id="356" w:name="Tc_aXp1pQWyaEmWoJVcczZebA_6_16"/>
      <w:bookmarkStart w:id="357" w:name="Tc_IcsnrdnUPkOYu2d_4FApiw_6_13"/>
      <w:bookmarkStart w:id="358" w:name="Tc_afHUMjPayEaBdCp1G80naw_6_10"/>
      <w:bookmarkStart w:id="359" w:name="Tc_RbIBRXzW2kKhKZcPTKxSTQ_6_7"/>
      <w:bookmarkStart w:id="360" w:name="Tc_RLiI4V0i10ObtnumDxaSXQ_6_4"/>
      <w:bookmarkStart w:id="361" w:name="Tc_tanIjIJb1Em8hQU3lM4NvQ_6_2"/>
      <w:bookmarkStart w:id="362" w:name="Tc_hlOA-9Vhd06l0SDQiTSVhg_5_16"/>
      <w:bookmarkStart w:id="363" w:name="Tc_qpL6rfd9oUy9Ub3_FXPsPA_5_13"/>
      <w:bookmarkStart w:id="364" w:name="Tc_edYN4R4sc0GcQEUe69nMIA_5_10"/>
      <w:bookmarkStart w:id="365" w:name="Tc_wWxBrOnyokiWo5-zu_YVDg_5_7"/>
      <w:bookmarkStart w:id="366" w:name="Tc_3yYRpMRdcEGkOINZU5hdkg_5_2"/>
      <w:bookmarkStart w:id="367" w:name="Tc_8WmgVI7xOUmQGD9ATJas2w_4_10"/>
      <w:bookmarkStart w:id="368" w:name="Tc_LgRy_PMsNkSqXLR4LzLHLw_4_7"/>
      <w:bookmarkStart w:id="369" w:name="Tc_HKgjCoKROUSXliMR86oqlw_3_2"/>
      <w:bookmarkStart w:id="370" w:name="Tc_QpBnOTS0nEu0pi8Bvv6mNg_1_2"/>
      <w:bookmarkStart w:id="371" w:name="_6cbf461b_2087_42ca_ba5b_ebd94191841d"/>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tbl>
      <w:tblPr>
        <w:tblW w:w="9322" w:type="dxa"/>
        <w:jc w:val="left"/>
        <w:tblInd w:w="0" w:type="dxa"/>
        <w:tblLayout w:type="fixed"/>
        <w:tblCellMar>
          <w:top w:w="0" w:type="dxa"/>
          <w:left w:w="0" w:type="dxa"/>
          <w:bottom w:w="0" w:type="dxa"/>
          <w:right w:w="0" w:type="dxa"/>
        </w:tblCellMar>
      </w:tblPr>
      <w:tblGrid>
        <w:gridCol w:w="3511"/>
        <w:gridCol w:w="146"/>
        <w:gridCol w:w="691"/>
        <w:gridCol w:w="109"/>
        <w:gridCol w:w="196"/>
        <w:gridCol w:w="375"/>
        <w:gridCol w:w="109"/>
        <w:gridCol w:w="181"/>
        <w:gridCol w:w="586"/>
        <w:gridCol w:w="109"/>
        <w:gridCol w:w="427"/>
        <w:gridCol w:w="818"/>
        <w:gridCol w:w="109"/>
        <w:gridCol w:w="194"/>
        <w:gridCol w:w="677"/>
        <w:gridCol w:w="109"/>
        <w:gridCol w:w="225"/>
        <w:gridCol w:w="750"/>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29485" cy="175260"/>
                      <wp:effectExtent l="0" t="0" r="0" b="0"/>
                      <wp:wrapNone/>
                      <wp:docPr id="18" name="Frame18"/>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2710" cy="175260"/>
                      <wp:effectExtent l="0" t="0" r="0" b="0"/>
                      <wp:wrapNone/>
                      <wp:docPr id="19" name="Frame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8785" cy="175260"/>
                      <wp:effectExtent l="0" t="0" r="0" b="0"/>
                      <wp:wrapNone/>
                      <wp:docPr id="20" name="Frame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8125" cy="175260"/>
                      <wp:effectExtent l="0" t="0" r="0" b="0"/>
                      <wp:wrapNone/>
                      <wp:docPr id="23" name="Frame2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4935" cy="175260"/>
                      <wp:effectExtent l="0" t="0" r="0" b="0"/>
                      <wp:wrapNone/>
                      <wp:docPr id="25" name="Frame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72110" cy="175260"/>
                      <wp:effectExtent l="0" t="0" r="0" b="0"/>
                      <wp:wrapNone/>
                      <wp:docPr id="26" name="Frame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71145" cy="175260"/>
                      <wp:effectExtent l="0" t="0" r="0" b="0"/>
                      <wp:wrapNone/>
                      <wp:docPr id="28" name="Frame28"/>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19430" cy="175260"/>
                      <wp:effectExtent l="0" t="0" r="0" b="0"/>
                      <wp:wrapNone/>
                      <wp:docPr id="29" name="Frame29"/>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3190" cy="175260"/>
                      <wp:effectExtent l="0" t="0" r="0" b="0"/>
                      <wp:wrapNone/>
                      <wp:docPr id="31" name="Frame31"/>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29895" cy="175260"/>
                      <wp:effectExtent l="0" t="0" r="0" b="0"/>
                      <wp:wrapNone/>
                      <wp:docPr id="32" name="Frame32"/>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2875" cy="175260"/>
                      <wp:effectExtent l="0" t="0" r="0" b="0"/>
                      <wp:wrapNone/>
                      <wp:docPr id="34" name="Frame3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76250" cy="175260"/>
                      <wp:effectExtent l="0" t="0" r="0" b="0"/>
                      <wp:wrapNone/>
                      <wp:docPr id="35" name="Frame35"/>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March 31, 2026</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pPr>
            <w:r>
              <w:rPr/>
              <w:t>​</w:t>
            </w:r>
          </w:p>
        </w:tc>
        <w:tc>
          <w:tcPr>
            <w:tcW w:w="81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Stockholders’ Equity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3,505,621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470,898</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(435,980)</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34,943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stock options</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from at-the-market sales, net of expenses</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99,446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Unrealized loss on marketable securities, net of tax </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(9,796)</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(9,796)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March 31, 2026</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3,607,555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472,490</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(445,776)</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26,716</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March 31, 2025</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pPr>
            <w:r>
              <w:rPr/>
              <w:t>​</w:t>
            </w:r>
          </w:p>
        </w:tc>
        <w:tc>
          <w:tcPr>
            <w:tcW w:w="81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 Equity</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December 31, 2024</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2,333,896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445,602</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(380,136)</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65,472</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Unrealized loss on marketable securities, net of tax </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(10,976)</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(10,976)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March 31, 2025</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2,333,896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446,965</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(391,112)</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55,855</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center"/>
        <w:rPr>
          <w:rFonts w:ascii="Times New Roman;Times;serif" w:hAnsi="Times New Roman;Times;serif"/>
          <w:b/>
          <w:sz w:val="24"/>
        </w:rPr>
      </w:pPr>
      <w:bookmarkStart w:id="372" w:name="_3c3aba3a_63de_43ec_8d4c_83baa5764637"/>
      <w:bookmarkStart w:id="373" w:name="STATEMENTSOFPREFERREDSTOCKANDSTOCKHOLDER"/>
      <w:bookmarkEnd w:id="372"/>
      <w:bookmarkEnd w:id="373"/>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b/>
          <w:sz w:val="24"/>
        </w:rPr>
      </w:pPr>
      <w:bookmarkStart w:id="374" w:name="CONDENSEDSTATEMENTSOFCASHFLOWS_178014"/>
      <w:bookmarkEnd w:id="374"/>
      <w:r>
        <w:rPr>
          <w:rFonts w:ascii="Times New Roman;Times;serif" w:hAnsi="Times New Roman;Times;serif"/>
          <w:b/>
          <w:sz w:val="24"/>
        </w:rPr>
        <w:t>CONDENSED STATEMENTS OF CASH FLOWS</w:t>
      </w:r>
    </w:p>
    <w:p>
      <w:pPr>
        <w:pStyle w:val="TextBody"/>
        <w:bidi w:val="0"/>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75" w:name="Tc_GkZX-nkmhE2_uMNRwJM-ZQ_30_5"/>
      <w:bookmarkStart w:id="376" w:name="Tc_YOdKRZjK70isM-qpPJtBSQ_30_2"/>
      <w:bookmarkStart w:id="377" w:name="Tc_kmLJShqBsUO52xdRd9o3QQ_30_0"/>
      <w:bookmarkStart w:id="378" w:name="Tc_n5CuOm2Uu06Gp7or_s-F7A_29_0"/>
      <w:bookmarkStart w:id="379" w:name="Tc_CaY8w0sot0Gnk1QxwJRQvg_28_5"/>
      <w:bookmarkStart w:id="380" w:name="Tc__dxyu9RjXEapmCc7msqzdg_28_2"/>
      <w:bookmarkStart w:id="381" w:name="Tc_tND633ERxEGdsXDne1BxIA_28_0"/>
      <w:bookmarkStart w:id="382" w:name="Tc_SR5Dj4PxlkGcKahXcV27ng_27_0"/>
      <w:bookmarkStart w:id="383" w:name="Tc_TJ8xPsCynEa6M4KEkFK6SQ_26_0"/>
      <w:bookmarkStart w:id="384" w:name="Tc_WLesjhwhjE2KXlcuAcQrDw_25_6"/>
      <w:bookmarkStart w:id="385" w:name="Tc_c8hj6suOa0C7rj5bTbhKzw_25_0"/>
      <w:bookmarkStart w:id="386" w:name="Tc_ihQJTEzvoUyYTt9HrQSItQ_24_6"/>
      <w:bookmarkStart w:id="387" w:name="Tc_F1fJOs6Uf0efUccPdX-uUA_24_0"/>
      <w:bookmarkStart w:id="388" w:name="Tc_I-TuMgXlREW7X9XwRn4S-Q_23_6"/>
      <w:bookmarkStart w:id="389" w:name="Tc_AmoT4WPxm0So3CrUD6CLGw_23_0"/>
      <w:bookmarkStart w:id="390" w:name="Tc_fNGkyKkV9Uq6-IXG0jlyLg_22_0"/>
      <w:bookmarkStart w:id="391" w:name="Tc_5IDvEzodCE2p7jdqV3Dneg_21_0"/>
      <w:bookmarkStart w:id="392" w:name="Tc_shGpOcbAe0mtBBh-wCwtaA_20_3"/>
      <w:bookmarkStart w:id="393" w:name="Tc_1mclVJ2kO0ylX0ISbl6FLQ_20_0"/>
      <w:bookmarkStart w:id="394" w:name="Tc_MUlDCSHxtEmfb5GO3ER3yw_19_0"/>
      <w:bookmarkStart w:id="395" w:name="Tc_Fc3TIhzBa0aK9zzYVVjARQ_18_0"/>
      <w:bookmarkStart w:id="396" w:name="Tc_Z3iN0bhUc02xYrrCLB3iuw_17_0"/>
      <w:bookmarkStart w:id="397" w:name="Tc_QM3ed-MllkaGL4iw8en08A_16_0"/>
      <w:bookmarkStart w:id="398" w:name="Tc_diuUJJmjKUSfPZA9COZRZA_15_0"/>
      <w:bookmarkStart w:id="399" w:name="Tc_E_TVsZ5r60qL2PKiiJhgZA_14_0"/>
      <w:bookmarkStart w:id="400" w:name="Tc_s4xFZBOL8EWfmVmSzIKhuQ_13_0"/>
      <w:bookmarkStart w:id="401" w:name="Tc_yfvxbabDQ06bEdco9RFqjQ_12_0"/>
      <w:bookmarkStart w:id="402" w:name="Tc_jrd37SnoyUGccjA_ooP9Hg_11_0"/>
      <w:bookmarkStart w:id="403" w:name="Tc_RzclEao5CUGkD9n-MyCyWw_10_0"/>
      <w:bookmarkStart w:id="404" w:name="Tc_DQaVmuQk-kumZySEBDu4CQ_9_0"/>
      <w:bookmarkStart w:id="405" w:name="Tc_MCUolCw4v0aYnagbcjJVCQ_8_0"/>
      <w:bookmarkStart w:id="406" w:name="Tc_COmgt9l3jUmSECKwiMEVZA_7_0"/>
      <w:bookmarkStart w:id="407" w:name="Tc_wu1PLSY8HEuF1_lMMh92Cw_6_0"/>
      <w:bookmarkStart w:id="408" w:name="Tc_lb0PJUtv3kuA4hleT9gspA_5_5"/>
      <w:bookmarkStart w:id="409" w:name="Tc_-_uQ4FHyHU-D9OUqg3wG9w_5_2"/>
      <w:bookmarkStart w:id="410" w:name="Tc_06MzTS20-0mkAGsWfcqtbQ_5_0"/>
      <w:bookmarkStart w:id="411" w:name="Tc_4fq2jvOiZk-hQKILMIKXOw_4_0"/>
      <w:bookmarkStart w:id="412" w:name="Tc_COIxZlfiAUySBZT95awahA_3_5"/>
      <w:bookmarkStart w:id="413" w:name="Tc_Q-U4UMBmGUmZ0vclrE-9zA_3_2"/>
      <w:bookmarkStart w:id="414" w:name="Tc_l_2Ib9007kWATFntT5U5Kw_2_2"/>
      <w:bookmarkStart w:id="415" w:name="Tc_ZA6JdJsblk2mduB1ANIlhg_1_2"/>
      <w:bookmarkStart w:id="416" w:name="_8417c588_775b_4894_92c1_75bcebad939f"/>
      <w:bookmarkStart w:id="417" w:name="Tc_GkZX-nkmhE2_uMNRwJM-ZQ_30_5"/>
      <w:bookmarkStart w:id="418" w:name="Tc_YOdKRZjK70isM-qpPJtBSQ_30_2"/>
      <w:bookmarkStart w:id="419" w:name="Tc_kmLJShqBsUO52xdRd9o3QQ_30_0"/>
      <w:bookmarkStart w:id="420" w:name="Tc_n5CuOm2Uu06Gp7or_s-F7A_29_0"/>
      <w:bookmarkStart w:id="421" w:name="Tc_CaY8w0sot0Gnk1QxwJRQvg_28_5"/>
      <w:bookmarkStart w:id="422" w:name="Tc__dxyu9RjXEapmCc7msqzdg_28_2"/>
      <w:bookmarkStart w:id="423" w:name="Tc_tND633ERxEGdsXDne1BxIA_28_0"/>
      <w:bookmarkStart w:id="424" w:name="Tc_SR5Dj4PxlkGcKahXcV27ng_27_0"/>
      <w:bookmarkStart w:id="425" w:name="Tc_TJ8xPsCynEa6M4KEkFK6SQ_26_0"/>
      <w:bookmarkStart w:id="426" w:name="Tc_WLesjhwhjE2KXlcuAcQrDw_25_6"/>
      <w:bookmarkStart w:id="427" w:name="Tc_c8hj6suOa0C7rj5bTbhKzw_25_0"/>
      <w:bookmarkStart w:id="428" w:name="Tc_ihQJTEzvoUyYTt9HrQSItQ_24_6"/>
      <w:bookmarkStart w:id="429" w:name="Tc_F1fJOs6Uf0efUccPdX-uUA_24_0"/>
      <w:bookmarkStart w:id="430" w:name="Tc_I-TuMgXlREW7X9XwRn4S-Q_23_6"/>
      <w:bookmarkStart w:id="431" w:name="Tc_AmoT4WPxm0So3CrUD6CLGw_23_0"/>
      <w:bookmarkStart w:id="432" w:name="Tc_fNGkyKkV9Uq6-IXG0jlyLg_22_0"/>
      <w:bookmarkStart w:id="433" w:name="Tc_5IDvEzodCE2p7jdqV3Dneg_21_0"/>
      <w:bookmarkStart w:id="434" w:name="Tc_shGpOcbAe0mtBBh-wCwtaA_20_3"/>
      <w:bookmarkStart w:id="435" w:name="Tc_1mclVJ2kO0ylX0ISbl6FLQ_20_0"/>
      <w:bookmarkStart w:id="436" w:name="Tc_MUlDCSHxtEmfb5GO3ER3yw_19_0"/>
      <w:bookmarkStart w:id="437" w:name="Tc_Fc3TIhzBa0aK9zzYVVjARQ_18_0"/>
      <w:bookmarkStart w:id="438" w:name="Tc_Z3iN0bhUc02xYrrCLB3iuw_17_0"/>
      <w:bookmarkStart w:id="439" w:name="Tc_QM3ed-MllkaGL4iw8en08A_16_0"/>
      <w:bookmarkStart w:id="440" w:name="Tc_diuUJJmjKUSfPZA9COZRZA_15_0"/>
      <w:bookmarkStart w:id="441" w:name="Tc_E_TVsZ5r60qL2PKiiJhgZA_14_0"/>
      <w:bookmarkStart w:id="442" w:name="Tc_s4xFZBOL8EWfmVmSzIKhuQ_13_0"/>
      <w:bookmarkStart w:id="443" w:name="Tc_yfvxbabDQ06bEdco9RFqjQ_12_0"/>
      <w:bookmarkStart w:id="444" w:name="Tc_jrd37SnoyUGccjA_ooP9Hg_11_0"/>
      <w:bookmarkStart w:id="445" w:name="Tc_RzclEao5CUGkD9n-MyCyWw_10_0"/>
      <w:bookmarkStart w:id="446" w:name="Tc_DQaVmuQk-kumZySEBDu4CQ_9_0"/>
      <w:bookmarkStart w:id="447" w:name="Tc_MCUolCw4v0aYnagbcjJVCQ_8_0"/>
      <w:bookmarkStart w:id="448" w:name="Tc_COmgt9l3jUmSECKwiMEVZA_7_0"/>
      <w:bookmarkStart w:id="449" w:name="Tc_wu1PLSY8HEuF1_lMMh92Cw_6_0"/>
      <w:bookmarkStart w:id="450" w:name="Tc_lb0PJUtv3kuA4hleT9gspA_5_5"/>
      <w:bookmarkStart w:id="451" w:name="Tc_-_uQ4FHyHU-D9OUqg3wG9w_5_2"/>
      <w:bookmarkStart w:id="452" w:name="Tc_06MzTS20-0mkAGsWfcqtbQ_5_0"/>
      <w:bookmarkStart w:id="453" w:name="Tc_4fq2jvOiZk-hQKILMIKXOw_4_0"/>
      <w:bookmarkStart w:id="454" w:name="Tc_COIxZlfiAUySBZT95awahA_3_5"/>
      <w:bookmarkStart w:id="455" w:name="Tc_Q-U4UMBmGUmZ0vclrE-9zA_3_2"/>
      <w:bookmarkStart w:id="456" w:name="Tc_l_2Ib9007kWATFntT5U5Kw_2_2"/>
      <w:bookmarkStart w:id="457" w:name="Tc_ZA6JdJsblk2mduB1ANIlhg_1_2"/>
      <w:bookmarkStart w:id="458" w:name="_8417c588_775b_4894_92c1_75bcebad939f"/>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tbl>
      <w:tblPr>
        <w:tblW w:w="8782" w:type="dxa"/>
        <w:jc w:val="left"/>
        <w:tblInd w:w="0" w:type="dxa"/>
        <w:tblLayout w:type="fixed"/>
        <w:tblCellMar>
          <w:top w:w="0" w:type="dxa"/>
          <w:left w:w="0" w:type="dxa"/>
          <w:bottom w:w="0" w:type="dxa"/>
          <w:right w:w="0" w:type="dxa"/>
        </w:tblCellMar>
      </w:tblPr>
      <w:tblGrid>
        <w:gridCol w:w="6031"/>
        <w:gridCol w:w="346"/>
        <w:gridCol w:w="211"/>
        <w:gridCol w:w="796"/>
        <w:gridCol w:w="346"/>
        <w:gridCol w:w="211"/>
        <w:gridCol w:w="841"/>
      </w:tblGrid>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8" name="Frame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4035" cy="175260"/>
                      <wp:effectExtent l="0" t="0" r="0" b="0"/>
                      <wp:wrapNone/>
                      <wp:docPr id="41" name="Frame4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premiums and discounts on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at-the-market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459" w:name="a1NatureoftheBusinessandBasisofPresentat"/>
      <w:bookmarkStart w:id="460" w:name="_cp_text_4_25"/>
      <w:bookmarkEnd w:id="459"/>
      <w:bookmarkEnd w:id="460"/>
      <w:r>
        <w:rPr>
          <w:rFonts w:ascii="Times New Roman;Times;serif" w:hAnsi="Times New Roman;Times;serif"/>
          <w:b/>
          <w:sz w:val="20"/>
        </w:rPr>
        <w:t>1. Nature of the Business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NextCure, Inc. (“NextCure” the “Company,” “we,” “us,” or “our”) was incorporated in Delaware in September 2015 and is headquartered in Beltsville, Maryland. The Company is a clinical-stage biopharmaceutical company that is focused on advancing innovative medicines that treat cancer patients that do not respond to, or that have disease progression on, current therapies, through the use of targeted therapies including antibody-drug conjugates. The Company focuses on advancing therapies that leverage our core strengths in understanding biological pathways and biomarkers, the interactions of cells, including in the tumor microenvironment, and the role each interaction plays in a biologic response. Since inception, the Company has devoted substantially all of its efforts and financial resources to discovery, research and development activities for the Company’s product candidates, identifying business development opportunities, raising capital and securing intellectual property rights related to the Company’s product candidates.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color w:val="212529"/>
          <w:sz w:val="20"/>
          <w:shd w:fill="FFFFFF" w:val="clear"/>
        </w:rPr>
        <w:t>On July 14, 2025, the Company effectuated a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0"/>
          <w:shd w:fill="FFFFFF" w:val="clear"/>
        </w:rPr>
        <w:t xml:space="preserve">-for-twelve (1:12) reverse stock split of its outstanding shares of common stock (the “Reverse Stock Split”). In connection with the Reverse Stock Split, every twelve shares of the Company’s common stock issued and outstanding as of July 14, 2025 were automatically converted into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4"/>
          <w:shd w:fill="FFFFFF" w:val="clear"/>
        </w:rPr>
        <w:t xml:space="preserve"> </w:t>
      </w:r>
      <w:r>
        <w:rPr>
          <w:rFonts w:ascii="Times New Roman;Times;serif" w:hAnsi="Times New Roman;Times;serif"/>
          <w:color w:val="212529"/>
          <w:sz w:val="20"/>
          <w:shd w:fill="FFFFFF" w:val="clear"/>
        </w:rPr>
        <w:t>share of the Company’s common stock. No</w:t>
      </w:r>
      <w:r>
        <w:rPr>
          <w:rFonts w:ascii="Times New Roman;Times;serif" w:hAnsi="Times New Roman;Times;serif"/>
          <w:color w:val="212529"/>
          <w:sz w:val="24"/>
          <w:shd w:fill="FFFFFF" w:val="clear"/>
        </w:rPr>
        <w:t xml:space="preserve"> </w:t>
      </w:r>
      <w:r>
        <w:rPr>
          <w:rFonts w:ascii="Times New Roman;Times;serif" w:hAnsi="Times New Roman;Times;serif"/>
          <w:color w:val="212529"/>
          <w:sz w:val="20"/>
          <w:shd w:fill="FFFFFF" w:val="clear"/>
        </w:rPr>
        <w:t>fractional shares were issued in connection with the Reverse Stock Split. The Company’s stockholders received the cash value equal to the fraction to which the stockholder would otherwise be entitled, multiplied by the closing price of the common stock, as reported by The Nasdaq Stock Market, LLC (“Nasdaq”), on the last trading day prior to the effective date of the Reverse Stock Split. All share and per share data for all periods presented in the accompanying financial statements and the related disclosures in this Quarterly Report on Form 10-Q have been adjusted retrospectively to reflect the Reverse Stock Split. The number of authorized shares of common stock and the par value per share remains unchanged.</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not generated any revenue to date from product sales and does not expect to generate any revenues from product sales in the foreseeable future. Through March 31, 2026, the Company has funded its operations primarily with proceeds from public offerings of its common stock and private placements of its common and preferred stock. The Company expects to incur additional operating losses and negative operating cash flows for the foreseeable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the Company had cash, cash equivalents and marketable securities of $29.7 million. The Company's expectation to incur additional operating losses and negative operating cash flows in the future and the need for additional funding to support its planned operations raise substantial doubt regarding the Company’s ability to continue as a going concern for a period of one year after the date that these unaudited financial statements are issued.  See Note 2, Summary of Significant Accounting Policies, for a further assessment of liquidity.</w:t>
      </w:r>
    </w:p>
    <w:p>
      <w:pPr>
        <w:pStyle w:val="TextBody"/>
        <w:bidi w:val="0"/>
        <w:spacing w:before="0" w:after="240"/>
        <w:ind w:left="0" w:right="0" w:hanging="0"/>
        <w:jc w:val="left"/>
        <w:rPr>
          <w:rFonts w:ascii="Times New Roman;Times;serif" w:hAnsi="Times New Roman;Times;serif"/>
          <w:b/>
          <w:sz w:val="20"/>
        </w:rPr>
      </w:pPr>
      <w:bookmarkStart w:id="461" w:name="a2SummaryofSignificantAccountingPolicies"/>
      <w:bookmarkEnd w:id="461"/>
      <w:r>
        <w:rPr>
          <w:rFonts w:ascii="Times New Roman;Times;serif" w:hAnsi="Times New Roman;Times;serif"/>
          <w:b/>
          <w:sz w:val="20"/>
        </w:rPr>
        <w:t>2. Summary of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significant accounting policies previously disclosed in the Company’s Annual Report on Form 10-K for the year ended December 31, 2025 (the “Annual Report”).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unaudited condensed financial statements include the accounts of the Company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Unaudited Financial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incurred net losses and negative cash flows from operations since its inception, has an accumulated deficit of $445.8 million as of March 31, 2026 and anticipates continuing to incur net losses for the foreseeable future. Under the Company's current plan, management believes its cash and cash equivalents and marketable securities of $29.7 million as of March 31, 2026 will not be sufficient to fund the Company's operations for a period of one year after the issuance of these unaudited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result, the Company will be required to raise additional capital by partnering, selling equity, or other means and has implemented cost-reduction measures. There can be no assurance as to whether partnering efforts will be successful or whether additional financing will be available on terms acceptable to the Company, if at all. If sufficient funds on acceptable terms are not available when needed, it would have a negative impact on the Company’s financial condition and could force the Company to delay, limit, reduce, or terminate product development or future commercialization efforts or grant rights to develop and market product candidates that the Company would otherwise plan to develop and market itself.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accompanying condensed financial statements have been prepared assuming that the Company will continue as a going concern, which contemplates the realization of assets and the settlement of liabilities and commitments in the normal course of business. The accompanying financial statements do not reflect any adjustments relating to the recoverability and reclassifications of assets and liabilities that might be necessary if the Company is unable to continue as a going concern.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intends to raise additional capital to continue the advancement of its programs. In the near term, the Company's primary uses of cash will be to fund the completion of key milestones for clinical programs and to fund its operations, including research and development activities and employee salaries. This includes significant costs relating to clinical trials of the Company's product candidates. The Company's planned uses of cash in the long term will be similar as the Company advances its research and development activities and pays employee salaries. Most pharmaceutical products require larger clinical trials as development progresses, and the Company expects its funding requirements to grow with the advancement of its programs. The Company's long-term funding requirements will depend on many factors, which are uncertain but include its portfolio prioritization decisions and the success of its collaborations. In turn, the Company's ability to raise additional capital through equity or partnering, or other avenues, will depend on the general economic environment in which it operates and its ability to achieve key milestones.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considers the applicability and impact of all Accounting Standards Updates (“ASUs”) issued by the Financial Accounting Standards Board (“FASB”). All other ASUs issued subsequent to the filing of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Annual Report were assessed and determined to be either inapplicable or not expected to have a material impact on the Company’s financial position or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 License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13, 2025, the Company entered into a License Agreement (the “License Agreement”) with Simcere Zaiming Pharmaceutical Co., Ltd. (formerly known as Hainan Simcere Zaiming Pharmaceutical Co., Ltd. or hereinafter “Zaiming”), a biopharmaceutical company based in China. Pursuant to the License Agreement, the Company obtained (1) an exclusive, worldwide (excluding the Zaiming Territory, as identified below) license to develop, manufacture, and commercialize Zaiming’s clinical-stage antibody drug conjugate (“ADC”) candidate, SIM0505 (also known as SCR-9359), and related compounds (the “Zaiming Products”), and (2) a non-exclusive, worldwide (excluding the Zaiming Territory) license to use Zaiming’s ADC platform technology to develop ADCs based on the Company’s proprietary antibodies for an additional novel target (the “NextCure Products”). Zaiming retained exclusive rights to develop and commercialize the Zaiming Products and any NextCure Products in China, Hong Kong, Macau, and Taiwan (the “Zaiming Territory”).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License Agreement: (i) the Company agreed to pay $17 million to Zaiming, which included an upfront cash payment of $12 million and an additional $5 million that became payable upon the earlier of a qualifying financing event or December 31, 2025, which became payable on December 31, 2025; (ii) upon initiation of the first Phase 1 clinical trial for SIM0505, the Company agreed to pay Zaiming $1.5 million, which became payable in October 2025; (iii) upon initiation of the first Phase 2 clinical trial for SIM0505, the Company is obligated to issue to Zaiming $1 million in its common stock, or under certain conditions, pay an equivalent cash amount in lieu of common stock; (iv) the Company is obligated to pay Zaiming certain development and regulatory milestone payments of up to $166.5 million per Zaiming product and up to $25.5 million per NextCure product, and certain commercial sales-based milestone payments of up to $535 million; and (v) the Company is obligated to pay tiered royalties on annual net sales of licensed products, at rates ranging from mid-single digit to low double digit percentages for Zaiming products; and low to mid-single digit percentages for NextCure products, in all cases, subject to standard reductions.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rights acquired under the License agreement are considered in-process research and development (IPRD) under Accounting Standards Codification (“ASC”) 730, Research and Development. Specifically, ASC 730-10-25-(c) states intangible assets used in research and development activities acquired in an asset acquisition should be expensed at the acquisition date if there is no alternative future use in other research and development projects. Since the acquired asset is the right to a specific compound, the Company does not believe there is an alternative future use and expensed both the upfront $12 million payment and the additional $5 million payment that became due on December 31, 2025. In addition, in October 2025, the Company achieved the first Phase 1 development milestone triggering an obligation of $1.5 million to Zaiming. The combined total of $18.5 million was included in research and development costs in the statement of operations and comprehensive loss for the year ended December 31, 2025. None of the other milestone payments are considered probable and reasonably estimable as of March 31, 2026, so they have not been accrued. </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4. Collaboration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2022, the Company entered into a Research and Collaboration and Co-Development Agreement (“the LigaChem Agreement”) with LigaChem Biosciences, Inc., formerly known as LegoChem Biosciences, Inc., (“LigaChem”), to develop up to three antibody drug conjugates.  Under the terms of the LigaChem Agreement, both parties equally share the costs of developing the molecules and profits on commercialized products.  The collaboration can consist of up to three research programs for which a research plan will be developed.  With respect to a research plan, each party shall use reasonable efforts to execute and perform the activities assigned to it.  Each party shall be solely responsible for costs associated with its assigned activities as outlined in the research plan.  Upon successful completion of a research plan, or as otherwise agreed, the parties may designate a research product as a co-development product.  Upon designation of a co-development product, cost sharing on a 50-50 basis between the Company and LigaChem would begin.  The activities associated with the research plan and co-development products will be coordinated by a joint steering committee, which is comprised of an equal number of representatives from the Company and LigaChem.  If and when a co-development product becomes commercialized, the Company and LigaChem would equally share in the profits.  There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are no implied licenses or other rights created under the LigaChem Agreement after designation of a co-development product.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April 1, 2023, the parties designated LNCB74 as the first co-development product under the LigaChem Agreement.  As such, cost sharing on a 50-50 basis commenced for the first co-development product under the LigaChem Agreement.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the involvement by both parties under the LigaChem Agreement, management assessed the criteria under ASC 808, Collaborative Arrangements (“ASC 808”), to determine if such agreement is within the scope of ASC 808. Based on the terms of the LigaChem Agreement, the Company concluded that the LigaChem Agreement meets the requirements of a collaboration within the guidance of ASC 808.  The Company and LigaChem are active participants in the activities associated with the LigaChem Agreement and are exposed to significant risks and rewards dependent on the commercial success of the activity.  The LigaChem Agreement is not reflective of a vendor-customer relationship and therefore not within the scope of ASC 606, Revenue from Contracts with Customers.  Accordingly, the net costs associated with the co-development are expensed as incurred and recognized within research and development expenses on the statement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LNCB74 was the lone co-development product and was in the early stages of development.  During the three months ended March 31, 2026, the Company incurred more costs than LigaChem under the LigaChem Agreement and recorded a corresponding reduction of $0.6 million in research and development costs reflecting the 50-50 cost sharing terms. A $0.6 million receivable is included in prepaid expenses and other current assets for amounts owed by LigaChem as of March 31, 2026.</w:t>
      </w:r>
    </w:p>
    <w:p>
      <w:pPr>
        <w:pStyle w:val="TextBody"/>
        <w:pBdr/>
        <w:bidi w:val="0"/>
        <w:spacing w:before="0" w:after="0"/>
        <w:ind w:left="0" w:right="0" w:hanging="0"/>
        <w:jc w:val="left"/>
        <w:rPr>
          <w:rFonts w:ascii="Times New Roman;Times;serif" w:hAnsi="Times New Roman;Times;serif"/>
          <w:b/>
          <w:sz w:val="20"/>
        </w:rPr>
      </w:pPr>
      <w:bookmarkStart w:id="462" w:name="Tc_Kw-56Omk2Em4VH67MD0gAA_6_11"/>
      <w:bookmarkStart w:id="463" w:name="Tc_yclNiKiyCky7ypO6uapM6g_6_8"/>
      <w:bookmarkStart w:id="464" w:name="Tc_dk12XXdFMUS4IfwtRmucsA_6_5"/>
      <w:bookmarkStart w:id="465" w:name="Tc_er-H5MtglE-vmHe8petzsg_6_2"/>
      <w:bookmarkStart w:id="466" w:name="Tc_9U1IfItOYUeYlFYkX6T91w_6_0"/>
      <w:bookmarkStart w:id="467" w:name="Tc_2TjsycycF0i2FL-FnkFmjQ_5_11"/>
      <w:bookmarkStart w:id="468" w:name="Tc_HORLBjEJl0W2db-jXSRUlA_5_8"/>
      <w:bookmarkStart w:id="469" w:name="Tc_dFzwZ2maUkuOsLtWzB45Eg_5_5"/>
      <w:bookmarkStart w:id="470" w:name="Tc_hAWoW7oimUeqg6n4o8461g_5_2"/>
      <w:bookmarkStart w:id="471" w:name="Tc_ALwIibrqVEGRCtxgMLHHYA_5_0"/>
      <w:bookmarkStart w:id="472" w:name="Tc_xiomEwfUqkmpKfSsxxLAPA_4_11"/>
      <w:bookmarkStart w:id="473" w:name="Tc_XyPPL4uro0OmnX_vFFOZ4A_4_8"/>
      <w:bookmarkStart w:id="474" w:name="Tc_c4iGKX7vdkmzs3eTEiXJVA_4_5"/>
      <w:bookmarkStart w:id="475" w:name="Tc_2taNMAF0skWnHKvzJP5Agw_4_2"/>
      <w:bookmarkStart w:id="476" w:name="Tc_QlGHWAfuIUupnJTKmyXzmw_4_0"/>
      <w:bookmarkStart w:id="477" w:name="Tc_NG0QFLuZj06Kj6L9UI7npw_3_11"/>
      <w:bookmarkStart w:id="478" w:name="Tc_a4jO_z1BdUuR-B5myXT-bQ_3_8"/>
      <w:bookmarkStart w:id="479" w:name="Tc_ZPgwvQmkskSjB4l5WojOeg_3_5"/>
      <w:bookmarkStart w:id="480" w:name="Tc_78G1oeadT0uy3Ye77tDBvQ_3_2"/>
      <w:bookmarkStart w:id="481" w:name="Tc_W6s-kQ71KkyMYdLSrc_nQg_2_8"/>
      <w:bookmarkStart w:id="482" w:name="Tc_HUBU-LjMA0qsmFlNWMIOyQ_2_5"/>
      <w:bookmarkStart w:id="483" w:name="Tc_637MsY_LokGGFKONSqYgJQ_1_2"/>
      <w:bookmarkStart w:id="484" w:name="_83137308_86b1_4d40_8fc9_18a3b87d277a"/>
      <w:bookmarkStart w:id="485" w:name="Tc_bs0rRJA9UEKZFpgYZeVMMA_6_11"/>
      <w:bookmarkStart w:id="486" w:name="Tc_spZOpxmBbEOnKvUT8Lv60Q_6_8"/>
      <w:bookmarkStart w:id="487" w:name="Tc_XEJMpymU1UuqxboffkX1qg_6_5"/>
      <w:bookmarkStart w:id="488" w:name="Tc_H_lzzXX74k-j9atIvOTlKw_6_2"/>
      <w:bookmarkStart w:id="489" w:name="Tc_nKl1puuKwU6onT4hzbzCJA_6_0"/>
      <w:bookmarkStart w:id="490" w:name="Tc_PTjLt2zGSkmwY2udeoPCPg_5_11"/>
      <w:bookmarkStart w:id="491" w:name="Tc_BhxBj5_qq06G349OxJnddA_5_8"/>
      <w:bookmarkStart w:id="492" w:name="Tc_dcje1-IYR0GAcbgX5X1IJA_5_5"/>
      <w:bookmarkStart w:id="493" w:name="Tc_8M5o8CRBLESB-eahKcEAdA_5_2"/>
      <w:bookmarkStart w:id="494" w:name="Tc_BTrEwMaAN0ux7RNZ0hu28w_5_0"/>
      <w:bookmarkStart w:id="495" w:name="Tc_jQE9cHaw006uSxBRQSku1w_4_11"/>
      <w:bookmarkStart w:id="496" w:name="Tc_nr6uODH5EkGDfWzq3yf6Nw_4_8"/>
      <w:bookmarkStart w:id="497" w:name="Tc_OXQZL1tiC0qYnfzwoli50Q_4_5"/>
      <w:bookmarkStart w:id="498" w:name="Tc_WGyENc0cl0mLSHmLkRap6w_4_2"/>
      <w:bookmarkStart w:id="499" w:name="Tc_HBDI5rOyqkmD-ByiAPOKjw_4_0"/>
      <w:bookmarkStart w:id="500" w:name="Tc_2WEZXoasdE2_89ynGshHdQ_3_11"/>
      <w:bookmarkStart w:id="501" w:name="Tc_zXIM7UjDsUSWBd1rWcPsvA_3_8"/>
      <w:bookmarkStart w:id="502" w:name="Tc_TekS2FP9AE6zy2q3MPzcLA_3_5"/>
      <w:bookmarkStart w:id="503" w:name="Tc_N5zONEWGW0SqGrhD0V_osg_3_2"/>
      <w:bookmarkStart w:id="504" w:name="Tc_PkFDWv1thU-c9NQD6EURbA_2_8"/>
      <w:bookmarkStart w:id="505" w:name="Tc_b2ZoNNa-WkWen5GzrXLEuw_2_5"/>
      <w:bookmarkStart w:id="506" w:name="Tc_h0Nw_bf2lUKUf3iWrzF0cg_1_2"/>
      <w:bookmarkStart w:id="507" w:name="_4ee117ee_13ef_4f79_9b63_d812174f520b"/>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Pr>
          <w:rFonts w:ascii="Times New Roman;Times;serif" w:hAnsi="Times New Roman;Times;serif"/>
          <w:b/>
          <w:sz w:val="20"/>
        </w:rPr>
        <w:t>5. Marketable Securities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Marketable securities consist of the following:</w:t>
      </w:r>
    </w:p>
    <w:p>
      <w:pPr>
        <w:pStyle w:val="TextBody"/>
        <w:shd w:fill="FFFFFF" w:val="clear"/>
        <w:bidi w:val="0"/>
        <w:spacing w:before="0" w:after="0"/>
        <w:ind w:left="0" w:right="0" w:hanging="0"/>
        <w:jc w:val="both"/>
        <w:rPr/>
      </w:pPr>
      <w:r>
        <w:rPr/>
        <w:t>​</w:t>
      </w:r>
    </w:p>
    <w:tbl>
      <w:tblPr>
        <w:tblW w:w="6506" w:type="dxa"/>
        <w:jc w:val="left"/>
        <w:tblInd w:w="0" w:type="dxa"/>
        <w:tblLayout w:type="fixed"/>
        <w:tblCellMar>
          <w:top w:w="0" w:type="dxa"/>
          <w:left w:w="0" w:type="dxa"/>
          <w:bottom w:w="0" w:type="dxa"/>
          <w:right w:w="0" w:type="dxa"/>
        </w:tblCellMar>
      </w:tblPr>
      <w:tblGrid>
        <w:gridCol w:w="1471"/>
        <w:gridCol w:w="346"/>
        <w:gridCol w:w="211"/>
        <w:gridCol w:w="676"/>
        <w:gridCol w:w="346"/>
        <w:gridCol w:w="443"/>
        <w:gridCol w:w="443"/>
        <w:gridCol w:w="346"/>
        <w:gridCol w:w="355"/>
        <w:gridCol w:w="531"/>
        <w:gridCol w:w="346"/>
        <w:gridCol w:w="211"/>
        <w:gridCol w:w="781"/>
      </w:tblGrid>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29260" cy="175260"/>
                      <wp:effectExtent l="0" t="0" r="0" b="0"/>
                      <wp:wrapNone/>
                      <wp:docPr id="44" name="Frame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81305" cy="175260"/>
                      <wp:effectExtent l="0" t="0" r="0" b="0"/>
                      <wp:wrapNone/>
                      <wp:docPr id="46" name="Frame46"/>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81305" cy="175260"/>
                      <wp:effectExtent l="0" t="0" r="0" b="0"/>
                      <wp:wrapNone/>
                      <wp:docPr id="47" name="Frame47"/>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5425" cy="175260"/>
                      <wp:effectExtent l="0" t="0" r="0" b="0"/>
                      <wp:wrapNone/>
                      <wp:docPr id="49" name="Frame49"/>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37185" cy="175260"/>
                      <wp:effectExtent l="0" t="0" r="0" b="0"/>
                      <wp:wrapNone/>
                      <wp:docPr id="50" name="Frame50"/>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8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w:t>
            </w:r>
          </w:p>
        </w:tc>
        <w:tc>
          <w:tcPr>
            <w:tcW w:w="346"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w:t>
            </w:r>
          </w:p>
        </w:tc>
        <w:tc>
          <w:tcPr>
            <w:tcW w:w="346" w:type="dxa"/>
            <w:tcBorders/>
            <w:vAlign w:val="center"/>
          </w:tcPr>
          <w:p>
            <w:pPr>
              <w:pStyle w:val="TableContents"/>
              <w:bidi w:val="0"/>
              <w:spacing w:before="0" w:after="0"/>
              <w:ind w:left="0" w:right="0" w:hanging="0"/>
              <w:jc w:val="left"/>
              <w:rPr/>
            </w:pPr>
            <w:r>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14,576</w:t>
            </w:r>
          </w:p>
        </w:tc>
      </w:tr>
    </w:tbl>
    <w:p>
      <w:pPr>
        <w:pStyle w:val="TextBody"/>
        <w:bidi w:val="0"/>
        <w:spacing w:before="0" w:after="0"/>
        <w:ind w:left="0" w:right="0" w:hanging="0"/>
        <w:jc w:val="left"/>
        <w:rPr/>
      </w:pPr>
      <w:r>
        <w:rPr/>
        <w:t>​</w:t>
      </w:r>
    </w:p>
    <w:tbl>
      <w:tblPr>
        <w:tblW w:w="6506" w:type="dxa"/>
        <w:jc w:val="left"/>
        <w:tblInd w:w="0" w:type="dxa"/>
        <w:tblLayout w:type="fixed"/>
        <w:tblCellMar>
          <w:top w:w="0" w:type="dxa"/>
          <w:left w:w="0" w:type="dxa"/>
          <w:bottom w:w="0" w:type="dxa"/>
          <w:right w:w="0" w:type="dxa"/>
        </w:tblCellMar>
      </w:tblPr>
      <w:tblGrid>
        <w:gridCol w:w="1471"/>
        <w:gridCol w:w="346"/>
        <w:gridCol w:w="211"/>
        <w:gridCol w:w="676"/>
        <w:gridCol w:w="346"/>
        <w:gridCol w:w="354"/>
        <w:gridCol w:w="532"/>
        <w:gridCol w:w="346"/>
        <w:gridCol w:w="355"/>
        <w:gridCol w:w="531"/>
        <w:gridCol w:w="346"/>
        <w:gridCol w:w="211"/>
        <w:gridCol w:w="781"/>
      </w:tblGrid>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29260" cy="175260"/>
                      <wp:effectExtent l="0" t="0" r="0" b="0"/>
                      <wp:wrapNone/>
                      <wp:docPr id="56" name="Frame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4790" cy="175260"/>
                      <wp:effectExtent l="0" t="0" r="0" b="0"/>
                      <wp:wrapNone/>
                      <wp:docPr id="58" name="Frame5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37820" cy="175260"/>
                      <wp:effectExtent l="0" t="0" r="0" b="0"/>
                      <wp:wrapNone/>
                      <wp:docPr id="59" name="Frame59"/>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25425" cy="175260"/>
                      <wp:effectExtent l="0" t="0" r="0" b="0"/>
                      <wp:wrapNone/>
                      <wp:docPr id="61" name="Frame6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37185" cy="175260"/>
                      <wp:effectExtent l="0" t="0" r="0" b="0"/>
                      <wp:wrapNone/>
                      <wp:docPr id="62" name="Frame62"/>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8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shd w:fill="CCEEFF" w:val="clear"/>
            <w:vAlign w:val="center"/>
          </w:tcPr>
          <w:p>
            <w:pPr>
              <w:pStyle w:val="TableContents"/>
              <w:bidi w:val="0"/>
              <w:spacing w:before="0" w:after="0"/>
              <w:ind w:left="0" w:right="0" w:hanging="0"/>
              <w:jc w:val="center"/>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vAlign w:val="center"/>
          </w:tcPr>
          <w:p>
            <w:pPr>
              <w:pStyle w:val="TableContents"/>
              <w:bidi w:val="0"/>
              <w:spacing w:before="0" w:after="0"/>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uses the specific identification method when calculating realized gains and losses. The Company realized a gain of $1 thousand on available-for-sale securities for the three months ended March 31, 2026.  The Company did not realize any gains or </w:t>
      </w:r>
      <w:r>
        <w:rPr>
          <w:rFonts w:ascii="Times New Roman;Times;serif" w:hAnsi="Times New Roman;Times;serif"/>
          <w:b w:val="false"/>
          <w:i w:val="false"/>
          <w:caps w:val="false"/>
          <w:smallCaps w:val="false"/>
          <w:sz w:val="20"/>
        </w:rPr>
        <w:t>losses</w:t>
      </w:r>
      <w:r>
        <w:rPr>
          <w:rFonts w:ascii="Times New Roman;Times;serif" w:hAnsi="Times New Roman;Times;serif"/>
          <w:sz w:val="20"/>
        </w:rPr>
        <w:t xml:space="preserve"> on available-for-sale securities for the three months ended March 31,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reviewed all investments which were in a loss position at the respective balance sheet dates, as well as the remainder of the portfolio. As of March 31, 2026, the Company had investments with a total fair market value of $11.0 million in an immaterial unrealized loss position, of which none were in a continuous unrealized loss position for more than twelve months. The Company analyzed the unrealized losses and determined that market conditions were the primary factor driving these changes, and such unrealized losses are temporary as the Company anticipates a full recovery of the amortized cost basis of these securities at maturity. After analyzing the securities in an unrealized loss position, the portion of these losses that relates to changes in credit quality is insignificant. The Company does not intend to sell these securities, nor is it more likely than not that the Company will be required to sell them prior to the end of their contractual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bookmarkStart w:id="508" w:name="_d5d039c5_cb1c_4a9f_b3e5_c3d503a6d3e2_3"/>
      <w:bookmarkStart w:id="509" w:name="_d5d039c5_cb1c_4a9f_b3e5_c3d503a6d3e2_2"/>
      <w:bookmarkStart w:id="510" w:name="_d5d039c5_cb1c_4a9f_b3e5_c3d503a6d3e2"/>
      <w:bookmarkStart w:id="511" w:name="Tc_o-uTrauXFEO7J75jISFIIw_6_5"/>
      <w:bookmarkStart w:id="512" w:name="Tc_ICkMcdBk00afMfaJjnP0Kw_6_2"/>
      <w:bookmarkStart w:id="513" w:name="Tc_TMp5TZwqek2zyo0hm-JhkA_6_0"/>
      <w:bookmarkStart w:id="514" w:name="Tc_vv7vuzjmZ0Wq7f6k_WrrWQ_5_5"/>
      <w:bookmarkStart w:id="515" w:name="Tc_OawR-RtfeUqbYplm3XU5yQ_5_2"/>
      <w:bookmarkStart w:id="516" w:name="Tc_qJekaO8UWEegIHGFSP4UDA_5_0"/>
      <w:bookmarkStart w:id="517" w:name="Tc_3K28EC1K_U2HMof7Z4gJ8A_4_0"/>
      <w:bookmarkStart w:id="518" w:name="Tc_S7gg8_OWAU2jpGtO6D1tsQ_3_5"/>
      <w:bookmarkStart w:id="519" w:name="Tc_td7vYRaT_EO2NPjKISJTIA_3_2"/>
      <w:bookmarkStart w:id="520" w:name="Tc_eAGmswUGXkSGP4QOyYdvaw_3_0"/>
      <w:bookmarkStart w:id="521" w:name="Tc_GjskL_xMvUKdeKj-kPK_YA_2_5"/>
      <w:bookmarkStart w:id="522" w:name="Tc_Ugk1w-t3-E2GvpgdfvDXXA_1_2"/>
      <w:bookmarkStart w:id="523" w:name="_769895af_6e82_44ff_b2c1_33c4300eef12"/>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Pr>
          <w:rFonts w:ascii="Times New Roman;Times;serif" w:hAnsi="Times New Roman;Times;serif"/>
          <w:sz w:val="20"/>
        </w:rPr>
        <w:t>terms. Furthermore, the Company does not believe that these securities expose the Company to undue market risk or counterparty 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summarizes maturities of the Company’s investments available-for-sale as of </w:t>
        <w:br/>
        <w:t>March 31, 2026</w:t>
      </w:r>
      <w:r>
        <w:rPr>
          <w:rFonts w:ascii="Times New Roman;Times;serif" w:hAnsi="Times New Roman;Times;serif"/>
          <w:sz w:val="20"/>
          <w:shd w:fill="FFFFFF" w:val="clear"/>
        </w:rPr>
        <w:t>:</w:t>
      </w:r>
    </w:p>
    <w:tbl>
      <w:tblPr>
        <w:tblW w:w="5602" w:type="dxa"/>
        <w:jc w:val="left"/>
        <w:tblInd w:w="0" w:type="dxa"/>
        <w:tblLayout w:type="fixed"/>
        <w:tblCellMar>
          <w:top w:w="0" w:type="dxa"/>
          <w:left w:w="0" w:type="dxa"/>
          <w:bottom w:w="0" w:type="dxa"/>
          <w:right w:w="0" w:type="dxa"/>
        </w:tblCellMar>
      </w:tblPr>
      <w:tblGrid>
        <w:gridCol w:w="3031"/>
        <w:gridCol w:w="346"/>
        <w:gridCol w:w="211"/>
        <w:gridCol w:w="676"/>
        <w:gridCol w:w="346"/>
        <w:gridCol w:w="211"/>
        <w:gridCol w:w="78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924685" cy="175260"/>
                      <wp:effectExtent l="0" t="0" r="0" b="0"/>
                      <wp:wrapNone/>
                      <wp:docPr id="66" name="Frame66"/>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29260" cy="175260"/>
                      <wp:effectExtent l="0" t="0" r="0" b="0"/>
                      <wp:wrapNone/>
                      <wp:docPr id="69" name="Frame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2" name="Frame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14,576</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14,576</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elected to report interest receivable from its marketable securities with prepaid expenses and other current assets on its balance sheet.  Interest receivable included in prepaid expenses and other current assets totaled $0.1 million and $0.3 million as of March 31, 2026 and December 31, 2025, respectively.</w:t>
      </w:r>
    </w:p>
    <w:p>
      <w:pPr>
        <w:pStyle w:val="TextBody"/>
        <w:bidi w:val="0"/>
        <w:spacing w:before="0" w:after="240"/>
        <w:ind w:left="0" w:right="0" w:hanging="0"/>
        <w:jc w:val="left"/>
        <w:rPr>
          <w:rFonts w:ascii="Times New Roman;Times;serif" w:hAnsi="Times New Roman;Times;serif"/>
          <w:b/>
          <w:sz w:val="20"/>
        </w:rPr>
      </w:pPr>
      <w:bookmarkStart w:id="524" w:name="a3FairValueofFinancialInstruments_290669"/>
      <w:bookmarkEnd w:id="524"/>
      <w:r>
        <w:rPr>
          <w:rFonts w:ascii="Times New Roman;Times;serif" w:hAnsi="Times New Roman;Times;serif"/>
          <w:b/>
          <w:sz w:val="20"/>
        </w:rPr>
        <w:t>6. Fair Value Measurements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certain financial assets recorded at fair value, which have been classified as Level 1, 2 or 3 within the fair value hierarchy as described in the accounting standards for fair value measurements.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Level 1—Quoted market prices in active markets for identical assets or liabilities.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Level 2—Inputs other than Level 1 inputs that are either directly or indirectly observable, such as quoted market prices, interest rates and yield curves.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Level 3—Unobservable inputs developed using estimates of assumptions developed by the Company, which reflect those that a market participant would 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bookmarkStart w:id="525" w:name="Tc_c10f9thiXkeFAosEu7HZAA_11_12"/>
      <w:bookmarkStart w:id="526" w:name="Tc_BrmaPtIW7UWPn9rsGDLFhA_11_11"/>
      <w:bookmarkStart w:id="527" w:name="Tc_kIkw5Ti5_keqmfrbpdfKMw_11_8"/>
      <w:bookmarkStart w:id="528" w:name="Tc_Rx05GUBsB0KND2rlg-J7Fg_11_5"/>
      <w:bookmarkStart w:id="529" w:name="Tc_ldJY4s01gEmwdom_7YxwyQ_11_2"/>
      <w:bookmarkStart w:id="530" w:name="Tc_CNZdTzo8IUGa5I8exIIimg_11_0"/>
      <w:bookmarkStart w:id="531" w:name="Tc_ZmeUb0nP50abkRwfWHFXhQ_10_12"/>
      <w:bookmarkStart w:id="532" w:name="Tc_uGqETkcP5UmYl-9ZQzaYLg_10_6"/>
      <w:bookmarkStart w:id="533" w:name="Tc_w9BltWz1MEaV4sVgUbUd-Q_10_0"/>
      <w:bookmarkStart w:id="534" w:name="Tc_N5OwXNZUDEWo5ZwLfnke-Q_9_0"/>
      <w:bookmarkStart w:id="535" w:name="Tc_PbHDf7BM_UqLt_l6FQb3QA_8_12"/>
      <w:bookmarkStart w:id="536" w:name="Tc_8XrnOWl1YE2bXl-_lfRkOw_8_11"/>
      <w:bookmarkStart w:id="537" w:name="Tc_Uk7hZTdi4U2vjDZud7ixLQ_8_9"/>
      <w:bookmarkStart w:id="538" w:name="Tc_WZHn4Vdye0KmBF643Wct_A_8_8"/>
      <w:bookmarkStart w:id="539" w:name="Tc_Gx3pOf2TiECxgDAKnlyRcw_8_5"/>
      <w:bookmarkStart w:id="540" w:name="Tc_XcgO4qEeH0K5UKQ0dtTDBA_8_2"/>
      <w:bookmarkStart w:id="541" w:name="Tc_73pSjmKur0aWOhFN2oMp2Q_8_0"/>
      <w:bookmarkStart w:id="542" w:name="Tc_Jv91_104iU-zlGWtOsvmmg_7_0"/>
      <w:bookmarkStart w:id="543" w:name="Tc_Q4B5NvqRLEirr-gfhkTV1g_6_11"/>
      <w:bookmarkStart w:id="544" w:name="Tc_-6rt_dSLr0azbjZOaunPVw_6_8"/>
      <w:bookmarkStart w:id="545" w:name="Tc_7NBmg2TgxUuJ8fUOITLkZw_6_5"/>
      <w:bookmarkStart w:id="546" w:name="Tc__ElJzZxPgECxMdua1lVWyQ_6_2"/>
      <w:bookmarkStart w:id="547" w:name="Tc_pQeIwyoRDU6ojCsoRvfgyA_6_0"/>
      <w:bookmarkStart w:id="548" w:name="Tc_kKaQiwB9MkOxf_bymImP_w_5_11"/>
      <w:bookmarkStart w:id="549" w:name="Tc_7MxDQvPVFE2YfYq7wFe8dg_5_8"/>
      <w:bookmarkStart w:id="550" w:name="Tc_XqYfU2RBq0KF60PrvNaQEA_5_5"/>
      <w:bookmarkStart w:id="551" w:name="Tc_HganZITs30uaiMkHsLAc3w_4_11"/>
      <w:bookmarkStart w:id="552" w:name="Tc_Nao9Mb4cEEaWFjwwJcOJxw_4_8"/>
      <w:bookmarkStart w:id="553" w:name="Tc_UOFfThdqfE22zGhofDhXZA_4_5"/>
      <w:bookmarkStart w:id="554" w:name="Tc_ltB4sqLfyk-0cRHpg9G4tA_3_8"/>
      <w:bookmarkStart w:id="555" w:name="Tc_51lZV4qLK0ulghHoQktpkg_3_5"/>
      <w:bookmarkStart w:id="556" w:name="Tc_gZvhNnSHjUq2KhWsAGXOgw_2_8"/>
      <w:bookmarkStart w:id="557" w:name="Tc_mQCygUj25EiAVBof_Hduug_1_2"/>
      <w:bookmarkStart w:id="558" w:name="_44e27cfe_7725_446e_a5b7_472d611c9a65"/>
      <w:bookmarkStart w:id="559" w:name="Tc_nSh-skg3ikyTzsrxE9g7-Q_11_12"/>
      <w:bookmarkStart w:id="560" w:name="Tc_Ahj6AfPT00Kw07erIL1Jow_11_11"/>
      <w:bookmarkStart w:id="561" w:name="Tc_v9SmTosmIkWeo9tRu_xibg_11_8"/>
      <w:bookmarkStart w:id="562" w:name="Tc_3JgXjDV8GkG_cgmwTIHpDQ_11_5"/>
      <w:bookmarkStart w:id="563" w:name="Tc_z8UAVL39rkGjo0P1d_f_rQ_11_2"/>
      <w:bookmarkStart w:id="564" w:name="Tc_OltQwBT9RUWYzUIfdXYiRw_11_0"/>
      <w:bookmarkStart w:id="565" w:name="Tc_wFNxfCRDP0a61JxMd8Rbwg_10_12"/>
      <w:bookmarkStart w:id="566" w:name="Tc_rwDMAzL4zUSBcD0M26crZw_10_6"/>
      <w:bookmarkStart w:id="567" w:name="Tc_E3tE8JVFhEqFPDp4r8pjug_10_0"/>
      <w:bookmarkStart w:id="568" w:name="Tc_hZdt7QR0jEyBNbWLJ3N6Yg_9_0"/>
      <w:bookmarkStart w:id="569" w:name="Tc_teyosGZuKEWIzmvBaTSrJA_8_12"/>
      <w:bookmarkStart w:id="570" w:name="Tc_am_fCHkR5kyTlUlYUW-qYA_8_11"/>
      <w:bookmarkStart w:id="571" w:name="Tc_c80HvSxdxkSy73nAtBcsyw_8_9"/>
      <w:bookmarkStart w:id="572" w:name="Tc_8xAD8XnK2kS-udNuVrizMg_8_8"/>
      <w:bookmarkStart w:id="573" w:name="Tc_ytVtM5L3KUqquVb-N-J7ow_8_5"/>
      <w:bookmarkStart w:id="574" w:name="Tc_k5a44vNgEkKfPvJLjiUHIg_8_2"/>
      <w:bookmarkStart w:id="575" w:name="Tc_1Xm2M9jVa0qoMHLncW_6Zw_8_0"/>
      <w:bookmarkStart w:id="576" w:name="Tc_6GhNiUweFkufXZKT196mBQ_7_0"/>
      <w:bookmarkStart w:id="577" w:name="Tc_H1mfEp7_CEqLT3JCHKusfw_6_11"/>
      <w:bookmarkStart w:id="578" w:name="Tc_Q_0NaD1pSEGCk4dBD3LCCw_6_8"/>
      <w:bookmarkStart w:id="579" w:name="Tc_LtoGkf-oH068mpQRXFI2tg_6_5"/>
      <w:bookmarkStart w:id="580" w:name="Tc_36Q4P7pfsUu-yKgXSB34NQ_6_2"/>
      <w:bookmarkStart w:id="581" w:name="Tc_n1KQCEl_pU26Kv9CzBWNCg_6_0"/>
      <w:bookmarkStart w:id="582" w:name="Tc_DkvHV7NS7kmzs9Pmv8LU3Q_5_11"/>
      <w:bookmarkStart w:id="583" w:name="Tc_N4QTuk0MxUaFgde8opJIaQ_5_8"/>
      <w:bookmarkStart w:id="584" w:name="Tc_B5VojwAj7EC8KqG3MG_6_w_5_5"/>
      <w:bookmarkStart w:id="585" w:name="Tc_OZp3B1NAv0GreiwKfoun-Q_4_11"/>
      <w:bookmarkStart w:id="586" w:name="Tc__UcmrXEb8Ue2cjUYqrOUCg_4_8"/>
      <w:bookmarkStart w:id="587" w:name="Tc_jTF8IZVrSkCNXN40SqBs0Q_4_5"/>
      <w:bookmarkStart w:id="588" w:name="Tc_BpnsSWLNUEGnWudngPFGdQ_3_8"/>
      <w:bookmarkStart w:id="589" w:name="Tc_IY7rgIsOuU-9er1cRSwpzA_3_5"/>
      <w:bookmarkStart w:id="590" w:name="Tc_YZWboVdDLEiFaKTrgbGdxg_2_8"/>
      <w:bookmarkStart w:id="591" w:name="Tc_-NR8YgkBr0u_Qd2dkceceA_1_2"/>
      <w:bookmarkStart w:id="592" w:name="_68b21438_6d78_4cef_a48c_8b0ca8ced009"/>
      <w:bookmarkStart w:id="593" w:name="Tc_RtyyW-LOy0Kubc7oOmRzeQ_0_0"/>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Pr>
          <w:rFonts w:ascii="Times New Roman;Times;serif" w:hAnsi="Times New Roman;Times;serif"/>
          <w:sz w:val="20"/>
        </w:rPr>
        <w:t>The following tables set forth the fair value of the Company’s financial assets by level within the fair value hierarchy as of March 31, 2026 and December 31, 2025:</w:t>
      </w:r>
    </w:p>
    <w:tbl>
      <w:tblPr>
        <w:tblW w:w="10205" w:type="dxa"/>
        <w:jc w:val="left"/>
        <w:tblInd w:w="0" w:type="dxa"/>
        <w:tblLayout w:type="fixed"/>
        <w:tblCellMar>
          <w:top w:w="0" w:type="dxa"/>
          <w:left w:w="0" w:type="dxa"/>
          <w:bottom w:w="0" w:type="dxa"/>
          <w:right w:w="0" w:type="dxa"/>
        </w:tblCellMar>
      </w:tblPr>
      <w:tblGrid>
        <w:gridCol w:w="4946"/>
        <w:gridCol w:w="346"/>
        <w:gridCol w:w="211"/>
        <w:gridCol w:w="676"/>
        <w:gridCol w:w="346"/>
        <w:gridCol w:w="217"/>
        <w:gridCol w:w="697"/>
        <w:gridCol w:w="346"/>
        <w:gridCol w:w="221"/>
        <w:gridCol w:w="710"/>
        <w:gridCol w:w="346"/>
        <w:gridCol w:w="362"/>
        <w:gridCol w:w="781"/>
      </w:tblGrid>
      <w:tr>
        <w:trPr/>
        <w:tc>
          <w:tcPr>
            <w:tcW w:w="49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measurement.e following tables set forth the fair value of the Company’s financial assets by level within the fair value hierarchy as of March 31, 2026 and December 31, 2025:</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29260" cy="175260"/>
                      <wp:effectExtent l="0" t="0" r="0" b="0"/>
                      <wp:wrapNone/>
                      <wp:docPr id="75" name="Frame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7795" cy="175260"/>
                      <wp:effectExtent l="0" t="0" r="0" b="0"/>
                      <wp:wrapNone/>
                      <wp:docPr id="77" name="Frame7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42595" cy="175260"/>
                      <wp:effectExtent l="0" t="0" r="0" b="0"/>
                      <wp:wrapNone/>
                      <wp:docPr id="78" name="Frame78"/>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0335" cy="175260"/>
                      <wp:effectExtent l="0" t="0" r="0" b="0"/>
                      <wp:wrapNone/>
                      <wp:docPr id="80" name="Frame8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50850" cy="175260"/>
                      <wp:effectExtent l="0" t="0" r="0" b="0"/>
                      <wp:wrapNone/>
                      <wp:docPr id="81" name="Frame81"/>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9870" cy="175260"/>
                      <wp:effectExtent l="0" t="0" r="0" b="0"/>
                      <wp:wrapNone/>
                      <wp:docPr id="83" name="Frame8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9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14,667</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14,667</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r>
      <w:tr>
        <w:trPr/>
        <w:tc>
          <w:tcPr>
            <w:tcW w:w="4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14,576</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14,576</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14,667</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14,576</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7689" w:type="dxa"/>
        <w:jc w:val="left"/>
        <w:tblInd w:w="0" w:type="dxa"/>
        <w:tblLayout w:type="fixed"/>
        <w:tblCellMar>
          <w:top w:w="0" w:type="dxa"/>
          <w:left w:w="0" w:type="dxa"/>
          <w:bottom w:w="0" w:type="dxa"/>
          <w:right w:w="0" w:type="dxa"/>
        </w:tblCellMar>
      </w:tblPr>
      <w:tblGrid>
        <w:gridCol w:w="1921"/>
        <w:gridCol w:w="346"/>
        <w:gridCol w:w="211"/>
        <w:gridCol w:w="676"/>
        <w:gridCol w:w="346"/>
        <w:gridCol w:w="339"/>
        <w:gridCol w:w="1086"/>
        <w:gridCol w:w="346"/>
        <w:gridCol w:w="221"/>
        <w:gridCol w:w="710"/>
        <w:gridCol w:w="346"/>
        <w:gridCol w:w="362"/>
        <w:gridCol w:w="779"/>
      </w:tblGrid>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5265" cy="175260"/>
                      <wp:effectExtent l="0" t="0" r="0" b="0"/>
                      <wp:wrapNone/>
                      <wp:docPr id="89" name="Frame89"/>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89610" cy="175260"/>
                      <wp:effectExtent l="0" t="0" r="0" b="0"/>
                      <wp:wrapNone/>
                      <wp:docPr id="90" name="Frame90"/>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0335" cy="175260"/>
                      <wp:effectExtent l="0" t="0" r="0" b="0"/>
                      <wp:wrapNone/>
                      <wp:docPr id="92" name="Frame9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50850" cy="175260"/>
                      <wp:effectExtent l="0" t="0" r="0" b="0"/>
                      <wp:wrapNone/>
                      <wp:docPr id="93" name="Frame9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9870" cy="175260"/>
                      <wp:effectExtent l="0" t="0" r="0" b="0"/>
                      <wp:wrapNone/>
                      <wp:docPr id="95" name="Frame9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4665" cy="175260"/>
                      <wp:effectExtent l="0" t="0" r="0" b="0"/>
                      <wp:wrapNone/>
                      <wp:docPr id="96" name="Frame9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41,256</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w:t>
      </w:r>
      <w:r>
        <w:rPr>
          <w:rFonts w:ascii="Times New Roman;Times;serif" w:hAnsi="Times New Roman;Times;serif"/>
          <w:b w:val="false"/>
          <w:i w:val="false"/>
          <w:caps w:val="false"/>
          <w:smallCaps w:val="false"/>
          <w:sz w:val="20"/>
        </w:rPr>
        <w:t>did</w:t>
      </w:r>
      <w:r>
        <w:rPr>
          <w:rFonts w:ascii="Times New Roman;Times;serif" w:hAnsi="Times New Roman;Times;serif"/>
          <w:sz w:val="20"/>
        </w:rPr>
        <w:t xml:space="preserve"> not transfer any assets measured at fair value on a recurring basis between levels during the three months ended March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594" w:name="Tc_qJDiU59kMEaxOXhlbO5RNQ_10_3"/>
      <w:bookmarkStart w:id="595" w:name="Tc_XVcy8l2VrkuKBzEVEbNsIQ_10_1"/>
      <w:bookmarkStart w:id="596" w:name="Tc_2IGYMdLsRkWL0hy5kETDAQ_9_1"/>
      <w:bookmarkStart w:id="597" w:name="Tc_iFO394fEAUukxqeFwUEcSA_8_3"/>
      <w:bookmarkStart w:id="598" w:name="Tc_D1byEWiA_0myYFU0tEvcbw_8_1"/>
      <w:bookmarkStart w:id="599" w:name="Tc_KHsfL9xg-EOD4TMtDbZZvw_7_1"/>
      <w:bookmarkStart w:id="600" w:name="Tc_77hNklXfIkaBNGUY4Xt5rw_6_1"/>
      <w:bookmarkStart w:id="601" w:name="Tc_07xGdlXgakWQf4pJqOX5EQ_5_1"/>
      <w:bookmarkStart w:id="602" w:name="Tc_WJpfSWgsY0W0GJkbtz3kKw_4_1"/>
      <w:bookmarkStart w:id="603" w:name="Tc_ZRLoyVVEUEimxXVUwxupqQ_3_3"/>
      <w:bookmarkStart w:id="604" w:name="Tc_PPokfP7T_EOv1ArlDhs2_w_3_1"/>
      <w:bookmarkStart w:id="605" w:name="_be19a8b5_589a_4b89_aea5_3311ce15e93d"/>
      <w:bookmarkEnd w:id="594"/>
      <w:bookmarkEnd w:id="595"/>
      <w:bookmarkEnd w:id="596"/>
      <w:bookmarkEnd w:id="597"/>
      <w:bookmarkEnd w:id="598"/>
      <w:bookmarkEnd w:id="599"/>
      <w:bookmarkEnd w:id="600"/>
      <w:bookmarkEnd w:id="601"/>
      <w:bookmarkEnd w:id="602"/>
      <w:bookmarkEnd w:id="603"/>
      <w:bookmarkEnd w:id="604"/>
      <w:bookmarkEnd w:id="605"/>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The Company's lease portfolio consists of office space and laboratory facilities. All of the Company's leases are classified as operating leases. The terms of the Company's lease agreements currently extend through March 2030 and provide the Company with an option</w:t>
      </w:r>
      <w:r>
        <w:rPr>
          <w:rFonts w:ascii="Times New Roman;Times;serif" w:hAnsi="Times New Roman;Times;serif"/>
          <w:b/>
          <w:sz w:val="20"/>
        </w:rPr>
        <w:t xml:space="preserve"> </w:t>
      </w:r>
      <w:r>
        <w:rPr>
          <w:rFonts w:ascii="Times New Roman;Times;serif" w:hAnsi="Times New Roman;Times;serif"/>
          <w:b w:val="false"/>
          <w:sz w:val="20"/>
        </w:rPr>
        <w:t>for a five-year</w:t>
      </w:r>
      <w:r>
        <w:rPr>
          <w:rFonts w:ascii="Times New Roman;Times;serif" w:hAnsi="Times New Roman;Times;serif"/>
          <w:b/>
          <w:sz w:val="20"/>
        </w:rPr>
        <w:t xml:space="preserve"> </w:t>
      </w:r>
      <w:r>
        <w:rPr>
          <w:rFonts w:ascii="Times New Roman;Times;serif" w:hAnsi="Times New Roman;Times;serif"/>
          <w:b w:val="false"/>
          <w:sz w:val="20"/>
        </w:rPr>
        <w:t>extension. Under the terms of the leases, the Company pays base annual rent subject to fixed dollar increases each year and other normal operating expenses such as taxes, repairs, and maintenance. The Company evaluates renewal options at lease inception and on an ongoing basis and considers renewal options that the Company is reasonably certain to exercise in its expected lease terms when classifying leases and measuring lease liabilities in accordance with ASC 842, Leases. The leases do not require variable lease payments or residual value guarantees and do not contain restrictive covenants.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leases do not provide an implicit rate;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Operating lease expense was $250,000</w:t>
      </w:r>
      <w:r>
        <w:rPr>
          <w:rFonts w:ascii="Times New Roman;Times;serif" w:hAnsi="Times New Roman;Times;serif"/>
          <w:b/>
          <w:sz w:val="20"/>
        </w:rPr>
        <w:t xml:space="preserve"> </w:t>
      </w:r>
      <w:r>
        <w:rPr>
          <w:rFonts w:ascii="Times New Roman;Times;serif" w:hAnsi="Times New Roman;Times;serif"/>
          <w:b w:val="false"/>
          <w:sz w:val="20"/>
        </w:rPr>
        <w:t>and $252,000</w:t>
      </w:r>
      <w:r>
        <w:rPr>
          <w:rFonts w:ascii="Times New Roman;Times;serif" w:hAnsi="Times New Roman;Times;serif"/>
          <w:b/>
          <w:sz w:val="20"/>
        </w:rPr>
        <w:t xml:space="preserve"> </w:t>
      </w:r>
      <w:r>
        <w:rPr>
          <w:rFonts w:ascii="Times New Roman;Times;serif" w:hAnsi="Times New Roman;Times;serif"/>
          <w:b w:val="false"/>
          <w:sz w:val="20"/>
        </w:rPr>
        <w:t>for the three months ended March 31, 2026 and March 31, 2025, respectively. Operating cash flows used for operating leases during the three months ended March 31, 2026 and March 31, 2025 were $334,000</w:t>
      </w:r>
      <w:r>
        <w:rPr>
          <w:rFonts w:ascii="Times New Roman;Times;serif" w:hAnsi="Times New Roman;Times;serif"/>
          <w:b/>
          <w:sz w:val="20"/>
        </w:rPr>
        <w:t xml:space="preserve"> </w:t>
      </w:r>
      <w:r>
        <w:rPr>
          <w:rFonts w:ascii="Times New Roman;Times;serif" w:hAnsi="Times New Roman;Times;serif"/>
          <w:b w:val="false"/>
          <w:sz w:val="20"/>
        </w:rPr>
        <w:t xml:space="preserve">and $285,000, respectively. As of March 31, 2026, the weighted-average remaining lease term was </w:t>
      </w:r>
      <w:r>
        <w:rPr>
          <w:rFonts w:ascii="Times New Roman;Times;serif" w:hAnsi="Times New Roman;Times;serif"/>
          <w:b w:val="false"/>
          <w:i w:val="false"/>
          <w:caps w:val="false"/>
          <w:smallCaps w:val="false"/>
          <w:sz w:val="20"/>
        </w:rPr>
        <w:t>4.0</w:t>
      </w:r>
      <w:r>
        <w:rPr>
          <w:rFonts w:ascii="Times New Roman;Times;serif" w:hAnsi="Times New Roman;Times;serif"/>
          <w:b/>
          <w:sz w:val="20"/>
        </w:rPr>
        <w:t xml:space="preserve"> </w:t>
      </w:r>
      <w:r>
        <w:rPr>
          <w:rFonts w:ascii="Times New Roman;Times;serif" w:hAnsi="Times New Roman;Times;serif"/>
          <w:b w:val="false"/>
          <w:sz w:val="20"/>
        </w:rPr>
        <w:t>years, and the weighted average discount rate was 7.47%.</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As of March 31, 2026, the maturities of the Company’s operating lease liabilities were as follows (in thousands), which are included in Accrued liabilities and other liabilities and Lease liabilities, long term in the accompanying balance sheet: </w:t>
      </w:r>
    </w:p>
    <w:tbl>
      <w:tblPr>
        <w:tblW w:w="4268" w:type="dxa"/>
        <w:jc w:val="left"/>
        <w:tblInd w:w="0" w:type="dxa"/>
        <w:tblLayout w:type="fixed"/>
        <w:tblCellMar>
          <w:top w:w="0" w:type="dxa"/>
          <w:left w:w="0" w:type="dxa"/>
          <w:bottom w:w="0" w:type="dxa"/>
          <w:right w:w="0" w:type="dxa"/>
        </w:tblCellMar>
      </w:tblPr>
      <w:tblGrid>
        <w:gridCol w:w="124"/>
        <w:gridCol w:w="2716"/>
        <w:gridCol w:w="346"/>
        <w:gridCol w:w="211"/>
        <w:gridCol w:w="571"/>
        <w:gridCol w:w="14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8740" cy="175260"/>
                      <wp:effectExtent l="0" t="0" r="0" b="0"/>
                      <wp:wrapNone/>
                      <wp:docPr id="97" name="Frame9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24660" cy="175260"/>
                      <wp:effectExtent l="0" t="0" r="0" b="0"/>
                      <wp:wrapNone/>
                      <wp:docPr id="98" name="Frame98"/>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62585" cy="175260"/>
                      <wp:effectExtent l="0" t="0" r="0" b="0"/>
                      <wp:wrapNone/>
                      <wp:docPr id="101" name="Frame1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260"/>
                      <wp:effectExtent l="0" t="0" r="0" b="0"/>
                      <wp:wrapNone/>
                      <wp:docPr id="102" name="Frame1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7790" cy="175260"/>
                      <wp:effectExtent l="0" t="0" r="0" b="0"/>
                      <wp:wrapNone/>
                      <wp:docPr id="103" name="Frame1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center"/>
              <w:rPr/>
            </w:pPr>
            <w:r>
              <w:rPr/>
              <w:t>​</w:t>
            </w:r>
          </w:p>
        </w:tc>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minimum payments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5,737</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4,913</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606" w:name="a11StockBasedCompensation_727125"/>
      <w:bookmarkEnd w:id="606"/>
      <w:r>
        <w:rPr>
          <w:rFonts w:ascii="Times New Roman;Times;serif" w:hAnsi="Times New Roman;Times;serif"/>
          <w:b/>
          <w:sz w:val="20"/>
        </w:rPr>
        <w:t>8. Stock-Based Compensation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Employee Equity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NextCure, Inc. 2019 Omnibus Incentive Plan (the “2019 Plan”) became effective on May 8, 2019, the date on which the Company’s Registration Statement on Form S-1 filed in connection with the Company’s initial public offering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and non-employee directors as well as other key persons (including consultants).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firstLine="720"/>
        <w:jc w:val="left"/>
        <w:rPr>
          <w:rFonts w:ascii="Times New Roman;Times;serif" w:hAnsi="Times New Roman;Times;serif"/>
          <w:sz w:val="20"/>
        </w:rPr>
      </w:pPr>
      <w:bookmarkStart w:id="607" w:name="Tc_n8qc0J858EmApMOtC8nXMg_6_5"/>
      <w:bookmarkStart w:id="608" w:name="Tc_sbg53SaOsECuanHTXZl2Xw_6_2"/>
      <w:bookmarkStart w:id="609" w:name="Tc_DAS3K72bL0aB0Adns418UQ_6_0"/>
      <w:bookmarkStart w:id="610" w:name="Tc_3heqwxBlnEmcXillADmiRA_5_0"/>
      <w:bookmarkStart w:id="611" w:name="Tc_Nn9F6cQ7kEy7BoS_yPQA8w_4_5"/>
      <w:bookmarkStart w:id="612" w:name="Tc_gCvFt9Sc4ESb5NWAZJ2fww_4_2"/>
      <w:bookmarkStart w:id="613" w:name="Tc_VQxhCHIMG0yAl-jYKZD8Sw_4_0"/>
      <w:bookmarkStart w:id="614" w:name="Tc_BnpVzzlUWk6wEwmfNY6CXw_3_5"/>
      <w:bookmarkStart w:id="615" w:name="Tc_BeoYuVJky02ijX8ZZg004w_3_2"/>
      <w:bookmarkStart w:id="616" w:name="Tc_ecD2Er9xNEyHOm57cABTrg_3_0"/>
      <w:bookmarkStart w:id="617" w:name="Tc_toiVY9CZ2k-N1jlkzC_08w_2_2"/>
      <w:bookmarkStart w:id="618" w:name="Tc_a7PU5RO4g0iX7s6kadqz6Q_1_2"/>
      <w:bookmarkStart w:id="619" w:name="_76101424_3a0a_4a27_ba2d_911f856b584d"/>
      <w:bookmarkStart w:id="620" w:name="Tc_1gmvit7KzE6dgaVMhmfrGw_12_9"/>
      <w:bookmarkStart w:id="621" w:name="Tc_gVNmsCa8402jhe1m_PHUlw_12_4"/>
      <w:bookmarkStart w:id="622" w:name="Tc_H_P1qF_0o0yO8awh4taMiw_12_0"/>
      <w:bookmarkStart w:id="623" w:name="Tc_oheiKgnR7kurC0cT8AkLWQ_11_4"/>
      <w:bookmarkStart w:id="624" w:name="Tc_t91xzGWGhUaCFFWMCODreg_11_0"/>
      <w:bookmarkStart w:id="625" w:name="Tc_LIwkLlSo-kmQ78fKIsRjYg_10_10"/>
      <w:bookmarkStart w:id="626" w:name="Tc_qd7QcTtUdE2T3rtqSsOm3w_10_7"/>
      <w:bookmarkStart w:id="627" w:name="Tc_Saxzs70qWkyMHBJIR80AQA_10_4"/>
      <w:bookmarkStart w:id="628" w:name="Tc_5SXTk_gnlU-ln8RtA2Ce6g_10_0"/>
      <w:bookmarkStart w:id="629" w:name="Tc_RqC1S9F2HkGdsYHocOPlCg_9_10"/>
      <w:bookmarkStart w:id="630" w:name="Tc_7PVft7wKGkC6UIy6-hZj8w_9_7"/>
      <w:bookmarkStart w:id="631" w:name="Tc_pigsiU2zoECKJcl9TXqxDQ_9_4"/>
      <w:bookmarkStart w:id="632" w:name="Tc_PnR3biOB-U2a2cRRu_BnLQ_9_0"/>
      <w:bookmarkStart w:id="633" w:name="Tc_VQpFiXySoUed8INRmcsbCw_8_10"/>
      <w:bookmarkStart w:id="634" w:name="Tc_8845I2ONukik2hRxLeROvw_8_7"/>
      <w:bookmarkStart w:id="635" w:name="Tc_RTVGm36gxUOmjeaZWALb-w_8_4"/>
      <w:bookmarkStart w:id="636" w:name="Tc_i06TVNoH7EeNLPqULFzDhg_8_0"/>
      <w:bookmarkStart w:id="637" w:name="Tc_qUmulc9dwUC_vCJ6UUiPXw_7_10"/>
      <w:bookmarkStart w:id="638" w:name="Tc_fTINl9NWd0-L_FzTLnnTRQ_7_9"/>
      <w:bookmarkStart w:id="639" w:name="Tc_zTUsjrjdMUyafKV3GabNEg_7_4"/>
      <w:bookmarkStart w:id="640" w:name="Tc_nuNC9E8r3E6fDMHGrhWWUw_7_0"/>
      <w:bookmarkStart w:id="641" w:name="Tc__nfkvmMrEE-9ip5JJ226qg_6_9"/>
      <w:bookmarkStart w:id="642" w:name="Tc_3UTbZPsGykGDz6qscEbqDw_6_7"/>
      <w:bookmarkStart w:id="643" w:name="Tc_OErXsz_CPkquCf-acF8vZg_6_4"/>
      <w:bookmarkStart w:id="644" w:name="Tc_0fNTHQHsU0uFWEv2NQxsJQ_6_2"/>
      <w:bookmarkStart w:id="645" w:name="Tc_m41aBUvyC0mCyDRKK4gkAQ_5_9"/>
      <w:bookmarkStart w:id="646" w:name="Tc_CLLuY7jkeE6PLj0rU1T6BQ_5_7"/>
      <w:bookmarkStart w:id="647" w:name="Tc_7yNQJqXNukelZuYHifHwVA_5_4"/>
      <w:bookmarkStart w:id="648" w:name="Tc_0UXsFtxksUeksHRWK51NMQ_5_2"/>
      <w:bookmarkStart w:id="649" w:name="Tc_7C98sXKGtUCpiMv6Qmt9RA_4_9"/>
      <w:bookmarkStart w:id="650" w:name="Tc_bgsxE1MVwUGA6ngInS7uGg_4_7"/>
      <w:bookmarkStart w:id="651" w:name="Tc_W5zvbf4UG0uV7i-9duBldw_4_4"/>
      <w:bookmarkStart w:id="652" w:name="Tc_wl-6xC5LUk6gvDRmsFPgwA_3_9"/>
      <w:bookmarkStart w:id="653" w:name="Tc_7LaCdWESZka21LE2UV5a6A_3_7"/>
      <w:bookmarkStart w:id="654" w:name="Tc_2obPYfDNkESphL75ZDb9BQ_3_4"/>
      <w:bookmarkStart w:id="655" w:name="Tc_bn8TNEuI-EibIk-reuuqIw_2_7"/>
      <w:bookmarkStart w:id="656" w:name="Tc_-W0u9-NOS0akiBukgs85Qg_1_2"/>
      <w:bookmarkStart w:id="657" w:name="_7a02f31d_493c_4457_918f_ec14c8c9032d"/>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Pr>
          <w:rFonts w:ascii="Times New Roman;Times;serif" w:hAnsi="Times New Roman;Times;serif"/>
          <w:sz w:val="20"/>
        </w:rPr>
        <w:t>The number of shares of common stock reserved for issuance under the 2019 Plan is 241,666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79,424 shares were reserved for future grant under the 2019 Plan. Stock options granted under the 2019 Plan (together, the “Plans”) to employees generally vest over four years and expire after ten years. A summary of stock option activity for awards under the Plans is presented below: </w:t>
      </w:r>
    </w:p>
    <w:p>
      <w:pPr>
        <w:pStyle w:val="TextBody"/>
        <w:bidi w:val="0"/>
        <w:spacing w:before="0" w:after="240"/>
        <w:ind w:left="0" w:right="0" w:firstLine="720"/>
        <w:jc w:val="both"/>
        <w:rPr/>
      </w:pPr>
      <w:r>
        <w:rPr/>
        <w:t>​</w:t>
      </w:r>
    </w:p>
    <w:tbl>
      <w:tblPr>
        <w:tblW w:w="8393" w:type="dxa"/>
        <w:jc w:val="left"/>
        <w:tblInd w:w="0" w:type="dxa"/>
        <w:tblLayout w:type="fixed"/>
        <w:tblCellMar>
          <w:top w:w="0" w:type="dxa"/>
          <w:left w:w="0" w:type="dxa"/>
          <w:bottom w:w="0" w:type="dxa"/>
          <w:right w:w="0" w:type="dxa"/>
        </w:tblCellMar>
      </w:tblPr>
      <w:tblGrid>
        <w:gridCol w:w="3166"/>
        <w:gridCol w:w="346"/>
        <w:gridCol w:w="886"/>
        <w:gridCol w:w="346"/>
        <w:gridCol w:w="214"/>
        <w:gridCol w:w="582"/>
        <w:gridCol w:w="346"/>
        <w:gridCol w:w="991"/>
        <w:gridCol w:w="346"/>
        <w:gridCol w:w="363"/>
        <w:gridCol w:w="807"/>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10410" cy="175260"/>
                      <wp:effectExtent l="0" t="0" r="0" b="0"/>
                      <wp:wrapNone/>
                      <wp:docPr id="104" name="Frame10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62610" cy="175260"/>
                      <wp:effectExtent l="0" t="0" r="0" b="0"/>
                      <wp:wrapNone/>
                      <wp:docPr id="106" name="Frame1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5890" cy="175260"/>
                      <wp:effectExtent l="0" t="0" r="0" b="0"/>
                      <wp:wrapNone/>
                      <wp:docPr id="108" name="Frame10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9570" cy="175260"/>
                      <wp:effectExtent l="0" t="0" r="0" b="0"/>
                      <wp:wrapNone/>
                      <wp:docPr id="109" name="Frame109"/>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29285" cy="175260"/>
                      <wp:effectExtent l="0" t="0" r="0" b="0"/>
                      <wp:wrapNone/>
                      <wp:docPr id="111" name="Frame11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30505" cy="175260"/>
                      <wp:effectExtent l="0" t="0" r="0" b="0"/>
                      <wp:wrapNone/>
                      <wp:docPr id="113" name="Frame11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12445" cy="175260"/>
                      <wp:effectExtent l="0" t="0" r="0" b="0"/>
                      <wp:wrapNone/>
                      <wp:docPr id="114" name="Frame114"/>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81"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Outstanding and Exercisable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(1)</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151,480</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994,980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64.54</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March 31, 2026</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681,158</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88.89</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is calculated as the difference between the exercise price of the underlying options and the estimated fair value of the common stock for the options that were in the money at December 31, 2025 and March 31, 2026.</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 average grant date fair value of stock options granted to employees for the three months ended March 31, 2026 was $8.32 using the Black-Scholes option pricing model. 2,488 stock options were exercised during the three months ended March 31, 2026. As of March 31, 2026, there was $2.5 million of total unrecognized compensation expense related to unvested options under the Plans that will be recognized over a weighted-average period of approximately 2.9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aggregate grant date fair value of stock options vested during the three months ended March 31, 2026 and 2025 was approximately $0.5 million and $3.0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Stock-based compensation expense was classified on the statements of operations as follows for the three months ended March 31, 2026 and 2025: </w:t>
      </w:r>
    </w:p>
    <w:p>
      <w:pPr>
        <w:pStyle w:val="TextBody"/>
        <w:bidi w:val="0"/>
        <w:spacing w:before="0" w:after="0"/>
        <w:ind w:left="0" w:right="0" w:hanging="0"/>
        <w:jc w:val="left"/>
        <w:rPr/>
      </w:pPr>
      <w:r>
        <w:rPr/>
        <w:t>​</w:t>
      </w:r>
    </w:p>
    <w:tbl>
      <w:tblPr>
        <w:tblW w:w="5711" w:type="dxa"/>
        <w:jc w:val="left"/>
        <w:tblInd w:w="0" w:type="dxa"/>
        <w:tblLayout w:type="fixed"/>
        <w:tblCellMar>
          <w:top w:w="0" w:type="dxa"/>
          <w:left w:w="0" w:type="dxa"/>
          <w:bottom w:w="0" w:type="dxa"/>
          <w:right w:w="0" w:type="dxa"/>
        </w:tblCellMar>
      </w:tblPr>
      <w:tblGrid>
        <w:gridCol w:w="3451"/>
        <w:gridCol w:w="346"/>
        <w:gridCol w:w="211"/>
        <w:gridCol w:w="421"/>
        <w:gridCol w:w="346"/>
        <w:gridCol w:w="211"/>
        <w:gridCol w:w="571"/>
        <w:gridCol w:w="154"/>
      </w:tblGrid>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67335" cy="175260"/>
                      <wp:effectExtent l="0" t="0" r="0" b="0"/>
                      <wp:wrapNone/>
                      <wp:docPr id="117" name="Frame11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62585" cy="175260"/>
                      <wp:effectExtent l="0" t="0" r="0" b="0"/>
                      <wp:wrapNone/>
                      <wp:docPr id="120" name="Frame1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97790" cy="175260"/>
                      <wp:effectExtent l="0" t="0" r="0" b="0"/>
                      <wp:wrapNone/>
                      <wp:docPr id="121" name="Frame1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bookmarkStart w:id="658" w:name="Tc_8ATaqQLOnUyiiDzLGUjGjg_7_6"/>
      <w:bookmarkStart w:id="659" w:name="Tc_JEDbsHzfKEOL_ckXUxzijg_7_3"/>
      <w:bookmarkStart w:id="660" w:name="Tc_U1mzmpVWcUi7q3VKJmY9nA_7_0"/>
      <w:bookmarkStart w:id="661" w:name="Tc_5r7lUE1MXU2v9Hi7tOOLCQ_6_6"/>
      <w:bookmarkStart w:id="662" w:name="Tc_EKgozj8z9EWymmiFophRhQ_6_5"/>
      <w:bookmarkStart w:id="663" w:name="Tc_pXx9328yck-ZX6KG5iXXxQ_6_3"/>
      <w:bookmarkStart w:id="664" w:name="Tc_Ndxi7lSoyU-uJxvk5nzg9Q_6_0"/>
      <w:bookmarkStart w:id="665" w:name="Tc_lU7PKJeF1UyZ_wJTrJxFTA_5_6"/>
      <w:bookmarkStart w:id="666" w:name="Tc_2qpRxP-jXUWUzDGAnwTL6w_5_3"/>
      <w:bookmarkStart w:id="667" w:name="Tc_EeEw-js7nk-CqXbiAXWwzw_5_0"/>
      <w:bookmarkStart w:id="668" w:name="Tc_1gV-ofMEsE6kTQFXBd1b3Q_4_6"/>
      <w:bookmarkStart w:id="669" w:name="Tc_gmQJ_1wrrkST-NRCzUn4Ow_4_5"/>
      <w:bookmarkStart w:id="670" w:name="Tc_K81FZUcT1ECol6ELe-f9zA_4_3"/>
      <w:bookmarkStart w:id="671" w:name="Tc_auOpQi9Ozku3-qjre7_bww_4_0"/>
      <w:bookmarkStart w:id="672" w:name="Tc_6d1x2iApAESFlU2rxG_X3Q_3_5"/>
      <w:bookmarkStart w:id="673" w:name="Tc_jRQjrqB-QkSML9m_MXR7LA_3_2"/>
      <w:bookmarkStart w:id="674" w:name="Tc_GC-cPpN0vUqoMFkYL1czCw_2_2"/>
      <w:bookmarkStart w:id="675" w:name="Tc_5uRf4MN_XEqfnuV83CycFA_1_2"/>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sz w:val="20"/>
        </w:rPr>
        <w:t>The fair value of each option award is estimated on the date of grant using the Black-Scholes option-pricing model using the assumptions in the following table for options issued during the period indicated:</w:t>
      </w:r>
    </w:p>
    <w:p>
      <w:pPr>
        <w:pStyle w:val="TextBody"/>
        <w:bidi w:val="0"/>
        <w:spacing w:before="0" w:after="0"/>
        <w:ind w:left="0" w:right="0" w:hanging="0"/>
        <w:jc w:val="left"/>
        <w:rPr/>
      </w:pPr>
      <w:r>
        <w:rPr/>
        <w:t>​</w:t>
      </w:r>
    </w:p>
    <w:tbl>
      <w:tblPr>
        <w:tblW w:w="5051" w:type="dxa"/>
        <w:jc w:val="left"/>
        <w:tblInd w:w="0" w:type="dxa"/>
        <w:tblLayout w:type="fixed"/>
        <w:tblCellMar>
          <w:top w:w="0" w:type="dxa"/>
          <w:left w:w="0" w:type="dxa"/>
          <w:bottom w:w="0" w:type="dxa"/>
          <w:right w:w="0" w:type="dxa"/>
        </w:tblCellMar>
      </w:tblPr>
      <w:tblGrid>
        <w:gridCol w:w="2131"/>
        <w:gridCol w:w="346"/>
        <w:gridCol w:w="466"/>
        <w:gridCol w:w="571"/>
        <w:gridCol w:w="346"/>
        <w:gridCol w:w="466"/>
        <w:gridCol w:w="571"/>
        <w:gridCol w:w="15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53185" cy="175260"/>
                      <wp:effectExtent l="0" t="0" r="0" b="0"/>
                      <wp:wrapNone/>
                      <wp:docPr id="122" name="Frame122"/>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95910" cy="175260"/>
                      <wp:effectExtent l="0" t="0" r="0" b="0"/>
                      <wp:wrapNone/>
                      <wp:docPr id="124" name="Frame12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5" name="Frame1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95910" cy="175260"/>
                      <wp:effectExtent l="0" t="0" r="0" b="0"/>
                      <wp:wrapNone/>
                      <wp:docPr id="127" name="Frame12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8" name="Frame1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7790" cy="175260"/>
                      <wp:effectExtent l="0" t="0" r="0" b="0"/>
                      <wp:wrapNone/>
                      <wp:docPr id="129" name="Frame1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NextCure, Inc. 2019 Employee Stock Purchase Plan (the “ESPP”) was approved in May 2019 and provides for eligible employees of the Company to purchase shares of Company stock at a discounted price. As of March 31, 2026, 27,479 shares of common stock had been issued pursuant to the ESPP and 85,002 shares were reserved for future issuance thereunder.</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Common Stock</w:t>
      </w:r>
    </w:p>
    <w:p>
      <w:pPr>
        <w:pStyle w:val="TextBody"/>
        <w:bidi w:val="0"/>
        <w:spacing w:before="0" w:after="240"/>
        <w:ind w:left="0" w:right="0" w:firstLine="720"/>
        <w:jc w:val="both"/>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Securities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12, 2025, the Company entered into a securities purchase agreement (the “Purchase Agreement”) with certain institutional and accredited investors (each, a “Purchaser” and collectively, the “Purchasers”) for a private placement of an aggregate of (i) 708,428 shares (the “Shares”) of the Company’s common stock at a purchase price of $8.52 per share, and (ii) pre-funded warrants to purchase up to an aggregate of 1,815,049 shares of common stock at a purchase price of $8.519 per pre-funded warrant, which represents the per share purchase price of the Shares less the $0.001 per share exercise price for each pre-funded warrant. The pre-funded warrants are exercisable at any time after the date of issuance and will not expire. The offering closed on November 14, 2025.  Proceeds from the offering, net of placement agent’s fees and other offering expenses, were $20.3 million.  On December 11, 2025, the Shares and pre-funded warrants were effectively registered with the SEC.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rights and privileges of the pre-funded warrants issued under the offering are set forth in the warrant agreement between the Company and each of the respective warrant holders. The pre-funded warrants are exercisable at the option of the warrant holder at any time and do not expire. Pre-funded warrants do not provide any of the rights or privileges provided by the Company's common stock, including any voting rights, until the pre-funded warrants are exercised and settled in underlying shares of common stock.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evaluated the pre-funded warrants issued under the offering and concluded the warrants are indexed to the Company's common stock, meet the criteria to be classified as equity and are not subject to remeasurement. The proceeds received from the issuance of the pre-funded warrants were recorded as additional paid-in capital. The Company issued 117,371 shares of common stock upon the exercise of pre-funded warrants during the year ended December 31, 2025. As of March 31, 2026, pre-funded warrants to purchase up to an aggregate of 1,697,678 shares of common stock remained outstanding.</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At-The-Market Offering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December 19, 2025, the Company entered into an at-the-market offering agreement (the “Wainwright ATM Agreement”) with H.C. Wainwright &amp; Co., LLC (the “Agent”), pursuant to which the Company may sell, from time to time, up to an aggregate sales price of $14.5 million of its common stock, through the Agent. Actual sales will depend on a variety of factors to be determined by the Company from time to time, including, among other things, market conditions, the trading price of the common stock, capital needs and determinations by the Company of the appropriate sources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funding for the Company.  During the three months ended March 31, 2026, 99,446 shares of common stock were sold under the Wainwright ATM Agreement for net proceeds of approximately $1.2 million.</w:t>
      </w:r>
    </w:p>
    <w:p>
      <w:pPr>
        <w:pStyle w:val="TextBody"/>
        <w:bidi w:val="0"/>
        <w:spacing w:before="0" w:after="0"/>
        <w:ind w:left="0" w:right="0" w:hanging="0"/>
        <w:jc w:val="left"/>
        <w:rPr>
          <w:rFonts w:ascii="Times New Roman;Times;serif" w:hAnsi="Times New Roman;Times;serif"/>
          <w:b/>
          <w:sz w:val="20"/>
        </w:rPr>
      </w:pPr>
      <w:bookmarkStart w:id="676" w:name="Tc_YOCHSBLKvEa_c9yQBqYMZA_18_5"/>
      <w:bookmarkStart w:id="677" w:name="Tc_fIa6NZhHUEWPzzecrpZugg_18_2"/>
      <w:bookmarkStart w:id="678" w:name="Tc_gqR1-7ADOUK606u9f3EutQ_18_0"/>
      <w:bookmarkStart w:id="679" w:name="Tc_uvuBIQ6rvUKhbQhGg-P-5Q_17_0"/>
      <w:bookmarkStart w:id="680" w:name="Tc_1n-69e7ofEG3Fr9kzLAnig_16_0"/>
      <w:bookmarkStart w:id="681" w:name="Tc_R-lpkXaTC0Ob4xZDLAx_Dw_15_0"/>
      <w:bookmarkStart w:id="682" w:name="Tc_FhGQNegjnEm0pMeJLtvWag_14_5"/>
      <w:bookmarkStart w:id="683" w:name="Tc_Uy3oR9JRXEiQ5UCwEGm1bw_14_2"/>
      <w:bookmarkStart w:id="684" w:name="Tc_8AibGgszTE-osLj9G5kF8Q_14_0"/>
      <w:bookmarkStart w:id="685" w:name="Tc__LblMVvY3E-7d5NJukefYw_13_0"/>
      <w:bookmarkStart w:id="686" w:name="Tc_mT26STyA4EGl58Vu4Nnk6g_10_5"/>
      <w:bookmarkStart w:id="687" w:name="Tc_6b5yOCC0UUS9ghcyUHjPxw_10_2"/>
      <w:bookmarkStart w:id="688" w:name="Tc_PqvSaHJhrEewUOBX3zz4NA_10_0"/>
      <w:bookmarkStart w:id="689" w:name="Tc_Iv-DuKZpT0SFJ-A4vmzyyw_9_0"/>
      <w:bookmarkStart w:id="690" w:name="Tc_Q7NihA-nd02s_wL0e29NoQ_8_0"/>
      <w:bookmarkStart w:id="691" w:name="Tc_zZqE9-iJ5UKU53RVKb84xQ_7_0"/>
      <w:bookmarkStart w:id="692" w:name="Tc_eoI6yytG_EWTC9FPCXmOhg_6_0"/>
      <w:bookmarkStart w:id="693" w:name="Tc_L_B-D_-oQE2TdgRUWzfVOA_5_5"/>
      <w:bookmarkStart w:id="694" w:name="Tc_2UF_1VKSw0qo0usorWFOcg_5_2"/>
      <w:bookmarkStart w:id="695" w:name="Tc_vnxHuRi_SE2EthkEdl6e_g_5_0"/>
      <w:bookmarkStart w:id="696" w:name="Tc_O39MoxrM6kStJREbpUw0mQ_4_0"/>
      <w:bookmarkStart w:id="697" w:name="Tc_fcK6KKoDbkqaEv6diau6uA_3_6"/>
      <w:bookmarkStart w:id="698" w:name="Tc_5Iv3mtUEcECoyuVoIdT2xQ_3_2"/>
      <w:bookmarkStart w:id="699" w:name="Tc_iAOLJU6WFUWcNlAV4zT20Q_2_2"/>
      <w:bookmarkStart w:id="700" w:name="Tc_g4PPV90dF06Sqh7_btJEUg_2_0"/>
      <w:bookmarkStart w:id="701" w:name="Tc_EE9CBXpTe0S5ia-SmQ_ltg_1_2"/>
      <w:bookmarkStart w:id="702" w:name="_024d5809_b397_4ca5_aaf5_d11569b56b39"/>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Pr>
          <w:rFonts w:ascii="Times New Roman;Times;serif" w:hAnsi="Times New Roman;Times;serif"/>
          <w:b w:val="false"/>
          <w:sz w:val="20"/>
        </w:rPr>
        <w:t>10</w:t>
      </w:r>
      <w:r>
        <w:rPr>
          <w:rFonts w:ascii="Times New Roman;Times;serif" w:hAnsi="Times New Roman;Times;serif"/>
          <w:b/>
          <w:sz w:val="20"/>
        </w:rPr>
        <w:t>. Segment Information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operate our business in one operating segment, which also represents one reportable segment: life sciences. The life sciences segment focuses on advancing innovative medicines that, in the case of the Company, treat cancer patients that do not respond to, or that have disease progression on, current therapies, through the use of differentiated mechanisms of action including ADCs. The Company’s chief operating decision maker (“CODM”) is the chief executive officer.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accounting policies of the life sciences segment are the same as those described in Note 2, Summary of Significant Accounting Policies. The CODM assesses performance for the life science segment based on net loss, which is reported on the statements of operations and comprehensive net loss as net loss. The measure of segment assets is reported on the balance sheet as total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such, the CODM uses cash forecast models in deciding how to invest into the life sciences segment. Such cash forecast models are reviewed to assess the entity-wide operating results and performance. Net loss is used to monitor budget versus actual results. Monitoring budgeted versus actual results is used in assessing performance of the segment and in establishing management’s compensation, along with cash forecast models.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tables below summarize the significant expense categories regularly reviewed by the CODM for the three months ended March 31, 2026 and 2025:</w:t>
      </w:r>
    </w:p>
    <w:p>
      <w:pPr>
        <w:pStyle w:val="TextBody"/>
        <w:bidi w:val="0"/>
        <w:spacing w:before="0" w:after="0"/>
        <w:ind w:left="0" w:right="0" w:hanging="0"/>
        <w:jc w:val="left"/>
        <w:rPr/>
      </w:pPr>
      <w:r>
        <w:rPr/>
        <w:t>​</w:t>
      </w:r>
    </w:p>
    <w:tbl>
      <w:tblPr>
        <w:tblW w:w="5365" w:type="dxa"/>
        <w:jc w:val="left"/>
        <w:tblInd w:w="0" w:type="dxa"/>
        <w:tblLayout w:type="fixed"/>
        <w:tblCellMar>
          <w:top w:w="0" w:type="dxa"/>
          <w:left w:w="0" w:type="dxa"/>
          <w:bottom w:w="0" w:type="dxa"/>
          <w:right w:w="0" w:type="dxa"/>
        </w:tblCellMar>
      </w:tblPr>
      <w:tblGrid>
        <w:gridCol w:w="3241"/>
        <w:gridCol w:w="109"/>
        <w:gridCol w:w="211"/>
        <w:gridCol w:w="571"/>
        <w:gridCol w:w="346"/>
        <w:gridCol w:w="211"/>
        <w:gridCol w:w="676"/>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58035" cy="175260"/>
                      <wp:effectExtent l="0" t="0" r="0" b="0"/>
                      <wp:wrapNone/>
                      <wp:docPr id="130" name="Frame13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36"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241"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product candidates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Nonclinical product candidates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R&amp;D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R&amp;D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7,896</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G&amp;A (2)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G&amp;A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3,726</w:t>
            </w:r>
          </w:p>
        </w:tc>
      </w:tr>
    </w:tbl>
    <w:p>
      <w:pPr>
        <w:pStyle w:val="TextBody"/>
        <w:bidi w:val="0"/>
        <w:spacing w:before="0" w:after="240"/>
        <w:ind w:left="0" w:right="0" w:hanging="0"/>
        <w:jc w:val="left"/>
        <w:rPr/>
      </w:pPr>
      <w:r>
        <w:rPr/>
        <w:t>​</w:t>
      </w:r>
    </w:p>
    <w:tbl>
      <w:tblPr>
        <w:tblW w:w="6231" w:type="dxa"/>
        <w:jc w:val="left"/>
        <w:tblInd w:w="0" w:type="dxa"/>
        <w:tblLayout w:type="fixed"/>
        <w:tblCellMar>
          <w:top w:w="28" w:type="dxa"/>
          <w:left w:w="28" w:type="dxa"/>
          <w:bottom w:w="28" w:type="dxa"/>
          <w:right w:w="28" w:type="dxa"/>
        </w:tblCellMar>
      </w:tblPr>
      <w:tblGrid>
        <w:gridCol w:w="124"/>
        <w:gridCol w:w="331"/>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R&amp;D consists of facilities related expenses and office expenses.</w:t>
            </w:r>
          </w:p>
        </w:tc>
      </w:tr>
    </w:tbl>
    <w:tbl>
      <w:tblPr>
        <w:tblW w:w="8556" w:type="dxa"/>
        <w:jc w:val="left"/>
        <w:tblInd w:w="0" w:type="dxa"/>
        <w:tblLayout w:type="fixed"/>
        <w:tblCellMar>
          <w:top w:w="28" w:type="dxa"/>
          <w:left w:w="28" w:type="dxa"/>
          <w:bottom w:w="28" w:type="dxa"/>
          <w:right w:w="28" w:type="dxa"/>
        </w:tblCellMar>
      </w:tblPr>
      <w:tblGrid>
        <w:gridCol w:w="124"/>
        <w:gridCol w:w="331"/>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G&amp;A consists of facilities related expenses, depreciation, office expenses and taxes and fees.</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703" w:name="Tc_KNl2LSP5tk2Z1V1mKTJ7TA_4_0"/>
      <w:bookmarkStart w:id="704" w:name="Tc_59V6F6fy9E2aH9I7TnNh9Q_3_0"/>
      <w:bookmarkStart w:id="705" w:name="Tc_UEPw15zrX0-p1hJsueo9xw_2_3"/>
      <w:bookmarkStart w:id="706" w:name="Tc_SQOuWamGpUid2H1YQN36Ng_2_2"/>
      <w:bookmarkStart w:id="707" w:name="Tc_7AGcINIJRk6VG-eCo-Absg_1_2"/>
      <w:bookmarkStart w:id="708" w:name="Tc_rykxAFOUnE6tGcF2fmHe1w_8_5"/>
      <w:bookmarkStart w:id="709" w:name="Tc_v1Jp8SDlhE27w09Z3qvgEg_8_2"/>
      <w:bookmarkStart w:id="710" w:name="Tc_T_w9upM_KkaiR_VRF54C_g_8_0"/>
      <w:bookmarkStart w:id="711" w:name="Tc_zDDLWYDQWECCW86N5bFjIA_7_0"/>
      <w:bookmarkStart w:id="712" w:name="Tc_y7oegCxO7kqL_OZK8PEPPQ_6_0"/>
      <w:bookmarkStart w:id="713" w:name="Tc_HA83_Sn-r0ianGW_9J6WuA_5_5"/>
      <w:bookmarkStart w:id="714" w:name="Tc_8buQtNS8Qk2WnSTqhLoziw_5_2"/>
      <w:bookmarkStart w:id="715" w:name="Tc_aNAOorAcf0WJvqDYMIGj8g_5_0"/>
      <w:bookmarkStart w:id="716" w:name="Tc_hD9jNqh9dEKWVpkq1JEZng_4_0"/>
      <w:bookmarkStart w:id="717" w:name="Tc_QhdDYakmaUKTtk2sIlTvhw_3_5"/>
      <w:bookmarkStart w:id="718" w:name="Tc_TbWjjIsNkUye_9LCSs5PwQ_3_2"/>
      <w:bookmarkStart w:id="719" w:name="Tc_A3Rg-TTkDUK_BEULwgdMfw_2_2"/>
      <w:bookmarkStart w:id="720" w:name="Tc_aRXVHSh240OUI0eZcdoRfg_1_2"/>
      <w:bookmarkStart w:id="721" w:name="_f2493954_6378_4c43_b58c_dd7e91b10bea"/>
      <w:bookmarkStart w:id="722" w:name="_9b868109_6eb3_45a5_9366_027066ae3049"/>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b w:val="false"/>
          <w:sz w:val="20"/>
        </w:rPr>
        <w:t>11</w:t>
      </w:r>
      <w:r>
        <w:rPr>
          <w:rFonts w:ascii="Times New Roman;Times;serif" w:hAnsi="Times New Roman;Times;serif"/>
          <w:b/>
          <w:sz w:val="20"/>
        </w:rPr>
        <w:t>. Net Loss Per Share Attributable to Common Stockholders</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 xml:space="preserve">Basic net loss per share is calculated by dividing net loss applicable to common stockholders by the weighted-average common shares outstanding during the period, without consideration for common stock equivalents. Diluted net loss per share is calculated by adjusting the weighted-average common shares outstanding for the dilutive effect of common stock equivalents outstanding for the period, determined using the treasury-stock method. For purposes of computing both basic and diluted net loss per share, pre-funded warrants are considered outstanding shares upon issuance because the underlying shares may be issued for nominal consideration and are exercisable immediately after the original issuance date. For the three months ended March 31, 2026, pre-funded warrants to purchase up to 1,697,678 shares of common stock in the aggregate were outstanding and included in the calculation of weighted average shares outstanding.  Since the Company incurred net losses for the three months ended March 31, 2026 and 2025, common stock equivalents were excluded from the calculation of diluted net loss per share for such periods as their effect would be anti-dilutive.  Therefore, the weighted average number of common shares outstanding used to calculate both basic and diluted net loss per share attributable to common stockholders is the same.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computation for basic and diluted loss per share were as follows (in thousands, except share and per share data):</w:t>
      </w:r>
    </w:p>
    <w:tbl>
      <w:tblPr>
        <w:tblW w:w="7878" w:type="dxa"/>
        <w:jc w:val="left"/>
        <w:tblInd w:w="0" w:type="dxa"/>
        <w:tblLayout w:type="fixed"/>
        <w:tblCellMar>
          <w:top w:w="0" w:type="dxa"/>
          <w:left w:w="0" w:type="dxa"/>
          <w:bottom w:w="0" w:type="dxa"/>
          <w:right w:w="0" w:type="dxa"/>
        </w:tblCellMar>
      </w:tblPr>
      <w:tblGrid>
        <w:gridCol w:w="4711"/>
        <w:gridCol w:w="346"/>
        <w:gridCol w:w="211"/>
        <w:gridCol w:w="931"/>
        <w:gridCol w:w="346"/>
        <w:gridCol w:w="211"/>
        <w:gridCol w:w="931"/>
        <w:gridCol w:w="19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991485" cy="175260"/>
                      <wp:effectExtent l="0" t="0" r="0" b="0"/>
                      <wp:wrapNone/>
                      <wp:docPr id="137" name="Frame137"/>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1185" cy="175260"/>
                      <wp:effectExtent l="0" t="0" r="0" b="0"/>
                      <wp:wrapNone/>
                      <wp:docPr id="140" name="Frame1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1185" cy="175260"/>
                      <wp:effectExtent l="0" t="0" r="0" b="0"/>
                      <wp:wrapNone/>
                      <wp:docPr id="143" name="Frame1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1285" cy="175260"/>
                      <wp:effectExtent l="0" t="0" r="0" b="0"/>
                      <wp:wrapNone/>
                      <wp:docPr id="144" name="Frame1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91" w:type="dxa"/>
            <w:tcBorders/>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(Numerator):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(10,976)</w:t>
            </w:r>
          </w:p>
        </w:tc>
        <w:tc>
          <w:tcPr>
            <w:tcW w:w="191"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5,239,236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2,333,890</w:t>
            </w:r>
          </w:p>
        </w:tc>
        <w:tc>
          <w:tcPr>
            <w:tcW w:w="191"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excluded the following potential common shares, presented based on amounts outstanding at period end, from the computation of diluted net loss per share attributable to common stockholders because including them would have had an anti-dilutive effect:</w:t>
      </w:r>
    </w:p>
    <w:p>
      <w:pPr>
        <w:pStyle w:val="TextBody"/>
        <w:bidi w:val="0"/>
        <w:spacing w:before="0" w:after="0"/>
        <w:ind w:left="0" w:right="0" w:hanging="0"/>
        <w:jc w:val="left"/>
        <w:rPr/>
      </w:pPr>
      <w:r>
        <w:rPr/>
        <w:t>​</w:t>
      </w:r>
    </w:p>
    <w:tbl>
      <w:tblPr>
        <w:tblW w:w="6004" w:type="dxa"/>
        <w:jc w:val="left"/>
        <w:tblInd w:w="0" w:type="dxa"/>
        <w:tblLayout w:type="fixed"/>
        <w:tblCellMar>
          <w:top w:w="0" w:type="dxa"/>
          <w:left w:w="0" w:type="dxa"/>
          <w:bottom w:w="0" w:type="dxa"/>
          <w:right w:w="0" w:type="dxa"/>
        </w:tblCellMar>
      </w:tblPr>
      <w:tblGrid>
        <w:gridCol w:w="3991"/>
        <w:gridCol w:w="346"/>
        <w:gridCol w:w="781"/>
        <w:gridCol w:w="8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34285" cy="175260"/>
                      <wp:effectExtent l="0" t="0" r="0" b="0"/>
                      <wp:wrapNone/>
                      <wp:docPr id="145" name="Frame145"/>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7"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2610" cy="175260"/>
                      <wp:effectExtent l="0" t="0" r="0" b="0"/>
                      <wp:wrapNone/>
                      <wp:docPr id="148" name="Frame1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994,980</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846,774</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994,980</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846,774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did not record a provision or benefit for income taxes during the three month periods ended March 31, 2026 and 2025. The Company continues to maintain a full valuation allowance against its deferred tax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evaluated the positive and negative evidence involving its ability to realize its deferred tax assets. Management has considered the Company’s history of cumulative net losses incurred since inception and its lack of any commercially ready products. The Company has concluded that it is more likely than not that the Company will not realize the benefits of the deferred tax assets. Management reevaluates the positive and negative evidence involving its ability to realize its deferred tax assets at each reporting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provisions of Sections 382 and 383 of the Internal Revenue Code of 1986, as amended (the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(the “Act”) was enacted into law.  Given the Company’s history of operating losses and full valuation allowances against its deferred tax assets, the Act did not have a significant impact on the Company’s financial statements and is not expected to have have a significant impact on the Company’s future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Commitments and Contingencies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the Company is a party to litigation or legal proceedings arising in the ordinary course of business. The Company is not currently a party to any litigation or legal proceeding, nor is management aware of any pending or threatened litigation that, in the opinion of the Company’s management, is likely to materially affect the Company’s business or financial results.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pStyle w:val="TextBody"/>
        <w:shd w:fill="FFFFFF" w:val="clear"/>
        <w:bidi w:val="0"/>
        <w:spacing w:before="0" w:after="0"/>
        <w:ind w:left="0" w:right="0" w:hanging="0"/>
        <w:jc w:val="both"/>
        <w:rPr>
          <w:color w:val="212529"/>
        </w:rPr>
      </w:pPr>
      <w:r>
        <w:rPr>
          <w:color w:val="212529"/>
        </w:rPr>
        <w:t>​</w:t>
      </w:r>
    </w:p>
    <w:p>
      <w:pPr>
        <w:pStyle w:val="TextBody"/>
        <w:bidi w:val="0"/>
        <w:spacing w:before="0" w:after="240"/>
        <w:ind w:left="0" w:right="0" w:hanging="0"/>
        <w:jc w:val="left"/>
        <w:rPr>
          <w:rFonts w:ascii="Times New Roman;Times;serif" w:hAnsi="Times New Roman;Times;serif"/>
          <w:b/>
          <w:sz w:val="20"/>
        </w:rPr>
      </w:pPr>
      <w:bookmarkStart w:id="723" w:name="Item2ManagementsDiscussionandAnalysisofF"/>
      <w:bookmarkStart w:id="724" w:name="_f9d03718_d9ea_4b43_8976_19c82b87c300"/>
      <w:bookmarkEnd w:id="723"/>
      <w:bookmarkEnd w:id="72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2025, or our “2025 Annual Report.” Some of the statements contained in this discussion and analysis or set forth elsewhere in this Quarterly Report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“due,” “estimate,” “expect,” “intend,” “may,” “objective,” “plan,” “predict,” “project,”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timing, progress and results of preclinical studies and clinical trials for SIM0505, LNCB74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expenses, future revenues, capital requirements, needs for or ability to obtain additional financing and the period over which we expect our current cash, cash equivalents and marketable securities to be sufficient to fund our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filings for SIM0505, LNCB74 and any other product candidates we develop and our ability to obtain and maintain regulatory approvals for such product candidates for any indication;</w:t>
            </w:r>
          </w:p>
        </w:tc>
      </w:tr>
    </w:tbl>
    <w:p>
      <w:pPr>
        <w:pStyle w:val="Normal"/>
        <w:bidi w:val="0"/>
        <w:spacing w:before="0" w:after="0"/>
        <w:jc w:val="left"/>
        <w:rPr>
          <w:sz w:val="4"/>
          <w:szCs w:val="4"/>
        </w:rPr>
      </w:pPr>
      <w:r>
        <w:rPr>
          <w:sz w:val="4"/>
          <w:szCs w:val="4"/>
        </w:rPr>
      </w:r>
      <w:bookmarkStart w:id="725" w:name="_cp_text_2_3"/>
      <w:bookmarkStart w:id="726" w:name="_cp_blt_2_2"/>
      <w:bookmarkStart w:id="727" w:name="_cp_text_2_3"/>
      <w:bookmarkStart w:id="728" w:name="_cp_blt_2_2"/>
      <w:bookmarkEnd w:id="727"/>
      <w:bookmarkEnd w:id="728"/>
    </w:p>
    <w:tbl>
      <w:tblPr>
        <w:tblW w:w="6062" w:type="dxa"/>
        <w:jc w:val="left"/>
        <w:tblInd w:w="0" w:type="dxa"/>
        <w:tblLayout w:type="fixed"/>
        <w:tblCellMar>
          <w:top w:w="0" w:type="dxa"/>
          <w:left w:w="0" w:type="dxa"/>
          <w:bottom w:w="0" w:type="dxa"/>
          <w:right w:w="0" w:type="dxa"/>
        </w:tblCellMar>
      </w:tblPr>
      <w:tblGrid>
        <w:gridCol w:w="271"/>
        <w:gridCol w:w="5791"/>
      </w:tblGrid>
      <w:tr>
        <w:trPr/>
        <w:tc>
          <w:tcPr>
            <w:tcW w:w="271" w:type="dxa"/>
            <w:tcBorders/>
            <w:vAlign w:val="center"/>
          </w:tcPr>
          <w:p>
            <w:pPr>
              <w:pStyle w:val="TableContents"/>
              <w:bidi w:val="0"/>
              <w:spacing w:before="0" w:after="283"/>
              <w:jc w:val="left"/>
              <w:rPr/>
            </w:pPr>
            <w:r>
              <w:rPr/>
              <w:t>●</w:t>
            </w:r>
          </w:p>
        </w:tc>
        <w:tc>
          <w:tcPr>
            <w:tcW w:w="5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analysis and use of biomarkers and biomarker data;</w:t>
            </w:r>
          </w:p>
        </w:tc>
      </w:tr>
    </w:tbl>
    <w:tbl>
      <w:tblPr>
        <w:tblW w:w="9362" w:type="dxa"/>
        <w:jc w:val="left"/>
        <w:tblInd w:w="0" w:type="dxa"/>
        <w:tblLayout w:type="fixed"/>
        <w:tblCellMar>
          <w:top w:w="0" w:type="dxa"/>
          <w:left w:w="0" w:type="dxa"/>
          <w:bottom w:w="0" w:type="dxa"/>
          <w:right w:w="0" w:type="dxa"/>
        </w:tblCellMar>
      </w:tblPr>
      <w:tblGrid>
        <w:gridCol w:w="271"/>
        <w:gridCol w:w="9091"/>
      </w:tblGrid>
      <w:tr>
        <w:trPr/>
        <w:tc>
          <w:tcPr>
            <w:tcW w:w="271" w:type="dxa"/>
            <w:tcBorders/>
            <w:vAlign w:val="center"/>
          </w:tcPr>
          <w:p>
            <w:pPr>
              <w:pStyle w:val="TableContents"/>
              <w:bidi w:val="0"/>
              <w:spacing w:before="0" w:after="283"/>
              <w:jc w:val="left"/>
              <w:rPr/>
            </w:pPr>
            <w:r>
              <w:rPr/>
              <w:t>●</w:t>
            </w:r>
          </w:p>
        </w:tc>
        <w:tc>
          <w:tcPr>
            <w:tcW w:w="9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product sourcing and manufacturing strategy, including the scalability of our methods and processes;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activity, effectiveness and safety of SIM0505, LNCB74 and any other product candidates we develop;</w:t>
            </w:r>
          </w:p>
        </w:tc>
      </w:tr>
    </w:tbl>
    <w:tbl>
      <w:tblPr>
        <w:tblW w:w="9437" w:type="dxa"/>
        <w:jc w:val="left"/>
        <w:tblInd w:w="0" w:type="dxa"/>
        <w:tblLayout w:type="fixed"/>
        <w:tblCellMar>
          <w:top w:w="0" w:type="dxa"/>
          <w:left w:w="0" w:type="dxa"/>
          <w:bottom w:w="0" w:type="dxa"/>
          <w:right w:w="0" w:type="dxa"/>
        </w:tblCellMar>
      </w:tblPr>
      <w:tblGrid>
        <w:gridCol w:w="271"/>
        <w:gridCol w:w="9166"/>
      </w:tblGrid>
      <w:tr>
        <w:trPr/>
        <w:tc>
          <w:tcPr>
            <w:tcW w:w="271" w:type="dxa"/>
            <w:tcBorders/>
            <w:vAlign w:val="center"/>
          </w:tcPr>
          <w:p>
            <w:pPr>
              <w:pStyle w:val="TableContents"/>
              <w:bidi w:val="0"/>
              <w:spacing w:before="0" w:after="283"/>
              <w:jc w:val="left"/>
              <w:rPr/>
            </w:pPr>
            <w:r>
              <w:rPr/>
              <w:t>●</w:t>
            </w:r>
          </w:p>
        </w:tc>
        <w:tc>
          <w:tcPr>
            <w:tcW w:w="9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intentions and ability to successfully commercialize, including through partnering, our product candidates;</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nature of the biological pathways we are targeting;</w:t>
            </w:r>
          </w:p>
        </w:tc>
      </w:tr>
    </w:tbl>
    <w:tbl>
      <w:tblPr>
        <w:tblW w:w="9062" w:type="dxa"/>
        <w:jc w:val="left"/>
        <w:tblInd w:w="0" w:type="dxa"/>
        <w:tblLayout w:type="fixed"/>
        <w:tblCellMar>
          <w:top w:w="0" w:type="dxa"/>
          <w:left w:w="0" w:type="dxa"/>
          <w:bottom w:w="0" w:type="dxa"/>
          <w:right w:w="0" w:type="dxa"/>
        </w:tblCellMar>
      </w:tblPr>
      <w:tblGrid>
        <w:gridCol w:w="271"/>
        <w:gridCol w:w="8791"/>
      </w:tblGrid>
      <w:tr>
        <w:trPr/>
        <w:tc>
          <w:tcPr>
            <w:tcW w:w="271" w:type="dxa"/>
            <w:tcBorders/>
            <w:vAlign w:val="center"/>
          </w:tcPr>
          <w:p>
            <w:pPr>
              <w:pStyle w:val="TableContents"/>
              <w:bidi w:val="0"/>
              <w:spacing w:before="0" w:after="283"/>
              <w:jc w:val="left"/>
              <w:rPr/>
            </w:pPr>
            <w:r>
              <w:rPr/>
              <w:t>●</w:t>
            </w:r>
          </w:p>
        </w:tc>
        <w:tc>
          <w:tcPr>
            <w:tcW w:w="8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discover and advance product candidates using our technologies;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and our ability to maintain our relationship with LigaChem Biosciences, Inc. (formerly known as LegoChem Biosciences, Inc. or hereinafter “LigaChem”), Simcere Zaiming Pharmaceutical Co, Ltd. (formerly known as Hainan Simcere Zaiming Pharmaceutical, Ltd. or hereinafter “Zaiming”), and other third-party vendors and collaborators;</w:t>
            </w:r>
          </w:p>
        </w:tc>
      </w:tr>
    </w:tbl>
    <w:tbl>
      <w:tblPr>
        <w:tblW w:w="3242" w:type="dxa"/>
        <w:jc w:val="left"/>
        <w:tblInd w:w="0" w:type="dxa"/>
        <w:tblLayout w:type="fixed"/>
        <w:tblCellMar>
          <w:top w:w="0" w:type="dxa"/>
          <w:left w:w="0" w:type="dxa"/>
          <w:bottom w:w="0" w:type="dxa"/>
          <w:right w:w="0" w:type="dxa"/>
        </w:tblCellMar>
      </w:tblPr>
      <w:tblGrid>
        <w:gridCol w:w="271"/>
        <w:gridCol w:w="2971"/>
      </w:tblGrid>
      <w:tr>
        <w:trPr/>
        <w:tc>
          <w:tcPr>
            <w:tcW w:w="271" w:type="dxa"/>
            <w:tcBorders/>
            <w:vAlign w:val="center"/>
          </w:tcPr>
          <w:p>
            <w:pPr>
              <w:pStyle w:val="TableContents"/>
              <w:bidi w:val="0"/>
              <w:spacing w:before="0" w:after="283"/>
              <w:jc w:val="left"/>
              <w:rPr/>
            </w:pPr>
            <w:r>
              <w:rPr/>
              <w:t>●</w:t>
            </w:r>
          </w:p>
        </w:tc>
        <w:tc>
          <w:tcPr>
            <w:tcW w:w="2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personnel;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intended reliance on and the performance of third parties, including collaborators, contract research organizations and third-party manufacturers;</w:t>
            </w:r>
          </w:p>
        </w:tc>
      </w:tr>
    </w:tbl>
    <w:tbl>
      <w:tblPr>
        <w:tblW w:w="8297" w:type="dxa"/>
        <w:jc w:val="left"/>
        <w:tblInd w:w="0" w:type="dxa"/>
        <w:tblLayout w:type="fixed"/>
        <w:tblCellMar>
          <w:top w:w="0" w:type="dxa"/>
          <w:left w:w="0" w:type="dxa"/>
          <w:bottom w:w="0" w:type="dxa"/>
          <w:right w:w="0" w:type="dxa"/>
        </w:tblCellMar>
      </w:tblPr>
      <w:tblGrid>
        <w:gridCol w:w="271"/>
        <w:gridCol w:w="8026"/>
      </w:tblGrid>
      <w:tr>
        <w:trPr/>
        <w:tc>
          <w:tcPr>
            <w:tcW w:w="271" w:type="dxa"/>
            <w:tcBorders/>
            <w:vAlign w:val="center"/>
          </w:tcPr>
          <w:p>
            <w:pPr>
              <w:pStyle w:val="TableContents"/>
              <w:bidi w:val="0"/>
              <w:spacing w:before="0" w:after="283"/>
              <w:jc w:val="left"/>
              <w:rPr/>
            </w:pPr>
            <w:r>
              <w:rPr/>
              <w:t>●</w:t>
            </w:r>
          </w:p>
        </w:tc>
        <w:tc>
          <w:tcPr>
            <w:tcW w:w="8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international relations, tariffs, and other trade regulations between the U.S. and China;</w:t>
            </w:r>
          </w:p>
        </w:tc>
      </w:tr>
    </w:tbl>
    <w:tbl>
      <w:tblPr>
        <w:tblW w:w="9812" w:type="dxa"/>
        <w:jc w:val="left"/>
        <w:tblInd w:w="0" w:type="dxa"/>
        <w:tblLayout w:type="fixed"/>
        <w:tblCellMar>
          <w:top w:w="0" w:type="dxa"/>
          <w:left w:w="0" w:type="dxa"/>
          <w:bottom w:w="0" w:type="dxa"/>
          <w:right w:w="0" w:type="dxa"/>
        </w:tblCellMar>
      </w:tblPr>
      <w:tblGrid>
        <w:gridCol w:w="271"/>
        <w:gridCol w:w="9541"/>
      </w:tblGrid>
      <w:tr>
        <w:trPr/>
        <w:tc>
          <w:tcPr>
            <w:tcW w:w="271" w:type="dxa"/>
            <w:tcBorders/>
            <w:vAlign w:val="center"/>
          </w:tcPr>
          <w:p>
            <w:pPr>
              <w:pStyle w:val="TableContents"/>
              <w:bidi w:val="0"/>
              <w:spacing w:before="0" w:after="283"/>
              <w:jc w:val="left"/>
              <w:rPr/>
            </w:pPr>
            <w:r>
              <w:rPr/>
              <w:t>●</w:t>
            </w:r>
          </w:p>
        </w:tc>
        <w:tc>
          <w:tcPr>
            <w:tcW w:w="9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and enforce our intellectual property protection and the scope and duration of such protection;</w:t>
            </w:r>
          </w:p>
        </w:tc>
      </w:tr>
    </w:tbl>
    <w:tbl>
      <w:tblPr>
        <w:tblW w:w="9437" w:type="dxa"/>
        <w:jc w:val="left"/>
        <w:tblInd w:w="0" w:type="dxa"/>
        <w:tblLayout w:type="fixed"/>
        <w:tblCellMar>
          <w:top w:w="0" w:type="dxa"/>
          <w:left w:w="0" w:type="dxa"/>
          <w:bottom w:w="0" w:type="dxa"/>
          <w:right w:w="0" w:type="dxa"/>
        </w:tblCellMar>
      </w:tblPr>
      <w:tblGrid>
        <w:gridCol w:w="271"/>
        <w:gridCol w:w="9166"/>
      </w:tblGrid>
      <w:tr>
        <w:trPr/>
        <w:tc>
          <w:tcPr>
            <w:tcW w:w="271" w:type="dxa"/>
            <w:tcBorders/>
            <w:vAlign w:val="center"/>
          </w:tcPr>
          <w:p>
            <w:pPr>
              <w:pStyle w:val="TableContents"/>
              <w:bidi w:val="0"/>
              <w:spacing w:before="0" w:after="283"/>
              <w:jc w:val="left"/>
              <w:rPr/>
            </w:pPr>
            <w:r>
              <w:rPr/>
              <w:t>●</w:t>
            </w:r>
          </w:p>
        </w:tc>
        <w:tc>
          <w:tcPr>
            <w:tcW w:w="9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and projections relating to our competitors and our industry, including competing therapies; and</w:t>
            </w:r>
          </w:p>
        </w:tc>
      </w:tr>
    </w:tbl>
    <w:tbl>
      <w:tblPr>
        <w:tblW w:w="4727" w:type="dxa"/>
        <w:jc w:val="left"/>
        <w:tblInd w:w="0" w:type="dxa"/>
        <w:tblLayout w:type="fixed"/>
        <w:tblCellMar>
          <w:top w:w="0" w:type="dxa"/>
          <w:left w:w="0" w:type="dxa"/>
          <w:bottom w:w="0" w:type="dxa"/>
          <w:right w:w="0" w:type="dxa"/>
        </w:tblCellMar>
      </w:tblPr>
      <w:tblGrid>
        <w:gridCol w:w="271"/>
        <w:gridCol w:w="4456"/>
      </w:tblGrid>
      <w:tr>
        <w:trPr/>
        <w:tc>
          <w:tcPr>
            <w:tcW w:w="271" w:type="dxa"/>
            <w:tcBorders/>
            <w:vAlign w:val="center"/>
          </w:tcPr>
          <w:p>
            <w:pPr>
              <w:pStyle w:val="TableContents"/>
              <w:bidi w:val="0"/>
              <w:spacing w:before="0" w:after="283"/>
              <w:jc w:val="left"/>
              <w:rPr/>
            </w:pPr>
            <w:r>
              <w:rPr/>
              <w:t>●</w:t>
            </w:r>
          </w:p>
        </w:tc>
        <w:tc>
          <w:tcPr>
            <w:tcW w:w="4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current and future laws and regulations.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Forward-looking statements involve substantial risks and uncertainties that could cause actual results to differ materially from those projected in any forward-looking statement. Such risks and uncertainties include, among others: the potential that positive results in preclinical studies may not be predictive of the results of clinical trials; our limited operating history and lack of any products approved for commercial sale; our history of significant losses; our need and ability to obtain additional financing on acceptable terms or at all; risks related to clinical development, marketing approval and commercialization; the unproven approach to the discovery and development of product candidates based on our technologies; risks related to our restructuring and reduction in force; and our dependence on key personnel. More detailed information on these and additional factors that could affect our actual results are described under the heading “Risk Factors” in our 2025 Annual Report and in our other filings with the Securities and Exchange Commission (the “SEC”). You should not place undue reliance on any forward-looking statements. Forward-looking statements speak only as of the date of this report, and we assume no obligation to update any forward-looking statements, even if expectations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 clinical-stage biopharmaceutical company that is focused on advancing innovative medicines that treat cancer patients that do not respond to, or that have disease progression on, current therapies, through the use of targeted therapies, including antibody-drug conjugates (“ADCs”). An ADC consists of a monoclonal antibody conjugated to a cytotoxic drug via a chemical linker. We focus on advancing therapies that leverage our core strengths in understanding biological pathways and biomarkers, the interactions of cells, including in the tumor microenvironment, and the role each interaction plays in a biologic response.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candidate SIM0505 is a novel ADC candidate developed by Zaiming, to which we acquired the global rights (excluding China, Hong Kong, Macau and Taiwan) to develop, manufacture, and commercialize under the License Agreement, dated June 13, 2025, between the Company and Zaiming.  It is directed to CDH6 (cadherin-6 or K-cadherin), a promising anti-tumor target, using a unique binding epitope designed to have increased tumor binding compared to competing candidates. It also features Zaiming’s proprietary topoisomerase 1 inhibitor (TOPOi) payload, designed for broad anti-tumor activity while offering fast systemic clearance to enlarge the therapeutic window. Preclinical studies have demonstrated robust anti-tumor activity across multiple solid tumor models and a promising safety profile in toxicology models.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Zaiming is currently investigating SIM0505 in China for the treatment of solid tumors, including ovarian, endometrial, non-small cell lung and renal. In December 2024, Zaiming received clearance from the U.S. Food and Drug Administration for its Investigational New Drug (“IND”) for a Phase 1 clinical trial for treating multiple cancers.  Following the FDA's assignment of the IND to NextCure in June 2025, the Company successfully dosed the first U.S. patient in its ongoing Phase 1 trial of SIM0505 in October 2025. In April 2026, the FDA granted Fast Track Designation to SIM0505 for the treatment of patients with platinum-resistant ovarian cancer. We also announced that initial Phase 1 clinical data for this program will be presented at the 2026 American Society of Clinical Oncology (ASCO) Annual Meeting.  In May 2026, we announced the initiation of the dose optimization phase for SIM0505, targeting gynecologic cancers through the treatment of patients with platinum-resistant ovarian cancer.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candidate LNCB74 is designed as a state-of-the-art B7-H4 targeted ADC to kill tumors.  B7-H4, a clinically validated target, is a cell surface protein expressed on multiple tumor types including breast, ovarian, and endometrial cancers. LNCB74 will be positioned with both potential improved safety and efficacy compared to other ADCs targeting B7-H4.  Preclinical studies demonstrated potent tumor killing in disease models and a favorable safety profile.  LNCB74 is being advanced under a November 2022 Research Collaboration and Co-Development Agreement with LigaChem.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2024, we announced that the FDA accepted an IND application for initiation of a Phase 1 clinical trial to evaluate LNCB74 for treating multiple cancers known to have high B7-H4 expression, including breast, ovarian,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and endometrial cancers. In January 2025, the first patient in our Phase 1 trial of LNCB74 was dosed. In November 2025, we announced that the FDA had cleared a protocol amendment giving us the ability to add higher dose escalation cohorts.  In January 2026, we announced that implementation of the amended protocol, including expanded dosing and enrollment, prioritization of patients with high B7-H4 expression in breast and gynecological cancers, and the addition of adenoid cystic carcinoma type 1, would delay the reporting of proof-of-concept data, previously anticipated in the first half of 2026.  We are backfilling patients to investigate particular dose levels and schedules in the expected therapeutic window, and plan to provide a trial progress update in the second half of 2026. </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continue to seek to partner our other clinical programs NC410 and NC525 and to pursue a partner or third-party financing to advance our preclinical non-oncology programs NC605 and NC181.</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we have not generated any revenue from product sales and have financed our operations primarily through proceeds from public offerings of our common stock, with private placements of our common and preferred stock and with upfront fees received under our former research and development collaboration agreement. Since inception through March 31, 2026, we raised approximately $446 million in gross proceeds from the sale of equity instruments and had received a $25 million upfront payment from our former collaboration partner. We have never been profitable and have incurred net losses since the commencement of our operations.  Our net losses for the three months ended March 31, 2026 and 2025, was $9.8 million and $11.0 million, respectively.  As of March 31, 2026, we had an accumulated deficit of $445.8 million, primarily as a result of research and development and general and administrative expenses. We do not expect to generate product revenue unless and until we obtain marketing approval for and commercialize a product candidate, and we cannot make assurances that we will ever generate significant revenue or profits.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we had cash, cash equivalents and marketable securities of $29.7 million. Our expectation to incur additional operating losses and negative operating cash flows in the future and the need for additional funding to support our planned operations raise substantial doubt regarding our ability to continue as a going concern for a period of one year after the date that these unaudited financial statements are issued.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need to raise additional capital in order to extend our runway and enable us to continue advancing our current clinical programs, SIM0505 and LNCB74, beyond the first half of 2027. While we intend to use any additional funding to continue development of both of our lead programs, if we do not raise sufficient funds in one or more financings or obtain other financial support for program development, we will need to implement additional cost cutting measures to extend our runway, which may include delaying enrollment in, or pausing, one of our clinical programs and a reduction in workforce. See Note 2, Summary of Significant Accounting Policies, to our unaudited condensed financial statements included elsewhere in this Quarterly Report for a further assessment of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incur substantial expenditures in the foreseeable future as we advance SIM0505 and LNCB74 through clinical development, the regulatory approval process and, if approved, commercialization. Specifically, in the near term, we expect to incur expenses relating to clinical development activities with respect to SIM0505 and LNCB74.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primarily of costs incurred for our clinical trials, discovery efforts, research activities, and development and testing of our product candidates and include:</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acquired in-process research and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including agreements with third parties that conduct research, preclinical activities or clinical trials on our behalf;</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outside consultants, including their fees, stock-based compensation and related travel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of laboratory supplies and acquiring, developing and manufacturing preclinical study and clinical trial materials;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related costs, including stock-based compensation, for personnel engaged in research and development functions;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expenses, which include direct depreciation costs and allocated expenses for rent and maintenance of facilities and other operating costs.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We expect that our research and development expenses will increase substantially in the future as we advance our product candidates through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determine with certainty the duration and costs of future clinical trials of SIM0505, LNCB74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SIM0505, LNCB74 and any other product candidate we may develop depends on a variety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clinical trials of SIM0505, LNCB74 as well as of any future clinical trials of other product candidates and other research and development activities that we may conduct;</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partnerships for our other programs;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selection of indications, clinical trial design and patient enrollment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probability of success for our product candidates, including safety and efficacy, early clinical data, competition, ease and ability of manufacturing and commercial viability;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any development or marketing approvals; and</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pStyle w:val="TextBody"/>
        <w:shd w:fill="FFFFFF" w:val="clear"/>
        <w:bidi w:val="0"/>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consists primarily of interest income earned on marketable securities.</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shd w:fill="FFFFFF" w:val="clear"/>
        <w:bidi w:val="0"/>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Comparison of the Three Months Ended March 31, 2026 and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periods indicated (in thousands):</w:t>
      </w:r>
    </w:p>
    <w:p>
      <w:pPr>
        <w:pStyle w:val="TextBody"/>
        <w:bidi w:val="0"/>
        <w:spacing w:before="0" w:after="240"/>
        <w:ind w:left="0" w:right="0" w:firstLine="720"/>
        <w:jc w:val="both"/>
        <w:rPr/>
      </w:pPr>
      <w:r>
        <w:rPr/>
        <w:t>​</w:t>
      </w:r>
    </w:p>
    <w:tbl>
      <w:tblPr>
        <w:tblW w:w="6456" w:type="dxa"/>
        <w:jc w:val="left"/>
        <w:tblInd w:w="0" w:type="dxa"/>
        <w:tblLayout w:type="fixed"/>
        <w:tblCellMar>
          <w:top w:w="0" w:type="dxa"/>
          <w:left w:w="0" w:type="dxa"/>
          <w:bottom w:w="0" w:type="dxa"/>
          <w:right w:w="0" w:type="dxa"/>
        </w:tblCellMar>
      </w:tblPr>
      <w:tblGrid>
        <w:gridCol w:w="2311"/>
        <w:gridCol w:w="346"/>
        <w:gridCol w:w="211"/>
        <w:gridCol w:w="796"/>
        <w:gridCol w:w="346"/>
        <w:gridCol w:w="211"/>
        <w:gridCol w:w="796"/>
        <w:gridCol w:w="346"/>
        <w:gridCol w:w="211"/>
        <w:gridCol w:w="691"/>
        <w:gridCol w:w="19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67485" cy="175260"/>
                      <wp:effectExtent l="0" t="0" r="0" b="0"/>
                      <wp:wrapNone/>
                      <wp:docPr id="149" name="Frame14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05460" cy="175260"/>
                      <wp:effectExtent l="0" t="0" r="0" b="0"/>
                      <wp:wrapNone/>
                      <wp:docPr id="152" name="Frame1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05460" cy="175260"/>
                      <wp:effectExtent l="0" t="0" r="0" b="0"/>
                      <wp:wrapNone/>
                      <wp:docPr id="155" name="Frame1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38785" cy="175260"/>
                      <wp:effectExtent l="0" t="0" r="0" b="0"/>
                      <wp:wrapNone/>
                      <wp:docPr id="158" name="Frame1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1285" cy="175260"/>
                      <wp:effectExtent l="0" t="0" r="0" b="0"/>
                      <wp:wrapNone/>
                      <wp:docPr id="159" name="Frame15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191"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191"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by product candidate for the periods indicated (in thousands):</w:t>
      </w:r>
    </w:p>
    <w:tbl>
      <w:tblPr>
        <w:tblW w:w="7765" w:type="dxa"/>
        <w:jc w:val="left"/>
        <w:tblInd w:w="0" w:type="dxa"/>
        <w:tblLayout w:type="fixed"/>
        <w:tblCellMar>
          <w:top w:w="0" w:type="dxa"/>
          <w:left w:w="0" w:type="dxa"/>
          <w:bottom w:w="0" w:type="dxa"/>
          <w:right w:w="0" w:type="dxa"/>
        </w:tblCellMar>
      </w:tblPr>
      <w:tblGrid>
        <w:gridCol w:w="4216"/>
        <w:gridCol w:w="346"/>
        <w:gridCol w:w="211"/>
        <w:gridCol w:w="571"/>
        <w:gridCol w:w="346"/>
        <w:gridCol w:w="211"/>
        <w:gridCol w:w="571"/>
        <w:gridCol w:w="34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677160" cy="175260"/>
                      <wp:effectExtent l="0" t="0" r="0" b="0"/>
                      <wp:wrapNone/>
                      <wp:docPr id="160" name="Frame160"/>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62585" cy="175260"/>
                      <wp:effectExtent l="0" t="0" r="0" b="0"/>
                      <wp:wrapNone/>
                      <wp:docPr id="163" name="Frame1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6" name="Frame1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67360" cy="175260"/>
                      <wp:effectExtent l="0" t="0" r="0" b="0"/>
                      <wp:wrapNone/>
                      <wp:docPr id="169" name="Frame1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4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External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LNCB74, net of cost sharing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SIM0505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2,602</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programs and preclinical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external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internal research and development expenses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Research and development expenses for the </w:t>
      </w:r>
      <w:r>
        <w:rPr>
          <w:rFonts w:ascii="Times New Roman;Times;serif" w:hAnsi="Times New Roman;Times;serif"/>
          <w:sz w:val="20"/>
          <w:shd w:fill="FFFFFF" w:val="clear"/>
        </w:rPr>
        <w:t xml:space="preserve">three months ended March 31, 2026 decreased by $1.1 million compared to the three months ended March 31, 2025 due to lower costs on other programs, largely costs for NC410 and NC525, as the Company previously deprioritized these programs and focused on finding a partner to further develop these programs.  These lower costs were largely offset by cost related to SIM0505, which was acquired in the second quarter of 2025.  Internal costs decreased largely due to </w:t>
      </w:r>
      <w:r>
        <w:rPr>
          <w:rFonts w:ascii="Times New Roman;Times;serif" w:hAnsi="Times New Roman;Times;serif"/>
          <w:sz w:val="20"/>
        </w:rPr>
        <w:t>lower personnel-related costs, primarily stock compensation costs, and lower depreciation.</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expenses for the </w:t>
      </w:r>
      <w:r>
        <w:rPr>
          <w:rFonts w:ascii="Times New Roman;Times;serif" w:hAnsi="Times New Roman;Times;serif"/>
          <w:sz w:val="20"/>
          <w:shd w:fill="FFFFFF" w:val="clear"/>
        </w:rPr>
        <w:t>three months ended March 31, 2026 decreased by $0.5 million compared to the three months ended March 31, 2025</w:t>
      </w:r>
      <w:r>
        <w:rPr>
          <w:rFonts w:ascii="Times New Roman;Times;serif" w:hAnsi="Times New Roman;Times;serif"/>
          <w:sz w:val="20"/>
        </w:rPr>
        <w:t>. The decrease was driven primarily by $0.6 million lower non-cash stock compensation costs.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12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Other income, net for the three months ended March 31, 2026 decreased by $0.3 million compared to the three months ended March 31, 2025, due to lower interest income as a result of lower investable cash.</w:t>
      </w:r>
    </w:p>
    <w:p>
      <w:pPr>
        <w:pStyle w:val="TextBody"/>
        <w:bidi w:val="0"/>
        <w:spacing w:before="0" w:after="240"/>
        <w:ind w:left="0" w:right="0" w:firstLine="720"/>
        <w:jc w:val="both"/>
        <w:rPr>
          <w:shd w:fill="FFFFFF" w:val="clear"/>
        </w:rPr>
      </w:pPr>
      <w:r>
        <w:rPr>
          <w:shd w:fill="FFFFFF" w:val="clea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inception through March 31, 2026, we have raised approximately $446 million in gross proceeds from the sale of equity instruments and had received a $25 million upfront payment from our former collaboration partner.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13, 2025, we entered into a License Agreement (the “License Agreement”) with Simcere Zaiming Pharmaceutical Co., Ltd. (formerly known as Hainan Simcere Zaiming Pharmaceutical, Ltd. or hereinafter “Zaiming”), a biopharmaceutical company based in China (see Note 3, License Agreement, to our unaudited condensed financial statements included elsewhere in this Quarterly Report, for more information).  In connection with the License Agreement, the Company also entered into a Subscription Agreement (the “Subscription Agreement”) pursuant to which the Company issued and sold to Simcere Zaiming, Inc. (“Simcere Zaiming”), a Delaware corporation and an affiliate of Zaiming, in a private placement, an aggregate of 338,636 shares (the “Shares”) of our common stock, at a price of approximately $5.904 per share for an aggregate purchase price of $2.0 million.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12, 2025, we entered into a securities purchase agreement (the “Purchase Agreement”) with certain institutional and accredited investors (each, a “Purchaser” and collectively, the “Purchasers”) for a private placement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aggregate of (i) 708,428 shares (the “Shares”) of the Company’s common stockat a purchase price of $8.52 per share, and (ii) pre-funded warrants (to purchase up to an aggregate of 1,815,049 shares of common stock at a purchase price of $8.519 per pre-funded warrant, which represents the per share purchase price of the Shares less the $0.001 per share exercise price for each pre-funded warrant. The pre-funded warrants are exercisable at any time after the date of issuance and will not expire. The offering closed on November 14, 2025.  Proceeds from the offering, net of placement agent’s fees and other offering expenses, were $20.3 million.  On December 15, 2025, 117,371 of the pre-funded warrants were exercised.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19, 2025, we entered into an at-the-market offering agreement (the “Wainwright ATM Agreement”) with H.C. Wainwright &amp; Co., LLC (the “Agent”), pursuant to which we may sell, from time to time, up to an aggregate sales price of $14.5 million of its common stock, through the Agent. Actual sales will depend on a variety of factors to be determined by us from time to time, including, among other things, market conditions, the trading price of the common stock, capital needs and determinations by us of the appropriate sources of funding for the Company.  During the three months ended March 31, 2026, 99,446 shares of common stock were sold under the Wainwright ATM Agreement for net proceeds of approximately $1.2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we had cash, cash equivalents and marketable securities of $29.7 million. Our expectation to incur additional operating losses and negative operating cash flows in the future and the need for additional funding to support our planned operations raise substantial doubt regarding our ability to continue as a going concern for a period of one year after the date that these unaudited financial statements are issued.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need to raise additional capital in order to extend our runway and enable us to continue advancing our current clinical programs, SIM0505 and LNCB74, beyond the first half of 2027. While we intend to use any additional funding to continue development of both of our lead programs, if we do not raise sufficient funds in one or more financings or obtain other financial support for program development, we will need to implement additional cost cutting measures to extend our runway, which may include delaying enrollment in, or pausing, one of our clinical programs and a reduction in workforce. See Note 2, Summary of Significant Accounting Policies, to our unaudited condensed financial statements included elsewhere in this Quarterly Report for a further assessment of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incur substantial expenditures in the foreseeable future as we advance SIM0505 and LNCB74 through clinical development, the regulatory approval process and, if approved, commercialization. Specifically, in the near term, we expect to incur expenses relating to clinical development activities with respect to SIM0505 and LNCB74.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  Our need to raise additional capital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researching and developing SIM0505, LNCB74 and our other programs, and of conducting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the costs involved in, obtaining marketing approvals for SIM0505, LNCB74 and any future product candidates we develop, if clinical trials are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 SIM0505, LNCB74 and any future product candidates we develop for preclinical studies and clinical trials in preparation for marketing approval and commercialization;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commercialization activities, including marketing, sales and distribution costs, for SIM0505, LNCB74 and any future product candidates we develop, whether alone or with a collaborator, if any such product candidates are approved for sale, including marketing, sales and distribution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additional collaborations, licenses or other arrangements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expanding, defending and enforcing patent claims, including litigation costs and the outcome of any such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collaboration and license agreements remaining in effect and our achievement of milestones and the timing and amount of milestone payments we are required to make, or that we may be eligible to receive, under those agreements;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receipt and amount of sales of, or royalties on, our future products, if any; and </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competing therapies and other developments in the oncology market.</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Adequate additional financing may not be available to us on acceptable terms, or at all.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raise additional funds through government or private grants, collaborations, strategic alliances or marketing, distribution or licensing arrangements with third parties, we may be required to relinquish valuable rights to our future revenue streams, product candidates or research programs or to grant licenses on terms that may not be favorable to us.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retain for ourselves. </w:t>
      </w:r>
    </w:p>
    <w:p>
      <w:pPr>
        <w:pStyle w:val="TextBody"/>
        <w:shd w:fill="FFFFFF" w:val="clear"/>
        <w:bidi w:val="0"/>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Cash Flows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primary sources and uses of cash and cash equivalents for each of the periods presented below (in thousands):</w:t>
      </w:r>
    </w:p>
    <w:tbl>
      <w:tblPr>
        <w:tblW w:w="7072" w:type="dxa"/>
        <w:jc w:val="left"/>
        <w:tblInd w:w="0" w:type="dxa"/>
        <w:tblLayout w:type="fixed"/>
        <w:tblCellMar>
          <w:top w:w="0" w:type="dxa"/>
          <w:left w:w="0" w:type="dxa"/>
          <w:bottom w:w="0" w:type="dxa"/>
          <w:right w:w="0" w:type="dxa"/>
        </w:tblCellMar>
      </w:tblPr>
      <w:tblGrid>
        <w:gridCol w:w="4321"/>
        <w:gridCol w:w="346"/>
        <w:gridCol w:w="211"/>
        <w:gridCol w:w="796"/>
        <w:gridCol w:w="346"/>
        <w:gridCol w:w="211"/>
        <w:gridCol w:w="8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743835" cy="175260"/>
                      <wp:effectExtent l="0" t="0" r="0" b="0"/>
                      <wp:wrapNone/>
                      <wp:docPr id="170" name="Frame17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5460" cy="175260"/>
                      <wp:effectExtent l="0" t="0" r="0" b="0"/>
                      <wp:wrapNone/>
                      <wp:docPr id="173" name="Frame1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34035" cy="175260"/>
                      <wp:effectExtent l="0" t="0" r="0" b="0"/>
                      <wp:wrapNone/>
                      <wp:docPr id="176" name="Frame17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(12,994)</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(5,900)</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$13.4 million for the three months ended March 31, 2026, which was primarily the result of our net loss of $9.8 million and $4.3 million used by net changes in operating assets and liabilities, partially offset by non-cash charges for depreciation of $0.3 million and stock-based compensation of $0.3 million.  Net cash used in operating activities was $13.0 million for the three months ended March 31, 2025, which was primarily the result of our net loss of $11.0 million, and $3.9 million used by net changes in operating assets and liabilities, partially offset by non-cash charges for depreciation of $0.7 million and stock-based compensation of $1.4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Provided by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investing activities for the three months ended March 31, 2026  was $1.3 million, which was entirely due to net proceeds from sales and maturities of marketable securities. Net cash provided by investing activities for the three  months ended March 31, 2025 was $7.1 million, which was entirely due to net proceeds from sales and maturities of marketable securities.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$1.2 million for the three months ended March 31, 2026 representing the sale of 99,446 shares of stock under the Wainwright ATM Agreement. There was no cash provided by financing activities for the three months ended March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party to several non-cancelable lease agreements for office and laboratory space that expire in March 2030. The monthly base rent for these leases totals $111.4 thousand as of March 31, 2026 per month plus our prorated share of operating expenses. The monthly base rent is subject to annual 3% increases through the lease term.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have potential contingent payment obligations upon the achievement by us of clinical, regulatory, and commercial events, as applicable, or royalty payments that we may be required to make under license agreements we have entered into with various entities pursuant to which we have in-licensed intellectual property, including our license agreement with Zaiming. The timing and amount (if any) of any such payments cannot be reasonably estimated at this time.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  There have been no material changes to our contractual obligations during the three months ended March 31, 2026, as compared to those disclosed in our 2025 Annual Report.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Critical Accounting Policies, Significant Judgments and Use of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valuing share-based compensation, including the fair value of our common stock in periods before our initial public offering.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there were no material changes to our critical accounting policies as reported in our 2025 Annual Report.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not engaged in any off-balance sheet arrangements, as defined in the rules and regulations of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2, Summary of Significant Accounting Policies, to our unaudited condensed financial statements included elsewhere in this Quarterly Report, for a discussion of recent accounting pronouncements that may impact our financial position and results of operations.</w:t>
      </w:r>
    </w:p>
    <w:p>
      <w:pPr>
        <w:pStyle w:val="TextBody"/>
        <w:bidi w:val="0"/>
        <w:spacing w:before="0" w:after="240"/>
        <w:ind w:left="0" w:right="0" w:hanging="0"/>
        <w:jc w:val="left"/>
        <w:rPr>
          <w:rFonts w:ascii="Times New Roman;Times;serif" w:hAnsi="Times New Roman;Times;serif"/>
          <w:b/>
          <w:sz w:val="20"/>
        </w:rPr>
      </w:pPr>
      <w:bookmarkStart w:id="729" w:name="Item3QuantitativeandQualitativeDisclosur"/>
      <w:bookmarkStart w:id="730" w:name="_72c3a2e2_170c_4759_8d8c_6f22986a94dc"/>
      <w:bookmarkEnd w:id="729"/>
      <w:bookmarkEnd w:id="730"/>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“smaller reporting company” as defined by Rule 12b-2 of the Securities Exchange Act of 1934, as amended (the “Exchange Act”), we are not required to provide the information requested by this Item. </w:t>
      </w:r>
    </w:p>
    <w:p>
      <w:pPr>
        <w:pStyle w:val="TextBody"/>
        <w:bidi w:val="0"/>
        <w:spacing w:before="0" w:after="240"/>
        <w:ind w:left="0" w:right="0" w:hanging="0"/>
        <w:jc w:val="left"/>
        <w:rPr>
          <w:rFonts w:ascii="Times New Roman;Times;serif" w:hAnsi="Times New Roman;Times;serif"/>
          <w:b/>
          <w:sz w:val="20"/>
        </w:rPr>
      </w:pPr>
      <w:bookmarkStart w:id="731" w:name="Item4ControlsandProcedures_238918"/>
      <w:bookmarkStart w:id="732" w:name="_70c887b9_0926_421c_b01a_a4b6a7ea8dcf"/>
      <w:bookmarkEnd w:id="731"/>
      <w:bookmarkEnd w:id="732"/>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defined in Rules 13a-15(e) and 15d-15(e) under the Exchange Act as of March 31, 2026.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Rules 13a-15(f) and 15d-15(f) under the Exchange Act, that occurred during the quarter ended March 31, 2026,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733" w:name="PARTIIOTHERINFORMATION_389335"/>
      <w:bookmarkStart w:id="734" w:name="_3618e964_ce48_4766_b91f_2d99b793ec17"/>
      <w:bookmarkEnd w:id="733"/>
      <w:bookmarkEnd w:id="734"/>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735" w:name="Item1LegalProceedings_501881"/>
      <w:bookmarkEnd w:id="735"/>
      <w:r>
        <w:rPr>
          <w:rFonts w:ascii="Times New Roman;Times;serif" w:hAnsi="Times New Roman;Times;serif"/>
          <w:b/>
          <w:sz w:val="20"/>
        </w:rPr>
        <w:t xml:space="preserve">Item 1. Legal Proceedings.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set forth under the heading “Legal Proceedings” in Note 13, Commitments and Contingencies, to our unaudited condensed financial statements included elsewhere in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is not likely to have a material adverse effect on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6" w:name="Item1ARiskFactors_504818"/>
      <w:bookmarkStart w:id="737" w:name="_65496af2_8fc8_41a1_b789_2375e9ef0505"/>
      <w:bookmarkEnd w:id="736"/>
      <w:bookmarkEnd w:id="737"/>
      <w:r>
        <w:rPr>
          <w:rFonts w:ascii="Times New Roman;Times;serif" w:hAnsi="Times New Roman;Times;serif"/>
          <w:b/>
          <w:sz w:val="20"/>
        </w:rPr>
        <w:t xml:space="preserve">Item 1A. Risk Factors.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have been no material updates to the risk factors set forth in our 2025 Annual Report.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8" w:name="Item2UnregisteredSalesofEquitySecurities"/>
      <w:bookmarkStart w:id="739" w:name="_f564bed5_8e63_4c67_80ef_10baa6946cd7"/>
      <w:bookmarkEnd w:id="738"/>
      <w:bookmarkEnd w:id="739"/>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sales of equity securities sold during the period covered by this Quarterly Report that were not registered under the Securities Act of 1933 and were not previously reported in a Current Report on Form 8-K filed by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740" w:name="Item3DefaultsUponSeniorSecurities_191585"/>
      <w:bookmarkStart w:id="741" w:name="_96553036_264b_4181_b6fc_0f2ed46ccf41"/>
      <w:bookmarkEnd w:id="740"/>
      <w:bookmarkEnd w:id="741"/>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42" w:name="Item4MineSafetyDisclosures_21766"/>
      <w:bookmarkStart w:id="743" w:name="_c395be54_f5d2_49af_b10c_2b9deafee02a"/>
      <w:bookmarkEnd w:id="742"/>
      <w:bookmarkEnd w:id="743"/>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44" w:name="Item5OtherInformation_899953"/>
      <w:bookmarkStart w:id="745" w:name="_330fe570_ed15_4b75_8a63_464464f6b60f"/>
      <w:bookmarkEnd w:id="744"/>
      <w:bookmarkEnd w:id="745"/>
      <w:r>
        <w:rPr>
          <w:rFonts w:ascii="Times New Roman;Times;serif" w:hAnsi="Times New Roman;Times;serif"/>
          <w:b/>
          <w:sz w:val="20"/>
        </w:rPr>
        <w:t>Item 5. Other Information.</w:t>
      </w:r>
    </w:p>
    <w:p>
      <w:pPr>
        <w:pStyle w:val="TextBody"/>
        <w:bidi w:val="0"/>
        <w:spacing w:lineRule="auto" w:line="271" w:before="1" w:after="240"/>
        <w:ind w:left="210" w:right="148" w:firstLine="720"/>
        <w:jc w:val="both"/>
        <w:rPr>
          <w:rFonts w:ascii="Times New Roman;Times;serif" w:hAnsi="Times New Roman;Times;serif"/>
          <w:sz w:val="20"/>
        </w:rPr>
      </w:pPr>
      <w:r>
        <w:rPr>
          <w:rFonts w:ascii="Times New Roman;Times;serif" w:hAnsi="Times New Roman;Times;serif"/>
          <w:sz w:val="20"/>
        </w:rPr>
        <w:t>During the fiscal quarter ended March 31, 2026,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746" w:name="Item6Exhibits_48299"/>
      <w:bookmarkStart w:id="747" w:name="_1e2029e3_dbb3_4946_a6ef_32fd4ce6346f"/>
      <w:bookmarkEnd w:id="746"/>
      <w:bookmarkEnd w:id="747"/>
      <w:r>
        <w:rPr>
          <w:rFonts w:ascii="Times New Roman;Times;serif" w:hAnsi="Times New Roman;Times;serif"/>
          <w:b/>
          <w:sz w:val="20"/>
        </w:rPr>
        <w:t>Item 6. Exhibits.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exhibits filed or furnished as part of this Quarterly Report are set forth on the Exhibit Index, below.</w:t>
      </w:r>
    </w:p>
    <w:p>
      <w:pPr>
        <w:pStyle w:val="TextBody"/>
        <w:bidi w:val="0"/>
        <w:spacing w:before="0" w:after="0"/>
        <w:ind w:left="0" w:right="0" w:hanging="0"/>
        <w:jc w:val="center"/>
        <w:rPr/>
      </w:pPr>
      <w:bookmarkStart w:id="748" w:name="_5b7b76c0_1331_4446_833c_b0176e0d46fd"/>
      <w:bookmarkEnd w:id="748"/>
      <w:r>
        <w:rPr/>
        <w:t>​</w:t>
      </w:r>
    </w:p>
    <w:tbl>
      <w:tblPr>
        <w:tblW w:w="10205" w:type="dxa"/>
        <w:jc w:val="left"/>
        <w:tblInd w:w="0" w:type="dxa"/>
        <w:tblLayout w:type="fixed"/>
        <w:tblCellMar>
          <w:top w:w="0" w:type="dxa"/>
          <w:left w:w="0" w:type="dxa"/>
          <w:bottom w:w="0" w:type="dxa"/>
          <w:right w:w="0" w:type="dxa"/>
        </w:tblCellMar>
      </w:tblPr>
      <w:tblGrid>
        <w:gridCol w:w="949"/>
        <w:gridCol w:w="346"/>
        <w:gridCol w:w="8910"/>
      </w:tblGrid>
      <w:tr>
        <w:trPr/>
        <w:tc>
          <w:tcPr>
            <w:tcW w:w="94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910" w:type="dxa"/>
            <w:tcBorders/>
            <w:vAlign w:val="center"/>
          </w:tcPr>
          <w:p>
            <w:pPr>
              <w:pStyle w:val="TableContents"/>
              <w:bidi w:val="0"/>
              <w:spacing w:before="0" w:after="283"/>
              <w:ind w:left="0" w:right="0" w:hanging="0"/>
              <w:jc w:val="left"/>
              <w:rPr>
                <w:sz w:val="4"/>
                <w:szCs w:val="4"/>
              </w:rPr>
            </w:pPr>
            <w:r>
              <w:rPr>
                <w:sz w:val="4"/>
                <w:szCs w:val="4"/>
              </w:rPr>
            </w:r>
          </w:p>
        </w:tc>
      </w:tr>
      <w:tr>
        <w:trPr/>
        <w:tc>
          <w:tcPr>
            <w:tcW w:w="9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vAlign w:val="center"/>
          </w:tcPr>
          <w:p>
            <w:pPr>
              <w:pStyle w:val="TableContents"/>
              <w:bidi w:val="0"/>
              <w:spacing w:before="0" w:after="0"/>
              <w:ind w:left="0" w:right="0" w:hanging="0"/>
              <w:jc w:val="left"/>
              <w:rPr/>
            </w:pPr>
            <w:r>
              <w:rPr/>
              <w:t>  ​ ​ ​</w:t>
            </w:r>
          </w:p>
        </w:tc>
        <w:tc>
          <w:tcPr>
            <w:tcW w:w="89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Description </w:t>
            </w:r>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hyperlink w:anchor="nxtc-20260331xex10d1.htm">
              <w:r>
                <w:rPr>
                  <w:rStyle w:val="InternetLink"/>
                  <w:rFonts w:ascii="Times New Roman;Times;serif" w:hAnsi="Times New Roman;Times;serif"/>
                  <w:b w:val="false"/>
                  <w:i w:val="false"/>
                  <w:caps w:val="false"/>
                  <w:smallCaps w:val="false"/>
                  <w:sz w:val="24"/>
                </w:rPr>
                <w:t>Employment Agreement, effective as of July 6, 2020, by and between the Company and Timothy Mayer.</w:t>
              </w:r>
            </w:hyperlink>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hyperlink w:anchor="nxtc-20260331xex31d1.htm">
              <w:r>
                <w:rPr>
                  <w:rStyle w:val="InternetLink"/>
                  <w:rFonts w:ascii="Times New Roman;Times;serif" w:hAnsi="Times New Roman;Times;serif"/>
                  <w:b w:val="false"/>
                  <w:i w:val="false"/>
                  <w:caps w:val="false"/>
                  <w:smallCaps w:val="false"/>
                  <w:sz w:val="24"/>
                </w:rPr>
                <w:t>Certification of Michael Richman pursuant to Rule 13a-14(a) under the Securities Exchange Act of 1934 as adopted pursuant to Section 302 of the Sarbanes-Oxley Act of 2002.</w:t>
              </w:r>
            </w:hyperlink>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hyperlink w:anchor="nxtc-20260331xex31d2.htm">
              <w:r>
                <w:rPr>
                  <w:rStyle w:val="InternetLink"/>
                  <w:rFonts w:ascii="Times New Roman;Times;serif" w:hAnsi="Times New Roman;Times;serif"/>
                  <w:b w:val="false"/>
                  <w:i w:val="false"/>
                  <w:caps w:val="false"/>
                  <w:smallCaps w:val="false"/>
                  <w:sz w:val="24"/>
                </w:rPr>
                <w:t>Certification of Steven P. Cobourn pursuant to Rule 13a-14(a) under the Securities Exchange Act of 1934 as adopted pursuant to Section 302 of the Sarbanes-Oxley Act of 2002.</w:t>
              </w:r>
            </w:hyperlink>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hyperlink w:anchor="nxtc-20260331xex32d1.htm">
              <w:r>
                <w:rPr>
                  <w:rStyle w:val="InternetLink"/>
                  <w:rFonts w:ascii="Times New Roman;Times;serif" w:hAnsi="Times New Roman;Times;serif"/>
                  <w:b w:val="false"/>
                  <w:i w:val="false"/>
                  <w:caps w:val="false"/>
                  <w:smallCaps w:val="false"/>
                  <w:sz w:val="24"/>
                </w:rPr>
                <w:t>Certification of Michael Richman and Steven P. Cobourn pursuant to 18 U.S.C. Section 1350 as adopted pursuant to Section 906 of the Sarbanes-Oxley Act of 2002.</w:t>
              </w:r>
            </w:hyperlink>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EX-101.INS</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EX-101.SCH</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EX-101.CAL</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EX-101.DEF</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EX-101.LAB</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EX-101.PRE</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Coverage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Furnished herewith</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w:t>
      </w:r>
      <w:r>
        <w:rPr>
          <w:rFonts w:ascii="Times New Roman;Times;serif" w:hAnsi="Times New Roman;Times;serif"/>
          <w:sz w:val="20"/>
        </w:rPr>
        <w:t>Indicates a management contract or compensatory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bookmarkStart w:id="749" w:name="SIGNATURES_917919"/>
      <w:bookmarkStart w:id="750" w:name="_ebdbe7dd_456d_4b2c_9ebe_6d24bc35a1d0"/>
      <w:bookmarkEnd w:id="749"/>
      <w:bookmarkEnd w:id="750"/>
      <w:r>
        <w:rPr>
          <w:rFonts w:ascii="Times New Roman;Times;serif" w:hAnsi="Times New Roman;Times;serif"/>
          <w:b/>
          <w:sz w:val="24"/>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Normal"/>
        <w:bidi w:val="0"/>
        <w:spacing w:before="0" w:after="0"/>
        <w:jc w:val="left"/>
        <w:rPr>
          <w:sz w:val="4"/>
          <w:szCs w:val="4"/>
        </w:rPr>
      </w:pPr>
      <w:r>
        <w:rPr>
          <w:sz w:val="4"/>
          <w:szCs w:val="4"/>
        </w:rPr>
      </w:r>
      <w:bookmarkStart w:id="751" w:name="_cp_text_1_167"/>
      <w:bookmarkStart w:id="752" w:name="_cp_text_1_167"/>
      <w:bookmarkEnd w:id="752"/>
    </w:p>
    <w:tbl>
      <w:tblPr>
        <w:tblW w:w="5523" w:type="dxa"/>
        <w:jc w:val="left"/>
        <w:tblInd w:w="0" w:type="dxa"/>
        <w:tblLayout w:type="fixed"/>
        <w:tblCellMar>
          <w:top w:w="0" w:type="dxa"/>
          <w:left w:w="0" w:type="dxa"/>
          <w:bottom w:w="0" w:type="dxa"/>
          <w:right w:w="0" w:type="dxa"/>
        </w:tblCellMar>
      </w:tblPr>
      <w:tblGrid>
        <w:gridCol w:w="1636"/>
        <w:gridCol w:w="631"/>
        <w:gridCol w:w="3256"/>
      </w:tblGrid>
      <w:tr>
        <w:trPr/>
        <w:tc>
          <w:tcPr>
            <w:tcW w:w="1636" w:type="dxa"/>
            <w:tcBorders/>
            <w:vAlign w:val="center"/>
          </w:tcPr>
          <w:p>
            <w:pPr>
              <w:pStyle w:val="TableContents"/>
              <w:bidi w:val="0"/>
              <w:spacing w:lineRule="auto" w:line="304" w:before="0" w:after="0"/>
              <w:ind w:left="0" w:right="0" w:hanging="0"/>
              <w:jc w:val="left"/>
              <w:rPr/>
            </w:pPr>
            <w:r>
              <w:rPr/>
              <w:t>​</w:t>
            </w:r>
          </w:p>
        </w:tc>
        <w:tc>
          <w:tcPr>
            <w:tcW w:w="3887" w:type="dxa"/>
            <w:gridSpan w:val="2"/>
            <w:tcBorders/>
            <w:vAlign w:val="center"/>
          </w:tcPr>
          <w:p>
            <w:pPr>
              <w:pStyle w:val="TableContents"/>
              <w:bidi w:val="0"/>
              <w:spacing w:lineRule="auto" w:line="304" w:before="0" w:after="0"/>
              <w:ind w:left="0" w:right="0" w:hanging="0"/>
              <w:jc w:val="left"/>
              <w:rPr>
                <w:rFonts w:ascii="Times New Roman;Times;serif" w:hAnsi="Times New Roman;Times;serif"/>
                <w:b/>
                <w:sz w:val="24"/>
              </w:rPr>
            </w:pPr>
            <w:r>
              <w:rPr>
                <w:rFonts w:ascii="Times New Roman;Times;serif" w:hAnsi="Times New Roman;Times;serif"/>
                <w:b/>
                <w:sz w:val="24"/>
              </w:rPr>
              <w:t>NEXTCURE, INC.</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5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lineRule="auto" w:line="304" w:before="0" w:after="0"/>
              <w:ind w:left="0" w:right="0" w:hanging="0"/>
              <w:jc w:val="left"/>
              <w:rPr/>
            </w:pPr>
            <w:r>
              <w:rPr/>
              <w:t>​</w:t>
            </w:r>
          </w:p>
        </w:tc>
      </w:tr>
      <w:tr>
        <w:trPr/>
        <w:tc>
          <w:tcPr>
            <w:tcW w:w="163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Steven P. Cobourn</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5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0"/>
        <w:ind w:left="0" w:right="0" w:hanging="0"/>
        <w:jc w:val="right"/>
        <w:rPr>
          <w:rFonts w:ascii="Times New Roman;Times;serif" w:hAnsi="Times New Roman;Times;serif"/>
          <w:b/>
          <w:spacing w:val="-1"/>
          <w:sz w:val="24"/>
        </w:rPr>
      </w:pPr>
      <w:bookmarkStart w:id="753" w:name="nxtc-20260331xex10d1.htm"/>
      <w:bookmarkStart w:id="754" w:name="ksnxtc20260331xex10d1"/>
      <w:bookmarkEnd w:id="753"/>
      <w:bookmarkEnd w:id="754"/>
      <w:r>
        <w:rPr>
          <w:rFonts w:ascii="Times New Roman;Times;serif" w:hAnsi="Times New Roman;Times;serif"/>
          <w:b/>
          <w:spacing w:val="-1"/>
          <w:sz w:val="24"/>
        </w:rPr>
        <w:t>Exhibit 10.1</w:t>
      </w:r>
      <w:r>
        <w:br w:type="page"/>
      </w:r>
    </w:p>
    <w:p>
      <w:pPr>
        <w:pStyle w:val="TextBody"/>
        <w:bidi w:val="0"/>
        <w:spacing w:lineRule="auto" w:line="331" w:before="0" w:after="160"/>
        <w:ind w:left="0" w:right="0" w:hanging="0"/>
        <w:jc w:val="center"/>
        <w:rPr>
          <w:spacing w:val="-1"/>
        </w:rPr>
      </w:pPr>
      <w:r>
        <w:rPr>
          <w:spacing w:val="-1"/>
        </w:rPr>
        <w:t>​</w:t>
      </w:r>
    </w:p>
    <w:p>
      <w:pPr>
        <w:pStyle w:val="TextBody"/>
        <w:bidi w:val="0"/>
        <w:spacing w:lineRule="auto" w:line="331" w:before="0" w:after="160"/>
        <w:ind w:left="0" w:right="0" w:hanging="0"/>
        <w:jc w:val="center"/>
        <w:rPr>
          <w:spacing w:val="-1"/>
        </w:rPr>
      </w:pPr>
      <w:r>
        <w:rPr>
          <w:spacing w:val="-1"/>
        </w:rPr>
        <w:t>​</w:t>
      </w:r>
    </w:p>
    <w:p>
      <w:pPr>
        <w:pStyle w:val="TextBody"/>
        <w:bidi w:val="0"/>
        <w:spacing w:lineRule="auto" w:line="285" w:before="0" w:after="0"/>
        <w:ind w:left="0" w:right="0" w:hanging="0"/>
        <w:jc w:val="center"/>
        <w:rPr/>
      </w:pPr>
      <w:r>
        <w:rPr/>
        <w:drawing>
          <wp:inline distT="0" distB="0" distL="0" distR="0">
            <wp:extent cx="2743200" cy="485775"/>
            <wp:effectExtent l="0" t="0" r="0" b="0"/>
            <wp:docPr id="17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 descr=""/>
                    <pic:cNvPicPr>
                      <a:picLocks noChangeAspect="1" noChangeArrowheads="1"/>
                    </pic:cNvPicPr>
                  </pic:nvPicPr>
                  <pic:blipFill>
                    <a:blip r:embed="rId2"/>
                    <a:stretch>
                      <a:fillRect/>
                    </a:stretch>
                  </pic:blipFill>
                  <pic:spPr bwMode="auto">
                    <a:xfrm>
                      <a:off x="0" y="0"/>
                      <a:ext cx="2743200" cy="485775"/>
                    </a:xfrm>
                    <a:prstGeom prst="rect">
                      <a:avLst/>
                    </a:prstGeom>
                  </pic:spPr>
                </pic:pic>
              </a:graphicData>
            </a:graphic>
          </wp:inline>
        </w:drawing>
      </w:r>
    </w:p>
    <w:p>
      <w:pPr>
        <w:pStyle w:val="TextBody"/>
        <w:bidi w:val="0"/>
        <w:spacing w:lineRule="auto" w:line="331" w:before="0" w:after="160"/>
        <w:ind w:left="0" w:right="0" w:hanging="0"/>
        <w:jc w:val="both"/>
        <w:rPr>
          <w:spacing w:val="-1"/>
        </w:rPr>
      </w:pPr>
      <w:r>
        <w:rPr>
          <w:spacing w:val="-1"/>
        </w:rPr>
        <w:t>​</w:t>
      </w:r>
    </w:p>
    <w:p>
      <w:pPr>
        <w:pStyle w:val="TextBody"/>
        <w:bidi w:val="0"/>
        <w:spacing w:lineRule="auto" w:line="285" w:before="0" w:after="0"/>
        <w:ind w:left="0" w:right="0" w:hanging="0"/>
        <w:jc w:val="both"/>
        <w:rPr>
          <w:rFonts w:ascii="Times New Roman;Times;serif" w:hAnsi="Times New Roman;Times;serif"/>
          <w:spacing w:val="-1"/>
          <w:sz w:val="24"/>
        </w:rPr>
      </w:pPr>
      <w:r>
        <w:rPr>
          <w:rFonts w:ascii="Times New Roman;Times;serif" w:hAnsi="Times New Roman;Times;serif"/>
          <w:spacing w:val="-1"/>
          <w:sz w:val="24"/>
        </w:rPr>
        <w:t>June 29, 2020</w:t>
      </w:r>
    </w:p>
    <w:p>
      <w:pPr>
        <w:pStyle w:val="TextBody"/>
        <w:bidi w:val="0"/>
        <w:spacing w:lineRule="auto" w:line="331" w:before="0" w:after="160"/>
        <w:ind w:left="0" w:right="0" w:hanging="0"/>
        <w:jc w:val="both"/>
        <w:rPr>
          <w:spacing w:val="-1"/>
        </w:rPr>
      </w:pPr>
      <w:r>
        <w:rPr>
          <w:spacing w:val="-1"/>
        </w:rPr>
        <w:t>​</w:t>
      </w:r>
    </w:p>
    <w:p>
      <w:pPr>
        <w:pStyle w:val="TextBody"/>
        <w:bidi w:val="0"/>
        <w:spacing w:lineRule="auto" w:line="285" w:before="0" w:after="0"/>
        <w:ind w:left="0" w:right="0" w:hanging="0"/>
        <w:jc w:val="both"/>
        <w:rPr>
          <w:rFonts w:ascii="Times New Roman;Times;serif" w:hAnsi="Times New Roman;Times;serif"/>
          <w:b/>
          <w:i/>
          <w:sz w:val="24"/>
        </w:rPr>
      </w:pPr>
      <w:r>
        <w:rPr>
          <w:rFonts w:ascii="Times New Roman;Times;serif" w:hAnsi="Times New Roman;Times;serif"/>
          <w:b/>
          <w:i/>
          <w:sz w:val="24"/>
        </w:rPr>
        <w:t>Via Email Only</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Timothy Mayer, Ph.D.</w:t>
      </w:r>
    </w:p>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left"/>
        <w:rPr>
          <w:rFonts w:ascii="Aptos" w:hAnsi="Aptos"/>
          <w:sz w:val="24"/>
        </w:rPr>
      </w:pPr>
      <w:r>
        <w:rPr>
          <w:rFonts w:ascii="Times New Roman;Times;serif" w:hAnsi="Times New Roman;Times;serif"/>
          <w:b/>
          <w:i w:val="false"/>
          <w:caps w:val="false"/>
          <w:smallCaps w:val="false"/>
          <w:sz w:val="24"/>
        </w:rPr>
        <w:t>RE:</w:t>
      </w:r>
      <w:r>
        <w:rPr>
          <w:rFonts w:ascii="Times New Roman;Times;serif" w:hAnsi="Times New Roman;Times;serif"/>
          <w:b/>
          <w:sz w:val="24"/>
        </w:rPr>
        <w:t>EXECUTIVE EMPLOYMENT AGREEMENT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pacing w:val="-2"/>
          <w:sz w:val="24"/>
        </w:rPr>
      </w:pPr>
      <w:r>
        <w:rPr>
          <w:rFonts w:ascii="Times New Roman;Times;serif" w:hAnsi="Times New Roman;Times;serif"/>
          <w:spacing w:val="-2"/>
          <w:sz w:val="24"/>
        </w:rPr>
        <w:t>Dear Tim:</w:t>
      </w:r>
    </w:p>
    <w:p>
      <w:pPr>
        <w:pStyle w:val="TextBody"/>
        <w:bidi w:val="0"/>
        <w:spacing w:lineRule="auto" w:line="331" w:before="0" w:after="160"/>
        <w:ind w:left="0" w:right="0" w:hanging="0"/>
        <w:jc w:val="both"/>
        <w:rPr>
          <w:spacing w:val="-2"/>
        </w:rPr>
      </w:pPr>
      <w:r>
        <w:rPr>
          <w:spacing w:val="-2"/>
        </w:rPr>
        <w:t>​</w:t>
      </w:r>
    </w:p>
    <w:p>
      <w:pPr>
        <w:pStyle w:val="TextBody"/>
        <w:bidi w:val="0"/>
        <w:spacing w:lineRule="auto" w:line="285" w:before="0" w:after="240"/>
        <w:ind w:left="0" w:right="0" w:hanging="0"/>
        <w:jc w:val="both"/>
        <w:rPr>
          <w:rFonts w:ascii="Aptos" w:hAnsi="Aptos"/>
          <w:sz w:val="24"/>
        </w:rPr>
      </w:pPr>
      <w:r>
        <w:rPr>
          <w:rFonts w:ascii="Times New Roman;Times;serif" w:hAnsi="Times New Roman;Times;serif"/>
          <w:sz w:val="24"/>
        </w:rPr>
        <w:t>On behalf of NextCure, Inc. (“</w:t>
      </w:r>
      <w:r>
        <w:rPr>
          <w:rFonts w:ascii="Times New Roman;Times;serif" w:hAnsi="Times New Roman;Times;serif"/>
          <w:b/>
          <w:sz w:val="24"/>
        </w:rPr>
        <w:t>NextCure</w:t>
      </w:r>
      <w:r>
        <w:rPr>
          <w:rFonts w:ascii="Aptos" w:hAnsi="Aptos"/>
          <w:sz w:val="24"/>
        </w:rPr>
        <w:t>”</w:t>
      </w:r>
      <w:r>
        <w:rPr>
          <w:rFonts w:ascii="Times New Roman;Times;serif" w:hAnsi="Times New Roman;Times;serif"/>
          <w:sz w:val="24"/>
        </w:rPr>
        <w:t>, or the “</w:t>
      </w:r>
      <w:r>
        <w:rPr>
          <w:rFonts w:ascii="Times New Roman;Times;serif" w:hAnsi="Times New Roman;Times;serif"/>
          <w:b/>
          <w:sz w:val="24"/>
        </w:rPr>
        <w:t>Company</w:t>
      </w:r>
      <w:r>
        <w:rPr>
          <w:rFonts w:ascii="Aptos" w:hAnsi="Aptos"/>
          <w:sz w:val="24"/>
        </w:rPr>
        <w:t>”</w:t>
      </w:r>
      <w:r>
        <w:rPr>
          <w:rFonts w:ascii="Times New Roman;Times;serif" w:hAnsi="Times New Roman;Times;serif"/>
          <w:sz w:val="24"/>
        </w:rPr>
        <w:t>), it is my pleasure to confirm the terms and conditions on which the Board of Directors of NextCure (the “</w:t>
      </w:r>
      <w:r>
        <w:rPr>
          <w:rFonts w:ascii="Times New Roman;Times;serif" w:hAnsi="Times New Roman;Times;serif"/>
          <w:b/>
          <w:i/>
          <w:sz w:val="24"/>
        </w:rPr>
        <w:t>Board</w:t>
      </w:r>
      <w:r>
        <w:rPr>
          <w:rFonts w:ascii="Aptos" w:hAnsi="Aptos"/>
          <w:sz w:val="24"/>
        </w:rPr>
        <w:t>”</w:t>
      </w:r>
      <w:r>
        <w:rPr>
          <w:rFonts w:ascii="Times New Roman;Times;serif" w:hAnsi="Times New Roman;Times;serif"/>
          <w:sz w:val="24"/>
        </w:rPr>
        <w:t xml:space="preserve">) and you have agreed that you will continue your employment with the Company, serving as the Company’s Chief Operating Officer, reporting to the Company’s Chief Executive Officer, effective as of the date first set forth above. During your employment with NextCure, you will devote substantially all of your professional efforts to the business of NextCure, except that you may engage in the business activities described on </w:t>
      </w:r>
      <w:r>
        <w:rPr>
          <w:rFonts w:ascii="Times New Roman;Times;serif" w:hAnsi="Times New Roman;Times;serif"/>
          <w:sz w:val="24"/>
          <w:u w:val="single"/>
        </w:rPr>
        <w:t>Appendix A</w:t>
      </w:r>
      <w:r>
        <w:rPr>
          <w:rFonts w:ascii="Aptos" w:hAnsi="Aptos"/>
          <w:sz w:val="24"/>
        </w:rPr>
        <w:t xml:space="preserve"> </w:t>
      </w:r>
      <w:r>
        <w:rPr>
          <w:rFonts w:ascii="Times New Roman;Times;serif" w:hAnsi="Times New Roman;Times;serif"/>
          <w:sz w:val="24"/>
        </w:rPr>
        <w:t>of this employment agreement (this “</w:t>
      </w:r>
      <w:r>
        <w:rPr>
          <w:rFonts w:ascii="Times New Roman;Times;serif" w:hAnsi="Times New Roman;Times;serif"/>
          <w:b/>
          <w:sz w:val="24"/>
        </w:rPr>
        <w:t>Agreement</w:t>
      </w:r>
      <w:r>
        <w:rPr>
          <w:rFonts w:ascii="Aptos" w:hAnsi="Aptos"/>
          <w:sz w:val="24"/>
        </w:rPr>
        <w:t>”</w:t>
      </w:r>
      <w:r>
        <w:rPr>
          <w:rFonts w:ascii="Times New Roman;Times;serif" w:hAnsi="Times New Roman;Times;serif"/>
          <w:sz w:val="24"/>
        </w:rPr>
        <w:t xml:space="preserve">), and other activities that may be approved in advance by the Company’s Chief Executive Officer, with advice from the Board (which may include the for-profit board membership(s) described on </w:t>
      </w:r>
      <w:r>
        <w:rPr>
          <w:rFonts w:ascii="Times New Roman;Times;serif" w:hAnsi="Times New Roman;Times;serif"/>
          <w:sz w:val="24"/>
          <w:u w:val="single"/>
        </w:rPr>
        <w:t>Appendix A</w:t>
      </w:r>
      <w:r>
        <w:rPr>
          <w:rFonts w:ascii="Times New Roman;Times;serif" w:hAnsi="Times New Roman;Times;serif"/>
          <w:sz w:val="24"/>
        </w:rPr>
        <w:t xml:space="preserve">), in each case, so long as these activities do not interfere or conflict with your obligations to the Company.  Your employment under the terms of this Agreement shall continue until it terminates in accordance with </w:t>
      </w:r>
      <w:r>
        <w:rPr>
          <w:rFonts w:ascii="Times New Roman;Times;serif" w:hAnsi="Times New Roman;Times;serif"/>
          <w:sz w:val="24"/>
          <w:u w:val="single"/>
        </w:rPr>
        <w:t>Section 5</w:t>
      </w:r>
      <w:r>
        <w:rPr>
          <w:rFonts w:ascii="Aptos" w:hAnsi="Aptos"/>
          <w:sz w:val="24"/>
        </w:rPr>
        <w:t xml:space="preserve"> </w:t>
      </w:r>
      <w:r>
        <w:rPr>
          <w:rFonts w:ascii="Times New Roman;Times;serif" w:hAnsi="Times New Roman;Times;serif"/>
          <w:sz w:val="24"/>
        </w:rPr>
        <w:t>below.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This Agreement supersedes, amends and restates in all respects all prior agreements and understandings between you and the Company regarding the subject matter herein.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This Agreement is intended to summarize some of the terms and conditions of your employment.</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1.</w:t>
      </w:r>
      <w:r>
        <w:rPr>
          <w:rFonts w:ascii="Times New Roman;Times;serif" w:hAnsi="Times New Roman;Times;serif"/>
          <w:sz w:val="24"/>
          <w:u w:val="single"/>
        </w:rPr>
        <w:t>Location</w:t>
      </w:r>
      <w:r>
        <w:rPr>
          <w:rFonts w:ascii="Times New Roman;Times;serif" w:hAnsi="Times New Roman;Times;serif"/>
          <w:sz w:val="24"/>
        </w:rPr>
        <w:t>.  Your place of employment will be at NextCure’s principal offices, currently located in Beltsville, Maryland.  </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2.</w:t>
      </w:r>
      <w:r>
        <w:rPr>
          <w:rFonts w:ascii="Times New Roman;Times;serif" w:hAnsi="Times New Roman;Times;serif"/>
          <w:sz w:val="24"/>
          <w:u w:val="single"/>
        </w:rPr>
        <w:t>Compensation</w:t>
      </w:r>
      <w:r>
        <w:rPr>
          <w:rFonts w:ascii="Times New Roman;Times;serif" w:hAnsi="Times New Roman;Times;serif"/>
          <w:sz w:val="24"/>
        </w:rPr>
        <w:t>.  </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i/>
          <w:sz w:val="24"/>
        </w:rPr>
        <w:t>Base Salary</w:t>
      </w:r>
      <w:r>
        <w:rPr>
          <w:rFonts w:ascii="Times New Roman;Times;serif" w:hAnsi="Times New Roman;Times;serif"/>
          <w:sz w:val="24"/>
        </w:rPr>
        <w:t>.  Your annualized base salary rate will be $325,000, less standard deductions and withholding and payable bi-weekly in accordance with NextCure’s regular payroll practices.  Your salary shall be reviewed annually and may be adjusted in connection with any such review.</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i/>
          <w:sz w:val="24"/>
        </w:rPr>
        <w:t>Bonus Program</w:t>
      </w:r>
      <w:r>
        <w:rPr>
          <w:rFonts w:ascii="Times New Roman;Times;serif" w:hAnsi="Times New Roman;Times;serif"/>
          <w:sz w:val="24"/>
        </w:rPr>
        <w:t xml:space="preserve">.  You will be eligible for an annual target bonus of 35% of your annual base salary as determined by the Board in its sole discretion based upon, among other things, the achievement of pre-determined performance milestones.  Any annual bonus, if earned, shall be paid no later than </w:t>
      </w:r>
    </w:p>
    <w:p>
      <w:pPr>
        <w:pStyle w:val="HorizontalLine"/>
        <w:pBdr>
          <w:bottom w:val="double" w:sz="2" w:space="0" w:color="808080"/>
        </w:pBdr>
        <w:bidi w:val="0"/>
        <w:spacing w:before="0" w:after="283"/>
        <w:jc w:val="left"/>
        <w:rPr/>
      </w:pPr>
      <w:r>
        <w:rPr/>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March 15</w:t>
      </w:r>
      <w:r>
        <w:rPr>
          <w:rFonts w:ascii="Times New Roman;Times;serif" w:hAnsi="Times New Roman;Times;serif"/>
          <w:sz w:val="18"/>
        </w:rPr>
        <w:t>th</w:t>
      </w:r>
      <w:r>
        <w:rPr>
          <w:rFonts w:ascii="Aptos" w:hAnsi="Aptos"/>
          <w:sz w:val="24"/>
        </w:rPr>
        <w:t xml:space="preserve"> </w:t>
      </w:r>
      <w:r>
        <w:rPr>
          <w:rFonts w:ascii="Times New Roman;Times;serif" w:hAnsi="Times New Roman;Times;serif"/>
          <w:sz w:val="24"/>
        </w:rPr>
        <w:t>of the year immediately following the year to which the applicable annual bonus relates.</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i/>
          <w:sz w:val="24"/>
        </w:rPr>
        <w:t>Withholding.  </w:t>
      </w:r>
      <w:r>
        <w:rPr>
          <w:rFonts w:ascii="Times New Roman;Times;serif" w:hAnsi="Times New Roman;Times;serif"/>
          <w:sz w:val="24"/>
        </w:rPr>
        <w:t>NextCure shall withhold from any compensation or benefits payable to you by NextCure any federal, state and/or local income, employment and/or other similar taxes as may be required to be withheld pursuant to any applicable law or regulation.</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3.</w:t>
      </w:r>
      <w:r>
        <w:rPr>
          <w:rFonts w:ascii="Times New Roman;Times;serif" w:hAnsi="Times New Roman;Times;serif"/>
          <w:spacing w:val="-1"/>
          <w:sz w:val="24"/>
          <w:u w:val="single"/>
        </w:rPr>
        <w:t>Benefits</w:t>
      </w:r>
      <w:r>
        <w:rPr>
          <w:rFonts w:ascii="Times New Roman;Times;serif" w:hAnsi="Times New Roman;Times;serif"/>
          <w:spacing w:val="-1"/>
          <w:sz w:val="24"/>
        </w:rPr>
        <w:t>.  </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i/>
          <w:spacing w:val="-1"/>
          <w:sz w:val="24"/>
        </w:rPr>
        <w:t>Vacation and Holidays</w:t>
      </w:r>
      <w:r>
        <w:rPr>
          <w:rFonts w:ascii="Times New Roman;Times;serif" w:hAnsi="Times New Roman;Times;serif"/>
          <w:spacing w:val="-1"/>
          <w:sz w:val="24"/>
        </w:rPr>
        <w:t xml:space="preserve">.  You will be eligible each year for 10 paid vacation days (excluding federal holidays), 2 paid personal days and 8 paid days of sick time, as well as paid time off from December 26 through December 30. </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b.</w:t>
      </w:r>
      <w:r>
        <w:rPr>
          <w:rFonts w:ascii="Times New Roman;Times;serif" w:hAnsi="Times New Roman;Times;serif"/>
          <w:i/>
          <w:spacing w:val="-1"/>
          <w:sz w:val="24"/>
        </w:rPr>
        <w:t>Other</w:t>
      </w:r>
      <w:r>
        <w:rPr>
          <w:rFonts w:ascii="Times New Roman;Times;serif" w:hAnsi="Times New Roman;Times;serif"/>
          <w:spacing w:val="-1"/>
          <w:sz w:val="24"/>
        </w:rPr>
        <w:t>.  You will be eligible to participate in the benefits to be offered by NextCure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pStyle w:val="TextBody"/>
        <w:bidi w:val="0"/>
        <w:spacing w:lineRule="auto" w:line="285"/>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i/>
          <w:spacing w:val="-1"/>
          <w:sz w:val="24"/>
        </w:rPr>
        <w:t>Expenses</w:t>
      </w:r>
      <w:r>
        <w:rPr>
          <w:rFonts w:ascii="Times New Roman;Times;serif" w:hAnsi="Times New Roman;Times;serif"/>
          <w:spacing w:val="-1"/>
          <w:sz w:val="24"/>
        </w:rPr>
        <w:t>.</w:t>
      </w:r>
      <w:r>
        <w:rPr>
          <w:rFonts w:ascii="Aptos" w:hAnsi="Aptos"/>
          <w:spacing w:val="-1"/>
          <w:sz w:val="24"/>
        </w:rPr>
        <w:t xml:space="preserve">  </w:t>
      </w:r>
      <w:r>
        <w:rPr>
          <w:rFonts w:ascii="Times New Roman;Times;serif" w:hAnsi="Times New Roman;Times;serif"/>
          <w:spacing w:val="-1"/>
          <w:sz w:val="24"/>
        </w:rPr>
        <w:t>NextCure shall reimburse you for all reasonable expenses of the type authorized by NextCure and incurred by you in the performance of your duties under this Agreement, all in accordance with the Company’s reimbursement policies.  </w:t>
      </w:r>
    </w:p>
    <w:p>
      <w:pPr>
        <w:pStyle w:val="TextBody"/>
        <w:bidi w:val="0"/>
        <w:spacing w:lineRule="auto" w:line="331" w:before="0" w:after="160"/>
        <w:ind w:left="2880" w:right="0" w:hanging="0"/>
        <w:jc w:val="both"/>
        <w:rPr/>
      </w:pPr>
      <w:r>
        <w:rPr/>
        <w:t>​</w:t>
      </w:r>
    </w:p>
    <w:p>
      <w:pPr>
        <w:pStyle w:val="TextBody"/>
        <w:bidi w:val="0"/>
        <w:spacing w:lineRule="auto" w:line="285" w:before="0" w:after="240"/>
        <w:ind w:left="0" w:right="0" w:hanging="0"/>
        <w:jc w:val="both"/>
        <w:rPr>
          <w:rFonts w:ascii="Times New Roman;Times;serif" w:hAnsi="Times New Roman;Times;serif"/>
          <w:spacing w:val="-1"/>
          <w:sz w:val="24"/>
        </w:rPr>
      </w:pPr>
      <w:r>
        <w:rPr>
          <w:rFonts w:ascii="Times New Roman;Times;serif" w:hAnsi="Times New Roman;Times;serif"/>
          <w:spacing w:val="-1"/>
          <w:sz w:val="24"/>
        </w:rPr>
        <w:t>As is the case of all employee benefits, such benefits will be governed by the terms and conditions of applicable NextCure plans or policies, which are subject to change or discontinuation at any time.</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4.</w:t>
      </w:r>
      <w:r>
        <w:rPr>
          <w:rFonts w:ascii="Times New Roman;Times;serif" w:hAnsi="Times New Roman;Times;serif"/>
          <w:spacing w:val="4"/>
          <w:sz w:val="24"/>
          <w:u w:val="single"/>
        </w:rPr>
        <w:t>Severance</w:t>
      </w:r>
      <w:r>
        <w:rPr>
          <w:rFonts w:ascii="Times New Roman;Times;serif" w:hAnsi="Times New Roman;Times;serif"/>
          <w:spacing w:val="4"/>
          <w:sz w:val="24"/>
        </w:rPr>
        <w:t>.</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a.</w:t>
      </w:r>
      <w:r>
        <w:rPr>
          <w:rFonts w:ascii="Times New Roman;Times;serif" w:hAnsi="Times New Roman;Times;serif"/>
          <w:i/>
          <w:spacing w:val="-1"/>
          <w:sz w:val="24"/>
        </w:rPr>
        <w:t>Definitions.</w:t>
      </w:r>
      <w:r>
        <w:rPr>
          <w:rFonts w:ascii="Aptos" w:hAnsi="Aptos"/>
          <w:spacing w:val="4"/>
          <w:sz w:val="24"/>
        </w:rPr>
        <w:t xml:space="preserve">  </w:t>
      </w:r>
      <w:r>
        <w:rPr>
          <w:rFonts w:ascii="Times New Roman;Times;serif" w:hAnsi="Times New Roman;Times;serif"/>
          <w:spacing w:val="4"/>
          <w:sz w:val="24"/>
        </w:rPr>
        <w:t>For purposes of this Agreement:  </w:t>
      </w:r>
    </w:p>
    <w:p>
      <w:pPr>
        <w:pStyle w:val="TextBody"/>
        <w:bidi w:val="0"/>
        <w:spacing w:lineRule="auto" w:line="285" w:before="0" w:after="0"/>
        <w:ind w:left="0" w:right="540" w:hanging="0"/>
        <w:jc w:val="both"/>
        <w:rPr>
          <w:rFonts w:ascii="Aptos" w:hAnsi="Aptos"/>
          <w:sz w:val="24"/>
        </w:rPr>
      </w:pPr>
      <w:r>
        <w:rPr>
          <w:rFonts w:ascii="Times New Roman;Times;serif" w:hAnsi="Times New Roman;Times;serif"/>
          <w:sz w:val="24"/>
        </w:rPr>
        <w:t>i.</w:t>
      </w:r>
      <w:r>
        <w:rPr>
          <w:rFonts w:ascii="Aptos" w:hAnsi="Aptos"/>
          <w:sz w:val="24"/>
        </w:rPr>
        <w:t>“</w:t>
      </w:r>
      <w:r>
        <w:rPr>
          <w:rFonts w:ascii="Times New Roman;Times;serif" w:hAnsi="Times New Roman;Times;serif"/>
          <w:b/>
          <w:sz w:val="24"/>
        </w:rPr>
        <w:t>Accrued Benefits</w:t>
      </w:r>
      <w:r>
        <w:rPr>
          <w:rFonts w:ascii="Aptos" w:hAnsi="Aptos"/>
          <w:sz w:val="24"/>
        </w:rPr>
        <w:t xml:space="preserve">” </w:t>
      </w:r>
      <w:r>
        <w:rPr>
          <w:rFonts w:ascii="Times New Roman;Times;serif" w:hAnsi="Times New Roman;Times;serif"/>
          <w:sz w:val="24"/>
        </w:rPr>
        <w:t xml:space="preserve">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NextCure’s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NextCure or this Agreement. </w:t>
      </w:r>
    </w:p>
    <w:p>
      <w:pPr>
        <w:pStyle w:val="TextBody"/>
        <w:bidi w:val="0"/>
        <w:spacing w:lineRule="auto" w:line="285" w:before="0" w:after="0"/>
        <w:ind w:left="0" w:right="720" w:hanging="0"/>
        <w:jc w:val="both"/>
        <w:rPr>
          <w:rFonts w:ascii="Aptos" w:hAnsi="Aptos"/>
          <w:sz w:val="24"/>
        </w:rPr>
      </w:pPr>
      <w:r>
        <w:rPr>
          <w:rFonts w:ascii="Times New Roman;Times;serif" w:hAnsi="Times New Roman;Times;serif"/>
          <w:sz w:val="24"/>
        </w:rPr>
        <w:t>ii.</w:t>
      </w:r>
      <w:r>
        <w:rPr>
          <w:rFonts w:ascii="Aptos" w:hAnsi="Aptos"/>
          <w:sz w:val="24"/>
        </w:rPr>
        <w:t>“</w:t>
      </w:r>
      <w:r>
        <w:rPr>
          <w:rFonts w:ascii="Times New Roman;Times;serif" w:hAnsi="Times New Roman;Times;serif"/>
          <w:b/>
          <w:sz w:val="24"/>
        </w:rPr>
        <w:t>Cause</w:t>
      </w:r>
      <w:r>
        <w:rPr>
          <w:rFonts w:ascii="Aptos" w:hAnsi="Aptos"/>
          <w:sz w:val="24"/>
        </w:rPr>
        <w:t xml:space="preserve">” </w:t>
      </w:r>
      <w:r>
        <w:rPr>
          <w:rFonts w:ascii="Times New Roman;Times;serif" w:hAnsi="Times New Roman;Times;serif"/>
          <w:sz w:val="24"/>
        </w:rPr>
        <w:t xml:space="preserve">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60 days after written notice given to you by NextCure except in the case of your physical or mental illness; (ii) disloyalty, gross negligence, willful misconduct, or dishonesty that materially injures NextCure or breach of fiduciary duty to NextCure; (iii) the conviction of (x) a felony or (y) a misdemeanor involving moral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2160"/>
        <w:jc w:val="both"/>
        <w:rPr>
          <w:rFonts w:ascii="Aptos" w:hAnsi="Aptos"/>
          <w:sz w:val="24"/>
        </w:rPr>
      </w:pPr>
      <w:r>
        <w:rPr>
          <w:rFonts w:ascii="Times New Roman;Times;serif" w:hAnsi="Times New Roman;Times;serif"/>
          <w:sz w:val="24"/>
        </w:rPr>
        <w:t>turpitude, or fraud;</w:t>
      </w:r>
      <w:r>
        <w:rPr>
          <w:rFonts w:ascii="Aptos" w:hAnsi="Aptos"/>
          <w:sz w:val="24"/>
        </w:rPr>
        <w:t xml:space="preserve"> </w:t>
      </w:r>
      <w:r>
        <w:rPr>
          <w:rFonts w:ascii="Times New Roman;Times;serif" w:hAnsi="Times New Roman;Times;serif"/>
          <w:sz w:val="24"/>
        </w:rPr>
        <w:t xml:space="preserve">(iv) the commission of an act of embezzlement or fraud; or (v) the material breach of any agreement between NextCure and you. </w:t>
      </w:r>
    </w:p>
    <w:p>
      <w:pPr>
        <w:pStyle w:val="TextBody"/>
        <w:bidi w:val="0"/>
        <w:spacing w:lineRule="auto" w:line="285"/>
        <w:ind w:left="0" w:right="540" w:hanging="0"/>
        <w:jc w:val="both"/>
        <w:rPr>
          <w:rFonts w:ascii="Aptos" w:hAnsi="Aptos"/>
          <w:sz w:val="24"/>
        </w:rPr>
      </w:pPr>
      <w:r>
        <w:rPr>
          <w:rFonts w:ascii="Times New Roman;Times;serif" w:hAnsi="Times New Roman;Times;serif"/>
          <w:sz w:val="24"/>
        </w:rPr>
        <w:t>iii.</w:t>
      </w:r>
      <w:r>
        <w:rPr>
          <w:rFonts w:ascii="Aptos" w:hAnsi="Aptos"/>
          <w:sz w:val="24"/>
        </w:rPr>
        <w:t>“</w:t>
      </w:r>
      <w:r>
        <w:rPr>
          <w:rFonts w:ascii="Times New Roman;Times;serif" w:hAnsi="Times New Roman;Times;serif"/>
          <w:b/>
          <w:sz w:val="24"/>
        </w:rPr>
        <w:t>Good Reason</w:t>
      </w:r>
      <w:r>
        <w:rPr>
          <w:rFonts w:ascii="Aptos" w:hAnsi="Aptos"/>
          <w:sz w:val="24"/>
        </w:rPr>
        <w:t xml:space="preserve">” </w:t>
      </w:r>
      <w:r>
        <w:rPr>
          <w:rFonts w:ascii="Times New Roman;Times;serif" w:hAnsi="Times New Roman;Times;serif"/>
          <w:sz w:val="24"/>
        </w:rPr>
        <w:t>means, without your express written consent, (i) any reduction in your annual base salary other than a reduction which is proportional to general reductions affecting other senior executive officers of NextCure generally, (ii) any material reduction in your title or scope of responsibilities without your consent (other than your removal from the Board); or (iii) a requirement that the location of the office in which you perform your principal duties for NextCure be changed to a new location that is outside a radius of 50 miles from the Company’s corporate headquarters in Beltsville, Maryland.</w:t>
      </w:r>
    </w:p>
    <w:p>
      <w:pPr>
        <w:pStyle w:val="TextBody"/>
        <w:bidi w:val="0"/>
        <w:spacing w:lineRule="auto" w:line="331" w:before="0" w:after="160"/>
        <w:ind w:left="4500" w:right="0" w:hanging="0"/>
        <w:jc w:val="both"/>
        <w:rPr/>
      </w:pPr>
      <w:r>
        <w:rPr/>
        <w:t>​</w:t>
      </w:r>
    </w:p>
    <w:tbl>
      <w:tblPr>
        <w:tblW w:w="3505" w:type="dxa"/>
        <w:jc w:val="left"/>
        <w:tblInd w:w="0" w:type="dxa"/>
        <w:tblLayout w:type="fixed"/>
        <w:tblCellMar>
          <w:top w:w="0" w:type="dxa"/>
          <w:left w:w="0" w:type="dxa"/>
          <w:bottom w:w="0" w:type="dxa"/>
          <w:right w:w="0" w:type="dxa"/>
        </w:tblCellMar>
      </w:tblPr>
      <w:tblGrid>
        <w:gridCol w:w="23"/>
        <w:gridCol w:w="200"/>
        <w:gridCol w:w="32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3282" w:type="dxa"/>
            <w:tcBorders/>
            <w:vAlign w:val="center"/>
          </w:tcPr>
          <w:p>
            <w:pPr>
              <w:pStyle w:val="TableContents"/>
              <w:bidi w:val="0"/>
              <w:spacing w:before="0" w:after="283"/>
              <w:jc w:val="left"/>
              <w:rPr/>
            </w:pPr>
            <w:r>
              <w:rPr>
                <w:rFonts w:ascii="Times New Roman;Times;serif" w:hAnsi="Times New Roman;Times;serif"/>
                <w:b w:val="false"/>
                <w:i/>
                <w:spacing w:val="-1"/>
                <w:sz w:val="24"/>
              </w:rPr>
              <w:t>Severance Benefits and Payment</w:t>
            </w:r>
            <w:r>
              <w:rPr>
                <w:rFonts w:ascii="Times New Roman;Times;serif" w:hAnsi="Times New Roman;Times;serif"/>
                <w:b w:val="false"/>
                <w:i w:val="false"/>
                <w:caps w:val="false"/>
                <w:smallCaps w:val="false"/>
                <w:spacing w:val="4"/>
                <w:sz w:val="24"/>
              </w:rPr>
              <w:t>.  </w:t>
            </w:r>
          </w:p>
        </w:tc>
      </w:tr>
    </w:tbl>
    <w:p>
      <w:pPr>
        <w:pStyle w:val="TextBody"/>
        <w:bidi w:val="0"/>
        <w:spacing w:lineRule="auto" w:line="285" w:before="0" w:after="0"/>
        <w:ind w:left="0" w:right="540" w:hanging="0"/>
        <w:jc w:val="both"/>
        <w:rPr>
          <w:rFonts w:ascii="Aptos" w:hAnsi="Aptos"/>
          <w:sz w:val="24"/>
        </w:rPr>
      </w:pPr>
      <w:r>
        <w:rPr>
          <w:rFonts w:ascii="Times New Roman;Times;serif" w:hAnsi="Times New Roman;Times;serif"/>
          <w:sz w:val="24"/>
        </w:rPr>
        <w:t>i.</w:t>
      </w:r>
      <w:r>
        <w:rPr>
          <w:rFonts w:ascii="Times New Roman;Times;serif" w:hAnsi="Times New Roman;Times;serif"/>
          <w:i/>
          <w:spacing w:val="-1"/>
          <w:sz w:val="24"/>
        </w:rPr>
        <w:t>Generally</w:t>
      </w:r>
      <w:r>
        <w:rPr>
          <w:rFonts w:ascii="Times New Roman;Times;serif" w:hAnsi="Times New Roman;Times;serif"/>
          <w:spacing w:val="4"/>
          <w:sz w:val="24"/>
        </w:rPr>
        <w:t xml:space="preserve">.  If your employment with NextCure is terminated by NextCure for any reason other than Cause or by you for Good Reason, NextCure will pay you (1) the Accrued Benefits; (2) subject to your compliance with </w:t>
      </w:r>
      <w:r>
        <w:rPr>
          <w:rFonts w:ascii="Times New Roman;Times;serif" w:hAnsi="Times New Roman;Times;serif"/>
          <w:spacing w:val="4"/>
          <w:sz w:val="24"/>
          <w:u w:val="single"/>
        </w:rPr>
        <w:t>Section 4(c)</w:t>
      </w:r>
      <w:r>
        <w:rPr>
          <w:rFonts w:ascii="Aptos" w:hAnsi="Aptos"/>
          <w:spacing w:val="4"/>
          <w:sz w:val="24"/>
        </w:rPr>
        <w:t xml:space="preserve"> </w:t>
      </w:r>
      <w:r>
        <w:rPr>
          <w:rFonts w:ascii="Times New Roman;Times;serif" w:hAnsi="Times New Roman;Times;serif"/>
          <w:spacing w:val="4"/>
          <w:sz w:val="24"/>
        </w:rPr>
        <w:t xml:space="preserve">below, after the execution and delivery of the Separation Agreement and General Release in the form attached hereto as </w:t>
      </w:r>
      <w:r>
        <w:rPr>
          <w:rFonts w:ascii="Times New Roman;Times;serif" w:hAnsi="Times New Roman;Times;serif"/>
          <w:spacing w:val="4"/>
          <w:sz w:val="24"/>
          <w:u w:val="single"/>
        </w:rPr>
        <w:t>Appendix B</w:t>
      </w:r>
      <w:r>
        <w:rPr>
          <w:rFonts w:ascii="Aptos" w:hAnsi="Aptos"/>
          <w:spacing w:val="4"/>
          <w:sz w:val="24"/>
        </w:rPr>
        <w:t xml:space="preserve"> </w:t>
      </w:r>
      <w:r>
        <w:rPr>
          <w:rFonts w:ascii="Times New Roman;Times;serif" w:hAnsi="Times New Roman;Times;serif"/>
          <w:spacing w:val="4"/>
          <w:sz w:val="24"/>
        </w:rPr>
        <w:t>(the “</w:t>
      </w:r>
      <w:r>
        <w:rPr>
          <w:rFonts w:ascii="Times New Roman;Times;serif" w:hAnsi="Times New Roman;Times;serif"/>
          <w:b/>
          <w:spacing w:val="4"/>
          <w:sz w:val="24"/>
        </w:rPr>
        <w:t>Separation Agreement and General Release</w:t>
      </w:r>
      <w:r>
        <w:rPr>
          <w:rFonts w:ascii="Aptos" w:hAnsi="Aptos"/>
          <w:spacing w:val="4"/>
          <w:sz w:val="24"/>
        </w:rPr>
        <w:t>”</w:t>
      </w:r>
      <w:r>
        <w:rPr>
          <w:rFonts w:ascii="Times New Roman;Times;serif" w:hAnsi="Times New Roman;Times;serif"/>
          <w:spacing w:val="4"/>
          <w:sz w:val="24"/>
        </w:rPr>
        <w:t xml:space="preserve">) and the expiration of any revocation period without the release being revoked, 9 </w:t>
      </w:r>
      <w:r>
        <w:rPr>
          <w:rFonts w:ascii="Times New Roman;Times;serif" w:hAnsi="Times New Roman;Times;serif"/>
          <w:sz w:val="24"/>
        </w:rPr>
        <w:t>months’</w:t>
      </w:r>
      <w:r>
        <w:rPr>
          <w:rFonts w:ascii="Aptos" w:hAnsi="Aptos"/>
          <w:spacing w:val="4"/>
          <w:sz w:val="24"/>
        </w:rPr>
        <w:t xml:space="preserve"> </w:t>
      </w:r>
      <w:r>
        <w:rPr>
          <w:rFonts w:ascii="Times New Roman;Times;serif" w:hAnsi="Times New Roman;Times;serif"/>
          <w:spacing w:val="4"/>
          <w:sz w:val="24"/>
        </w:rPr>
        <w:t>base salary, less standard deductions, payable in a single lump sum on the 60</w:t>
      </w:r>
      <w:r>
        <w:rPr>
          <w:rFonts w:ascii="Times New Roman;Times;serif" w:hAnsi="Times New Roman;Times;serif"/>
          <w:spacing w:val="4"/>
          <w:sz w:val="18"/>
        </w:rPr>
        <w:t>th</w:t>
      </w:r>
      <w:r>
        <w:rPr>
          <w:rFonts w:ascii="Aptos" w:hAnsi="Aptos"/>
          <w:spacing w:val="4"/>
          <w:sz w:val="24"/>
        </w:rPr>
        <w:t xml:space="preserve"> </w:t>
      </w:r>
      <w:r>
        <w:rPr>
          <w:rFonts w:ascii="Times New Roman;Times;serif" w:hAnsi="Times New Roman;Times;serif"/>
          <w:spacing w:val="4"/>
          <w:sz w:val="24"/>
        </w:rPr>
        <w:t>day following the termination of your employment; and (3)</w:t>
      </w:r>
      <w:r>
        <w:rPr>
          <w:rFonts w:ascii="Aptos" w:hAnsi="Aptos"/>
          <w:sz w:val="24"/>
        </w:rPr>
        <w:t xml:space="preserve"> </w:t>
      </w:r>
      <w:r>
        <w:rPr>
          <w:rFonts w:ascii="Times New Roman;Times;serif" w:hAnsi="Times New Roman;Times;serif"/>
          <w:sz w:val="24"/>
        </w:rPr>
        <w:t>if you elect to continue your health insurance coverage pursuant to your rights under the Consolidated Omnibus Budget Reconciliation Act of 1985, as amended (“</w:t>
      </w:r>
      <w:r>
        <w:rPr>
          <w:rFonts w:ascii="Times New Roman;Times;serif" w:hAnsi="Times New Roman;Times;serif"/>
          <w:b/>
          <w:sz w:val="24"/>
        </w:rPr>
        <w:t>COBRA</w:t>
      </w:r>
      <w:r>
        <w:rPr>
          <w:rFonts w:ascii="Aptos" w:hAnsi="Aptos"/>
          <w:sz w:val="24"/>
        </w:rPr>
        <w:t>”</w:t>
      </w:r>
      <w:r>
        <w:rPr>
          <w:rFonts w:ascii="Times New Roman;Times;serif" w:hAnsi="Times New Roman;Times;serif"/>
          <w:sz w:val="24"/>
        </w:rPr>
        <w:t>), following the termination of your employment, your monthly premium under COBRA on a monthly basis until the earlier of (x) 9 months following the effective termination date, or (y) the date upon which you commence full-time employment (or employment that provides you with eligibility for healthcare benefits substantially comparable to those provided by NextCure).  A termination of your employment by NextCure due to physical or mental illness which is not a Disability (as defined herein) shall be treated as an involuntary termination other than for Cause.  The term “</w:t>
      </w:r>
      <w:r>
        <w:rPr>
          <w:rFonts w:ascii="Times New Roman;Times;serif" w:hAnsi="Times New Roman;Times;serif"/>
          <w:b/>
          <w:i/>
          <w:sz w:val="24"/>
        </w:rPr>
        <w:t>Disability</w:t>
      </w:r>
      <w:r>
        <w:rPr>
          <w:rFonts w:ascii="Aptos" w:hAnsi="Aptos"/>
          <w:sz w:val="24"/>
        </w:rPr>
        <w:t xml:space="preserve">” </w:t>
      </w:r>
      <w:r>
        <w:rPr>
          <w:rFonts w:ascii="Times New Roman;Times;serif" w:hAnsi="Times New Roman;Times;serif"/>
          <w:sz w:val="24"/>
        </w:rPr>
        <w:t>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pStyle w:val="TextBody"/>
        <w:bidi w:val="0"/>
        <w:spacing w:lineRule="auto" w:line="285" w:before="0" w:after="0"/>
        <w:ind w:left="0" w:right="540" w:hanging="0"/>
        <w:jc w:val="both"/>
        <w:rPr>
          <w:rFonts w:ascii="Aptos" w:hAnsi="Aptos"/>
          <w:sz w:val="24"/>
        </w:rPr>
      </w:pPr>
      <w:r>
        <w:rPr>
          <w:rFonts w:ascii="Times New Roman;Times;serif" w:hAnsi="Times New Roman;Times;serif"/>
          <w:sz w:val="24"/>
        </w:rPr>
        <w:t>ii.</w:t>
      </w:r>
      <w:r>
        <w:rPr>
          <w:rFonts w:ascii="Times New Roman;Times;serif" w:hAnsi="Times New Roman;Times;serif"/>
          <w:i/>
          <w:spacing w:val="-1"/>
          <w:sz w:val="24"/>
        </w:rPr>
        <w:t>In connection with the Change in Control Period</w:t>
      </w:r>
      <w:r>
        <w:rPr>
          <w:rFonts w:ascii="Times New Roman;Times;serif" w:hAnsi="Times New Roman;Times;serif"/>
          <w:i/>
          <w:spacing w:val="4"/>
          <w:sz w:val="24"/>
        </w:rPr>
        <w:t>.</w:t>
      </w:r>
      <w:r>
        <w:rPr>
          <w:rFonts w:ascii="Aptos" w:hAnsi="Aptos"/>
          <w:sz w:val="24"/>
        </w:rPr>
        <w:t xml:space="preserve">  </w:t>
      </w:r>
      <w:r>
        <w:rPr>
          <w:rFonts w:ascii="Times New Roman;Times;serif" w:hAnsi="Times New Roman;Times;serif"/>
          <w:spacing w:val="4"/>
          <w:sz w:val="24"/>
        </w:rPr>
        <w:t xml:space="preserve">If your employment with NextCure is terminated by NextCure for any reason other than Cause or by you for Good Reason during the Change in Control Period, NextCure will pay you (1) the Accrued Benefits; (2) subject to your compliance with </w:t>
      </w:r>
      <w:r>
        <w:rPr>
          <w:rFonts w:ascii="Times New Roman;Times;serif" w:hAnsi="Times New Roman;Times;serif"/>
          <w:spacing w:val="4"/>
          <w:sz w:val="24"/>
          <w:u w:val="single"/>
        </w:rPr>
        <w:t>Section 4(c)</w:t>
      </w:r>
      <w:r>
        <w:rPr>
          <w:rFonts w:ascii="Aptos" w:hAnsi="Aptos"/>
          <w:spacing w:val="4"/>
          <w:sz w:val="24"/>
        </w:rPr>
        <w:t xml:space="preserve"> </w:t>
      </w:r>
      <w:r>
        <w:rPr>
          <w:rFonts w:ascii="Times New Roman;Times;serif" w:hAnsi="Times New Roman;Times;serif"/>
          <w:spacing w:val="4"/>
          <w:sz w:val="24"/>
        </w:rPr>
        <w:t xml:space="preserve">below, after the execution and delivery of the Separation Agreement and General Release and the expiration of any revocation period without the release being revoked, 12 </w:t>
      </w:r>
      <w:r>
        <w:rPr>
          <w:rFonts w:ascii="Times New Roman;Times;serif" w:hAnsi="Times New Roman;Times;serif"/>
          <w:sz w:val="24"/>
        </w:rPr>
        <w:t>months’</w:t>
      </w:r>
      <w:r>
        <w:rPr>
          <w:rFonts w:ascii="Aptos" w:hAnsi="Aptos"/>
          <w:spacing w:val="4"/>
          <w:sz w:val="24"/>
        </w:rPr>
        <w:t xml:space="preserve"> </w:t>
      </w:r>
      <w:r>
        <w:rPr>
          <w:rFonts w:ascii="Times New Roman;Times;serif" w:hAnsi="Times New Roman;Times;serif"/>
          <w:spacing w:val="4"/>
          <w:sz w:val="24"/>
        </w:rPr>
        <w:t>base salary plus your annual target bonus, less standard deductions, payable in a single lump sum on the 60</w:t>
      </w:r>
      <w:r>
        <w:rPr>
          <w:rFonts w:ascii="Times New Roman;Times;serif" w:hAnsi="Times New Roman;Times;serif"/>
          <w:spacing w:val="4"/>
          <w:sz w:val="18"/>
        </w:rPr>
        <w:t>th</w:t>
      </w:r>
      <w:r>
        <w:rPr>
          <w:rFonts w:ascii="Aptos" w:hAnsi="Aptos"/>
          <w:spacing w:val="4"/>
          <w:sz w:val="24"/>
        </w:rPr>
        <w:t xml:space="preserve"> </w:t>
      </w:r>
      <w:r>
        <w:rPr>
          <w:rFonts w:ascii="Times New Roman;Times;serif" w:hAnsi="Times New Roman;Times;serif"/>
          <w:spacing w:val="4"/>
          <w:sz w:val="24"/>
        </w:rPr>
        <w:t xml:space="preserve">day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2340"/>
        <w:jc w:val="both"/>
        <w:rPr>
          <w:rFonts w:ascii="Aptos" w:hAnsi="Aptos"/>
          <w:sz w:val="24"/>
        </w:rPr>
      </w:pPr>
      <w:r>
        <w:rPr>
          <w:rFonts w:ascii="Times New Roman;Times;serif" w:hAnsi="Times New Roman;Times;serif"/>
          <w:spacing w:val="4"/>
          <w:sz w:val="24"/>
        </w:rPr>
        <w:t>following the termination of your employment; and (3)</w:t>
      </w:r>
      <w:r>
        <w:rPr>
          <w:rFonts w:ascii="Aptos" w:hAnsi="Aptos"/>
          <w:sz w:val="24"/>
        </w:rPr>
        <w:t xml:space="preserve"> </w:t>
      </w:r>
      <w:r>
        <w:rPr>
          <w:rFonts w:ascii="Times New Roman;Times;serif" w:hAnsi="Times New Roman;Times;serif"/>
          <w:sz w:val="24"/>
        </w:rPr>
        <w:t xml:space="preserve">if you elect to continue your health insurance coverage pursuant to your rights under COBRA following the termination of your </w:t>
      </w:r>
      <w:r>
        <w:rPr>
          <w:rFonts w:ascii="Times New Roman;Times;serif" w:hAnsi="Times New Roman;Times;serif"/>
          <w:sz w:val="24"/>
          <w:u w:val="single"/>
        </w:rPr>
        <w:t>employment</w:t>
      </w:r>
      <w:r>
        <w:rPr>
          <w:rFonts w:ascii="Times New Roman;Times;serif" w:hAnsi="Times New Roman;Times;serif"/>
          <w:sz w:val="24"/>
        </w:rPr>
        <w:t>, your monthly premium under COBRA on a monthly basis until the earlier of (x) 12 months following the effective termination date, or (y) the date upon which you commence full-time employment (or employment that provides you with eligibility for healthcare benefits substantially comparable to those provided by NextCure).  A termination of your employment by NextCure due to physical or mental illness which is not a Disability shall be treated as an involuntary termination other than for Cause.</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c.</w:t>
      </w:r>
      <w:r>
        <w:rPr>
          <w:rFonts w:ascii="Times New Roman;Times;serif" w:hAnsi="Times New Roman;Times;serif"/>
          <w:i/>
          <w:spacing w:val="-1"/>
          <w:sz w:val="24"/>
        </w:rPr>
        <w:t>Eligibility for Severance</w:t>
      </w:r>
      <w:r>
        <w:rPr>
          <w:rFonts w:ascii="Times New Roman;Times;serif" w:hAnsi="Times New Roman;Times;serif"/>
          <w:spacing w:val="4"/>
          <w:sz w:val="24"/>
        </w:rPr>
        <w:t>.  </w:t>
      </w:r>
      <w:r>
        <w:rPr>
          <w:rFonts w:ascii="Times New Roman;Times;serif" w:hAnsi="Times New Roman;Times;serif"/>
          <w:sz w:val="24"/>
        </w:rPr>
        <w:t xml:space="preserve">Eligibility for receipt of the items in </w:t>
      </w:r>
      <w:r>
        <w:rPr>
          <w:rFonts w:ascii="Times New Roman;Times;serif" w:hAnsi="Times New Roman;Times;serif"/>
          <w:sz w:val="24"/>
          <w:u w:val="single"/>
        </w:rPr>
        <w:t>Section 4(b)(ii)</w:t>
      </w:r>
      <w:r>
        <w:rPr>
          <w:rFonts w:ascii="Aptos" w:hAnsi="Aptos"/>
          <w:sz w:val="24"/>
        </w:rPr>
        <w:t xml:space="preserve"> </w:t>
      </w:r>
      <w:r>
        <w:rPr>
          <w:rFonts w:ascii="Times New Roman;Times;serif" w:hAnsi="Times New Roman;Times;serif"/>
          <w:sz w:val="24"/>
        </w:rPr>
        <w:t>above shall be conditioned on your (i) returning to NextCure promptly upon termination of your employment all of its property, including confidential information and all electronically stored information, and (ii) signing and not revoking the Separation Agreement and General Release.</w:t>
      </w:r>
    </w:p>
    <w:p>
      <w:pPr>
        <w:pStyle w:val="TextBody"/>
        <w:bidi w:val="0"/>
        <w:spacing w:lineRule="auto" w:line="285" w:before="0" w:after="0"/>
        <w:ind w:left="1440" w:right="0" w:hanging="0"/>
        <w:jc w:val="both"/>
        <w:rPr>
          <w:rFonts w:ascii="Aptos" w:hAnsi="Aptos"/>
          <w:sz w:val="24"/>
        </w:rPr>
      </w:pPr>
      <w:r>
        <w:rPr>
          <w:rFonts w:ascii="Times New Roman;Times;serif" w:hAnsi="Times New Roman;Times;serif"/>
          <w:sz w:val="24"/>
        </w:rPr>
        <w:t>d.</w:t>
      </w:r>
      <w:r>
        <w:rPr>
          <w:rFonts w:ascii="Times New Roman;Times;serif" w:hAnsi="Times New Roman;Times;serif"/>
          <w:i/>
          <w:sz w:val="24"/>
        </w:rPr>
        <w:t>Accrued Benefits</w:t>
      </w:r>
      <w:r>
        <w:rPr>
          <w:rFonts w:ascii="Times New Roman;Times;serif" w:hAnsi="Times New Roman;Times;serif"/>
          <w:sz w:val="24"/>
        </w:rPr>
        <w:t>.  The Accrued Benefits shall be paid to you (or your estate in the event of your death) upon termination of employment regardless of the circumstances giving rise to such termination.  </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5.</w:t>
      </w:r>
      <w:r>
        <w:rPr>
          <w:rFonts w:ascii="Times New Roman;Times;serif" w:hAnsi="Times New Roman;Times;serif"/>
          <w:sz w:val="24"/>
          <w:u w:val="single"/>
        </w:rPr>
        <w:t>At Will Employment</w:t>
      </w:r>
      <w:r>
        <w:rPr>
          <w:rFonts w:ascii="Times New Roman;Times;serif" w:hAnsi="Times New Roman;Times;serif"/>
          <w:sz w:val="24"/>
        </w:rPr>
        <w:t xml:space="preserve">.  Your employment with NextCure is at will, meaning it may be terminated by you or NextCure at any time, subject to </w:t>
      </w:r>
      <w:r>
        <w:rPr>
          <w:rFonts w:ascii="Times New Roman;Times;serif" w:hAnsi="Times New Roman;Times;serif"/>
          <w:sz w:val="24"/>
          <w:u w:val="single"/>
        </w:rPr>
        <w:t>Section 4</w:t>
      </w:r>
      <w:r>
        <w:rPr>
          <w:rFonts w:ascii="Aptos" w:hAnsi="Aptos"/>
          <w:sz w:val="24"/>
        </w:rPr>
        <w:t xml:space="preserve"> </w:t>
      </w:r>
      <w:r>
        <w:rPr>
          <w:rFonts w:ascii="Times New Roman;Times;serif" w:hAnsi="Times New Roman;Times;serif"/>
          <w:sz w:val="24"/>
        </w:rPr>
        <w:t>above, for any reason with or without Cause. You understand that this Agreement is not a contract for employment for a definite term.  </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6.</w:t>
      </w:r>
      <w:r>
        <w:rPr>
          <w:rFonts w:ascii="Times New Roman;Times;serif" w:hAnsi="Times New Roman;Times;serif"/>
          <w:sz w:val="24"/>
          <w:u w:val="single"/>
        </w:rPr>
        <w:t>Confidentiality and Proprietary Rights Agreement</w:t>
      </w:r>
      <w:r>
        <w:rPr>
          <w:rFonts w:ascii="Times New Roman;Times;serif" w:hAnsi="Times New Roman;Times;serif"/>
          <w:sz w:val="24"/>
        </w:rPr>
        <w:t xml:space="preserve">.  This offer of employment is subject to the Confidentiality and Proprietary Rights Agreement attached as </w:t>
      </w:r>
      <w:r>
        <w:rPr>
          <w:rFonts w:ascii="Times New Roman;Times;serif" w:hAnsi="Times New Roman;Times;serif"/>
          <w:sz w:val="24"/>
          <w:u w:val="single"/>
        </w:rPr>
        <w:t>Appendix C</w:t>
      </w:r>
      <w:r>
        <w:rPr>
          <w:rFonts w:ascii="Times New Roman;Times;serif" w:hAnsi="Times New Roman;Times;serif"/>
          <w:sz w:val="24"/>
        </w:rPr>
        <w:t>, which shall be effective as of the date set forth therein.</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7.</w:t>
      </w:r>
      <w:r>
        <w:rPr>
          <w:rFonts w:ascii="Times New Roman;Times;serif" w:hAnsi="Times New Roman;Times;serif"/>
          <w:sz w:val="24"/>
          <w:u w:val="single"/>
        </w:rPr>
        <w:t>No Inconsistent Obligations</w:t>
      </w:r>
      <w:r>
        <w:rPr>
          <w:rFonts w:ascii="Times New Roman;Times;serif" w:hAnsi="Times New Roman;Times;serif"/>
          <w:sz w:val="24"/>
        </w:rPr>
        <w:t>.  By accepting this offer of employment, you represent and warrant to NextCure that you are under no obligations or commitments, whether contractual or otherwise, that are inconsistent with your obligations set forth in this Agreement or that would be violated by your employment by NextCure.  You agree that you will not take any action on behalf of NextCure or cause NextCure to take any action that will violate any agreement that you have with a prior employer.</w:t>
      </w:r>
    </w:p>
    <w:p>
      <w:pPr>
        <w:pStyle w:val="TextBody"/>
        <w:bidi w:val="0"/>
        <w:spacing w:lineRule="auto" w:line="285" w:before="0" w:after="0"/>
        <w:ind w:left="720" w:right="0" w:hanging="0"/>
        <w:jc w:val="both"/>
        <w:rPr>
          <w:rFonts w:ascii="Aptos" w:hAnsi="Aptos"/>
          <w:sz w:val="24"/>
        </w:rPr>
      </w:pPr>
      <w:r>
        <w:rPr>
          <w:rFonts w:ascii="Times New Roman;Times;serif" w:hAnsi="Times New Roman;Times;serif"/>
          <w:sz w:val="24"/>
        </w:rPr>
        <w:t>8.</w:t>
      </w:r>
      <w:r>
        <w:rPr>
          <w:rFonts w:ascii="Times New Roman;Times;serif" w:hAnsi="Times New Roman;Times;serif"/>
          <w:sz w:val="24"/>
          <w:u w:val="single"/>
        </w:rPr>
        <w:t>Delayed Commencement Date for Payments and Benefits</w:t>
      </w:r>
      <w:r>
        <w:rPr>
          <w:rFonts w:ascii="Times New Roman;Times;serif" w:hAnsi="Times New Roman;Times;serif"/>
          <w:sz w:val="24"/>
        </w:rPr>
        <w:t xml:space="preserve">. </w:t>
      </w:r>
    </w:p>
    <w:p>
      <w:pPr>
        <w:pStyle w:val="TextBody"/>
        <w:bidi w:val="0"/>
        <w:spacing w:lineRule="atLeast" w:line="275" w:before="0" w:after="0"/>
        <w:ind w:left="720" w:right="0" w:hanging="0"/>
        <w:jc w:val="both"/>
        <w:rPr>
          <w:rFonts w:ascii="Aptos" w:hAnsi="Aptos"/>
          <w:sz w:val="24"/>
        </w:rPr>
      </w:pPr>
      <w:r>
        <w:rPr>
          <w:rFonts w:ascii="Times New Roman;Times;serif" w:hAnsi="Times New Roman;Times;serif"/>
          <w:sz w:val="23"/>
        </w:rPr>
        <w:t>a.</w:t>
      </w:r>
      <w:r>
        <w:rPr>
          <w:rFonts w:ascii="Times New Roman;Times;serif" w:hAnsi="Times New Roman;Times;serif"/>
          <w:sz w:val="24"/>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Times;serif" w:hAnsi="Times New Roman;Times;serif"/>
          <w:b/>
          <w:sz w:val="24"/>
        </w:rPr>
        <w:t>Code Section 409A</w:t>
      </w:r>
      <w:r>
        <w:rPr>
          <w:rFonts w:ascii="Aptos" w:hAnsi="Aptos"/>
          <w:sz w:val="24"/>
        </w:rPr>
        <w:t>”</w:t>
      </w:r>
      <w:r>
        <w:rPr>
          <w:rFonts w:ascii="Times New Roman;Times;serif" w:hAnsi="Times New Roman;Times;serif"/>
          <w:sz w:val="24"/>
        </w:rPr>
        <w:t xml:space="preserve">) and, accordingly, to the maximum extent permitted, this Agreement shall be interpreted to be in compliance therewith or exempt therefrom.  If you notify NextCure (with specificity as to the reason therefor) that you believe that any provision of this Agreement (or of any award of compensation, including equity compensation or benefits) would cause you to incur any additional tax or interest under Code Section 409A and NextCure concurs with such belief or NextCure independently makes such determination, NextCure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w:t>
      </w:r>
    </w:p>
    <w:p>
      <w:pPr>
        <w:pStyle w:val="HorizontalLine"/>
        <w:pBdr>
          <w:bottom w:val="double" w:sz="2" w:space="0" w:color="808080"/>
        </w:pBdr>
        <w:bidi w:val="0"/>
        <w:spacing w:before="0" w:after="283"/>
        <w:jc w:val="left"/>
        <w:rPr/>
      </w:pPr>
      <w:r>
        <w:rPr/>
      </w:r>
    </w:p>
    <w:p>
      <w:pPr>
        <w:pStyle w:val="TextBody"/>
        <w:bidi w:val="0"/>
        <w:spacing w:lineRule="atLeast" w:line="275" w:before="0" w:after="0"/>
        <w:ind w:left="720" w:right="0" w:hanging="0"/>
        <w:jc w:val="both"/>
        <w:rPr>
          <w:rFonts w:ascii="Times New Roman;Times;serif" w:hAnsi="Times New Roman;Times;serif"/>
          <w:sz w:val="24"/>
        </w:rPr>
      </w:pPr>
      <w:r>
        <w:rPr>
          <w:rFonts w:ascii="Times New Roman;Times;serif" w:hAnsi="Times New Roman;Times;serif"/>
          <w:sz w:val="24"/>
        </w:rPr>
        <w:t>intent and economic benefit to you and NextCure of the applicable provision without violating the provisions of Code Section 409A.</w:t>
      </w:r>
    </w:p>
    <w:p>
      <w:pPr>
        <w:pStyle w:val="TextBody"/>
        <w:bidi w:val="0"/>
        <w:spacing w:lineRule="atLeast" w:line="276" w:before="0" w:after="0"/>
        <w:ind w:left="720" w:right="0" w:hanging="0"/>
        <w:jc w:val="both"/>
        <w:rPr>
          <w:rFonts w:ascii="Aptos" w:hAnsi="Aptos"/>
          <w:sz w:val="24"/>
        </w:rPr>
      </w:pPr>
      <w:r>
        <w:rPr>
          <w:rFonts w:ascii="Times New Roman;Times;serif" w:hAnsi="Times New Roman;Times;serif"/>
          <w:sz w:val="23"/>
        </w:rPr>
        <w:t>2.</w:t>
      </w:r>
      <w:r>
        <w:rPr>
          <w:rFonts w:ascii="Times New Roman;Times;serif" w:hAnsi="Times New Roman;Times;serif"/>
          <w:sz w:val="24"/>
        </w:rPr>
        <w:t xml:space="preserve">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NextCure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Times New Roman;Times;serif" w:hAnsi="Times New Roman;Times;serif"/>
          <w:sz w:val="24"/>
          <w:u w:val="single"/>
        </w:rPr>
        <w:t>Section 8(b)</w:t>
      </w:r>
      <w:r>
        <w:rPr>
          <w:rFonts w:ascii="Aptos" w:hAnsi="Aptos"/>
          <w:sz w:val="24"/>
        </w:rPr>
        <w:t xml:space="preserve"> </w:t>
      </w:r>
      <w:r>
        <w:rPr>
          <w:rFonts w:ascii="Times New Roman;Times;serif" w:hAnsi="Times New Roman;Times;serif"/>
          <w:sz w:val="24"/>
        </w:rPr>
        <w:t>(whether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w:t>
      </w:r>
    </w:p>
    <w:p>
      <w:pPr>
        <w:pStyle w:val="TextBody"/>
        <w:bidi w:val="0"/>
        <w:spacing w:lineRule="atLeast" w:line="276" w:before="0" w:after="240"/>
        <w:ind w:left="0" w:right="0" w:hanging="0"/>
        <w:jc w:val="both"/>
        <w:rPr>
          <w:rFonts w:ascii="Aptos" w:hAnsi="Aptos"/>
          <w:sz w:val="24"/>
        </w:rPr>
      </w:pPr>
      <w:r>
        <w:rPr>
          <w:rFonts w:ascii="Times New Roman;Times;serif" w:hAnsi="Times New Roman;Times;serif"/>
          <w:sz w:val="23"/>
        </w:rPr>
        <w:t>c.</w:t>
      </w:r>
      <w:r>
        <w:rPr>
          <w:rFonts w:ascii="Times New Roman;Times;serif" w:hAnsi="Times New Roman;Times;serif"/>
          <w:sz w:val="24"/>
        </w:rPr>
        <w:t>For purposes of Code Section 409A, your right to receive any installment</w:t>
        <w:br/>
        <w:t>payment pursuant to this Agreement shall be treated as a right to receive a series of separate and distinct payments.  Whenever a payment under this Agreement specifies a payment period with reference to a number of days (</w:t>
      </w:r>
      <w:r>
        <w:rPr>
          <w:rFonts w:ascii="Times New Roman;Times;serif" w:hAnsi="Times New Roman;Times;serif"/>
          <w:i/>
          <w:sz w:val="24"/>
        </w:rPr>
        <w:t>e.g.</w:t>
      </w:r>
      <w:r>
        <w:rPr>
          <w:rFonts w:ascii="Times New Roman;Times;serif" w:hAnsi="Times New Roman;Times;serif"/>
          <w:sz w:val="24"/>
        </w:rPr>
        <w:t>, “payment shall be made within 30 days following the date of termination”), the actual date of payment within the specified period shall be within the sole discretion of NextCure.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pStyle w:val="TextBody"/>
        <w:bidi w:val="0"/>
        <w:spacing w:lineRule="atLeast" w:line="276" w:before="0" w:after="240"/>
        <w:ind w:left="0" w:right="0" w:hanging="0"/>
        <w:jc w:val="both"/>
        <w:rPr>
          <w:rFonts w:ascii="Aptos" w:hAnsi="Aptos"/>
          <w:sz w:val="24"/>
        </w:rPr>
      </w:pPr>
      <w:r>
        <w:rPr>
          <w:rFonts w:ascii="Times New Roman;Times;serif" w:hAnsi="Times New Roman;Times;serif"/>
          <w:sz w:val="23"/>
        </w:rPr>
        <w:t>d.</w:t>
      </w:r>
      <w:r>
        <w:rPr>
          <w:rFonts w:ascii="Times New Roman;Times;serif" w:hAnsi="Times New Roman;Times;serif"/>
          <w:sz w:val="24"/>
        </w:rPr>
        <w:t>All in-kind benefits provided and expenses eligible for reimbursement under this Agreement shall be provided by NextCure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HorizontalLine"/>
        <w:pBdr>
          <w:bottom w:val="double" w:sz="2" w:space="0" w:color="808080"/>
        </w:pBdr>
        <w:bidi w:val="0"/>
        <w:spacing w:before="0" w:after="283"/>
        <w:jc w:val="left"/>
        <w:rPr/>
      </w:pPr>
      <w:r>
        <w:rPr/>
      </w:r>
    </w:p>
    <w:p>
      <w:pPr>
        <w:pStyle w:val="TextBody"/>
        <w:bidi w:val="0"/>
        <w:spacing w:lineRule="atLeast" w:line="276"/>
        <w:ind w:left="0" w:right="0" w:hanging="0"/>
        <w:jc w:val="both"/>
        <w:rPr>
          <w:rFonts w:ascii="Aptos" w:hAnsi="Aptos"/>
          <w:sz w:val="24"/>
        </w:rPr>
      </w:pPr>
      <w:r>
        <w:rPr>
          <w:rFonts w:ascii="Times New Roman;Times;serif" w:hAnsi="Times New Roman;Times;serif"/>
          <w:sz w:val="23"/>
        </w:rPr>
        <w:t>e.</w:t>
      </w:r>
      <w:r>
        <w:rPr>
          <w:rFonts w:ascii="Times New Roman;Times;serif" w:hAnsi="Times New Roman;Times;serif"/>
          <w:sz w:val="24"/>
        </w:rPr>
        <w:t>If under this Agreement an amount is to be paid in installments, each installment shall be treated as a separate payment for purposes of Treasury Regulation Section 1.409A-2(b)(2)(iii).  </w:t>
      </w:r>
    </w:p>
    <w:p>
      <w:pPr>
        <w:pStyle w:val="TextBody"/>
        <w:bidi w:val="0"/>
        <w:spacing w:lineRule="auto" w:line="285" w:before="0" w:after="240"/>
        <w:ind w:left="0" w:right="0" w:hanging="0"/>
        <w:jc w:val="left"/>
        <w:rPr>
          <w:rFonts w:ascii="Aptos" w:hAnsi="Aptos"/>
          <w:sz w:val="24"/>
        </w:rPr>
      </w:pPr>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280G</w:t>
      </w:r>
      <w:r>
        <w:rPr>
          <w:rFonts w:ascii="Times New Roman;Times;serif" w:hAnsi="Times New Roman;Times;serif"/>
          <w:i/>
          <w:spacing w:val="-1"/>
          <w:sz w:val="24"/>
        </w:rPr>
        <w:t>.</w:t>
      </w:r>
      <w:r>
        <w:rPr>
          <w:rFonts w:ascii="Aptos" w:hAnsi="Aptos"/>
          <w:sz w:val="24"/>
        </w:rPr>
        <w:t xml:space="preserve">  </w:t>
      </w:r>
      <w:r>
        <w:rPr>
          <w:rFonts w:ascii="Times New Roman;Times;serif" w:hAnsi="Times New Roman;Times;serif"/>
          <w:sz w:val="24"/>
        </w:rPr>
        <w:t>In the event that the amount of any compensation, payment or distribution by NextCure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Times;serif" w:hAnsi="Times New Roman;Times;serif"/>
          <w:b/>
          <w:sz w:val="24"/>
        </w:rPr>
        <w:t>Aggregate Payments</w:t>
      </w:r>
      <w:r>
        <w:rPr>
          <w:rFonts w:ascii="Aptos" w:hAnsi="Aptos"/>
          <w:sz w:val="24"/>
        </w:rPr>
        <w:t>”</w:t>
      </w:r>
      <w:r>
        <w:rPr>
          <w:rFonts w:ascii="Times New Roman;Times;serif" w:hAnsi="Times New Roman;Times;serif"/>
          <w:sz w:val="24"/>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Times;serif" w:hAnsi="Times New Roman;Times;serif"/>
          <w:b/>
          <w:sz w:val="24"/>
        </w:rPr>
        <w:t>After Tax Amount</w:t>
      </w:r>
      <w:r>
        <w:rPr>
          <w:rFonts w:ascii="Aptos" w:hAnsi="Aptos"/>
          <w:sz w:val="24"/>
        </w:rPr>
        <w:t xml:space="preserve">” </w:t>
      </w:r>
      <w:r>
        <w:rPr>
          <w:rFonts w:ascii="Times New Roman;Times;serif" w:hAnsi="Times New Roman;Times;serif"/>
          <w:sz w:val="24"/>
        </w:rPr>
        <w:t xml:space="preserve">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NextCure, which shall provide detailed supporting calculations both to NextCure and you.  The costs of obtaining such determination and all related fees and expenses (including related fees and expenses incurred in any later audit) shall be borne by NextCure.  Notwithstanding the foregoing, if (i) NextCure is not publicly traded prior to the occurrence of a change in control such that the private company exception pursuant to Q &amp; A #7 of the regulations promulgated under Section 280G of the Code is applicable and (ii) you request that NextCure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NextCure shall use its reasonable best efforts to obtain such approval.   </w:t>
      </w:r>
    </w:p>
    <w:tbl>
      <w:tblPr>
        <w:tblW w:w="1833" w:type="dxa"/>
        <w:jc w:val="left"/>
        <w:tblInd w:w="0" w:type="dxa"/>
        <w:tblLayout w:type="fixed"/>
        <w:tblCellMar>
          <w:top w:w="0" w:type="dxa"/>
          <w:left w:w="0" w:type="dxa"/>
          <w:bottom w:w="0" w:type="dxa"/>
          <w:right w:w="0" w:type="dxa"/>
        </w:tblCellMar>
      </w:tblPr>
      <w:tblGrid>
        <w:gridCol w:w="23"/>
        <w:gridCol w:w="320"/>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10.</w:t>
            </w:r>
          </w:p>
        </w:tc>
        <w:tc>
          <w:tcPr>
            <w:tcW w:w="14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Miscellaneous</w:t>
            </w:r>
            <w:r>
              <w:rPr>
                <w:rFonts w:ascii="Times New Roman;Times;serif" w:hAnsi="Times New Roman;Times;serif"/>
                <w:b w:val="false"/>
                <w:i w:val="false"/>
                <w:caps w:val="false"/>
                <w:smallCaps w:val="false"/>
                <w:sz w:val="24"/>
              </w:rPr>
              <w:t xml:space="preserve">. </w:t>
            </w:r>
          </w:p>
        </w:tc>
      </w:tr>
    </w:tbl>
    <w:p>
      <w:pPr>
        <w:pStyle w:val="TextBody"/>
        <w:bidi w:val="0"/>
        <w:spacing w:lineRule="atLeast" w:line="275" w:before="0" w:after="240"/>
        <w:ind w:left="720" w:right="0" w:hanging="0"/>
        <w:jc w:val="both"/>
        <w:rPr>
          <w:rFonts w:ascii="Aptos" w:hAnsi="Aptos"/>
          <w:sz w:val="24"/>
        </w:rPr>
      </w:pPr>
      <w:r>
        <w:rPr>
          <w:rFonts w:ascii="Times New Roman;Times;serif" w:hAnsi="Times New Roman;Times;serif"/>
          <w:sz w:val="23"/>
        </w:rPr>
        <w:t>a.</w:t>
      </w:r>
      <w:r>
        <w:rPr>
          <w:rFonts w:ascii="Times New Roman;Times;serif" w:hAnsi="Times New Roman;Times;serif"/>
          <w:sz w:val="24"/>
        </w:rPr>
        <w:t>This offer of employment is made subject to you having the legal right to work in the United States.</w:t>
      </w:r>
    </w:p>
    <w:p>
      <w:pPr>
        <w:pStyle w:val="HorizontalLine"/>
        <w:pBdr>
          <w:bottom w:val="double" w:sz="2" w:space="0" w:color="808080"/>
        </w:pBdr>
        <w:bidi w:val="0"/>
        <w:spacing w:before="0" w:after="283"/>
        <w:jc w:val="left"/>
        <w:rPr/>
      </w:pPr>
      <w:r>
        <w:rPr/>
      </w:r>
    </w:p>
    <w:p>
      <w:pPr>
        <w:pStyle w:val="TextBody"/>
        <w:bidi w:val="0"/>
        <w:spacing w:lineRule="atLeast" w:line="275" w:before="0" w:after="240"/>
        <w:ind w:left="720" w:right="0" w:hanging="0"/>
        <w:jc w:val="both"/>
        <w:rPr>
          <w:rFonts w:ascii="Aptos" w:hAnsi="Aptos"/>
          <w:sz w:val="24"/>
        </w:rPr>
      </w:pPr>
      <w:r>
        <w:rPr>
          <w:rFonts w:ascii="Times New Roman;Times;serif" w:hAnsi="Times New Roman;Times;serif"/>
          <w:sz w:val="23"/>
        </w:rPr>
        <w:t>b.</w:t>
      </w:r>
      <w:r>
        <w:rPr>
          <w:rFonts w:ascii="Times New Roman;Times;serif" w:hAnsi="Times New Roman;Times;serif"/>
          <w:sz w:val="24"/>
        </w:rPr>
        <w:t>Your employment with NextCure is subject to all Company policies and procedures, and NextCure retains the right to change its policies or procedures at any time.</w:t>
      </w:r>
    </w:p>
    <w:p>
      <w:pPr>
        <w:pStyle w:val="TextBody"/>
        <w:bidi w:val="0"/>
        <w:spacing w:lineRule="atLeast" w:line="275" w:before="0" w:after="240"/>
        <w:ind w:left="720" w:right="0" w:hanging="0"/>
        <w:jc w:val="both"/>
        <w:rPr>
          <w:rFonts w:ascii="Aptos" w:hAnsi="Aptos"/>
          <w:sz w:val="24"/>
        </w:rPr>
      </w:pPr>
      <w:r>
        <w:rPr>
          <w:rFonts w:ascii="Times New Roman;Times;serif" w:hAnsi="Times New Roman;Times;serif"/>
          <w:sz w:val="23"/>
        </w:rPr>
        <w:t>c.</w:t>
      </w:r>
      <w:r>
        <w:rPr>
          <w:rFonts w:ascii="Times New Roman;Times;serif" w:hAnsi="Times New Roman;Times;serif"/>
          <w:sz w:val="24"/>
        </w:rPr>
        <w:t>This Agreement may be executed in several counterparts, each of which shall be deemed to be an original but all of which together will constitute one and the same instrument.</w:t>
      </w:r>
    </w:p>
    <w:p>
      <w:pPr>
        <w:pStyle w:val="TextBody"/>
        <w:bidi w:val="0"/>
        <w:spacing w:lineRule="atLeast" w:line="275" w:before="0" w:after="240"/>
        <w:ind w:left="720" w:right="0" w:hanging="0"/>
        <w:jc w:val="both"/>
        <w:rPr>
          <w:rFonts w:ascii="Aptos" w:hAnsi="Aptos"/>
          <w:sz w:val="24"/>
        </w:rPr>
      </w:pPr>
      <w:r>
        <w:rPr>
          <w:rFonts w:ascii="Times New Roman;Times;serif" w:hAnsi="Times New Roman;Times;serif"/>
          <w:sz w:val="23"/>
        </w:rPr>
        <w:t>d.</w:t>
      </w:r>
      <w:r>
        <w:rPr>
          <w:rFonts w:ascii="Times New Roman;Times;serif" w:hAnsi="Times New Roman;Times;serif"/>
          <w:sz w:val="24"/>
        </w:rPr>
        <w:t>Neither this Agreement nor any of your rights or obligations hereunder shall be assignable by you.  NextCure may assign this Agreement or any of its obligations hereunder to any subsidiary of NextCure, or to any successor (whether by merger, purchase or otherwise) to all or substantially all of the equity, assets or businesses of NextCure.  This Agreement is intended to bind and inure to the benefit of and be enforceable to you and NextCure and NextCure’s permitted successors and assigns.</w:t>
      </w:r>
    </w:p>
    <w:p>
      <w:pPr>
        <w:pStyle w:val="TextBody"/>
        <w:bidi w:val="0"/>
        <w:spacing w:lineRule="atLeast" w:line="275" w:before="0" w:after="240"/>
        <w:ind w:left="720" w:right="0" w:hanging="0"/>
        <w:jc w:val="both"/>
        <w:rPr>
          <w:rFonts w:ascii="Aptos" w:hAnsi="Aptos"/>
          <w:sz w:val="24"/>
        </w:rPr>
      </w:pPr>
      <w:r>
        <w:rPr>
          <w:rFonts w:ascii="Times New Roman;Times;serif" w:hAnsi="Times New Roman;Times;serif"/>
          <w:sz w:val="23"/>
        </w:rPr>
        <w:t>e.</w:t>
      </w:r>
      <w:r>
        <w:rPr>
          <w:rFonts w:ascii="Times New Roman;Times;serif" w:hAnsi="Times New Roman;Times;serif"/>
          <w:sz w:val="24"/>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bidi w:val="0"/>
        <w:spacing w:lineRule="atLeast" w:line="275"/>
        <w:ind w:left="720" w:right="0" w:hanging="0"/>
        <w:jc w:val="both"/>
        <w:rPr>
          <w:rFonts w:ascii="Aptos" w:hAnsi="Aptos"/>
          <w:sz w:val="24"/>
        </w:rPr>
      </w:pPr>
      <w:r>
        <w:rPr>
          <w:rFonts w:ascii="Times New Roman;Times;serif" w:hAnsi="Times New Roman;Times;serif"/>
          <w:sz w:val="23"/>
        </w:rPr>
        <w:t>f.</w:t>
      </w:r>
      <w:r>
        <w:rPr>
          <w:rFonts w:ascii="Times New Roman;Times;serif" w:hAnsi="Times New Roman;Times;serif"/>
          <w:sz w:val="24"/>
        </w:rPr>
        <w:t>The validity, interpretation, construction and performance of this Agreement shall be governed by the laws of the State of Maryland without regard to the choice of law principles thereof.</w:t>
      </w:r>
    </w:p>
    <w:p>
      <w:pPr>
        <w:pStyle w:val="TextBody"/>
        <w:bidi w:val="0"/>
        <w:spacing w:lineRule="atLeast" w:line="275" w:before="0" w:after="240"/>
        <w:ind w:left="0" w:right="0" w:hanging="0"/>
        <w:jc w:val="center"/>
        <w:rPr>
          <w:rFonts w:ascii="Aptos" w:hAnsi="Aptos"/>
          <w:sz w:val="24"/>
        </w:rPr>
      </w:pPr>
      <w:r>
        <w:rPr>
          <w:rFonts w:ascii="Times New Roman;Times;serif" w:hAnsi="Times New Roman;Times;serif"/>
          <w:sz w:val="24"/>
        </w:rPr>
        <w:t>[</w:t>
      </w:r>
      <w:r>
        <w:rPr>
          <w:rFonts w:ascii="Times New Roman;Times;serif" w:hAnsi="Times New Roman;Times;serif"/>
          <w:i/>
          <w:sz w:val="24"/>
        </w:rPr>
        <w:t>remainder of page intentionally left blank</w:t>
      </w:r>
      <w:r>
        <w:rPr>
          <w:rFonts w:ascii="Times New Roman;Times;serif" w:hAnsi="Times New Roman;Times;serif"/>
          <w:sz w:val="24"/>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If the foregoing is acceptable, please indicate your agreement by signing below and returning the original signed Agreement (keeping a copy for your own records) to me on or before July 6, 2020.  If you have any further questions or require additional information, please feel free to contact me.</w:t>
      </w:r>
    </w:p>
    <w:p>
      <w:pPr>
        <w:pStyle w:val="TextBody"/>
        <w:bidi w:val="0"/>
        <w:spacing w:lineRule="auto" w:line="285" w:before="0" w:after="0"/>
        <w:ind w:left="0" w:right="0" w:hanging="0"/>
        <w:jc w:val="left"/>
        <w:rPr>
          <w:rFonts w:ascii="Times New Roman;Times;serif" w:hAnsi="Times New Roman;Times;serif"/>
          <w:spacing w:val="1"/>
          <w:sz w:val="24"/>
        </w:rPr>
      </w:pPr>
      <w:r>
        <w:rPr>
          <w:rFonts w:ascii="Times New Roman;Times;serif" w:hAnsi="Times New Roman;Times;serif"/>
          <w:spacing w:val="1"/>
          <w:sz w:val="24"/>
        </w:rPr>
        <w:t>Sincerely,</w:t>
      </w:r>
    </w:p>
    <w:p>
      <w:pPr>
        <w:pStyle w:val="TextBody"/>
        <w:bidi w:val="0"/>
        <w:spacing w:lineRule="auto" w:line="331" w:before="0" w:after="160"/>
        <w:ind w:left="0" w:right="0" w:hanging="0"/>
        <w:jc w:val="left"/>
        <w:rPr>
          <w:spacing w:val="1"/>
        </w:rPr>
      </w:pPr>
      <w:r>
        <w:rPr>
          <w:spacing w:val="1"/>
        </w:rPr>
        <w:t>​</w:t>
      </w:r>
    </w:p>
    <w:p>
      <w:pPr>
        <w:pStyle w:val="TextBody"/>
        <w:bidi w:val="0"/>
        <w:spacing w:lineRule="auto" w:line="285" w:before="0" w:after="0"/>
        <w:ind w:left="0" w:right="0" w:hanging="0"/>
        <w:jc w:val="left"/>
        <w:rPr>
          <w:rFonts w:ascii="Times New Roman;Times;serif" w:hAnsi="Times New Roman;Times;serif"/>
          <w:b/>
          <w:spacing w:val="1"/>
          <w:sz w:val="24"/>
        </w:rPr>
      </w:pPr>
      <w:r>
        <w:rPr>
          <w:rFonts w:ascii="Times New Roman;Times;serif" w:hAnsi="Times New Roman;Times;serif"/>
          <w:b/>
          <w:spacing w:val="1"/>
          <w:sz w:val="24"/>
        </w:rPr>
        <w:t>NEXTCURE, INC.</w:t>
      </w:r>
    </w:p>
    <w:p>
      <w:pPr>
        <w:pStyle w:val="TextBody"/>
        <w:bidi w:val="0"/>
        <w:spacing w:lineRule="auto" w:line="331" w:before="0" w:after="160"/>
        <w:ind w:left="0" w:right="0" w:hanging="0"/>
        <w:jc w:val="left"/>
        <w:rPr>
          <w:spacing w:val="1"/>
        </w:rPr>
      </w:pPr>
      <w:r>
        <w:rPr>
          <w:spacing w:val="1"/>
        </w:rPr>
        <w:t>​</w:t>
      </w:r>
    </w:p>
    <w:p>
      <w:pPr>
        <w:pStyle w:val="TextBody"/>
        <w:bidi w:val="0"/>
        <w:spacing w:lineRule="auto" w:line="331" w:before="0" w:after="160"/>
        <w:ind w:left="0" w:right="0" w:hanging="0"/>
        <w:jc w:val="left"/>
        <w:rPr>
          <w:spacing w:val="1"/>
        </w:rPr>
      </w:pPr>
      <w:r>
        <w:rPr>
          <w:spacing w:val="1"/>
        </w:rPr>
        <w:t>​</w:t>
      </w:r>
    </w:p>
    <w:p>
      <w:pPr>
        <w:pStyle w:val="TextBody"/>
        <w:bidi w:val="0"/>
        <w:spacing w:lineRule="auto" w:line="285" w:before="0" w:after="0"/>
        <w:ind w:left="0" w:right="0" w:hanging="0"/>
        <w:jc w:val="left"/>
        <w:rPr>
          <w:rFonts w:ascii="Aptos" w:hAnsi="Aptos"/>
          <w:sz w:val="24"/>
        </w:rPr>
      </w:pPr>
      <w:r>
        <w:rPr>
          <w:rFonts w:ascii="Times New Roman;Times;serif" w:hAnsi="Times New Roman;Times;serif"/>
          <w:b w:val="false"/>
          <w:i w:val="false"/>
          <w:caps w:val="false"/>
          <w:smallCaps w:val="false"/>
          <w:spacing w:val="1"/>
          <w:sz w:val="24"/>
        </w:rPr>
        <w:t>By:</w:t>
      </w:r>
      <w:r>
        <w:rPr>
          <w:rFonts w:ascii="Times New Roman;Times;serif" w:hAnsi="Times New Roman;Times;serif"/>
          <w:spacing w:val="1"/>
          <w:sz w:val="24"/>
          <w:u w:val="single"/>
        </w:rPr>
        <w:t>/s/ Michael Richman</w:t>
      </w:r>
    </w:p>
    <w:p>
      <w:pPr>
        <w:pStyle w:val="TextBody"/>
        <w:bidi w:val="0"/>
        <w:spacing w:lineRule="auto" w:line="285" w:before="0" w:after="0"/>
        <w:ind w:left="0" w:right="0" w:hanging="0"/>
        <w:jc w:val="left"/>
        <w:rPr>
          <w:rFonts w:ascii="Times New Roman;Times;serif" w:hAnsi="Times New Roman;Times;serif"/>
          <w:spacing w:val="1"/>
          <w:sz w:val="24"/>
        </w:rPr>
      </w:pPr>
      <w:r>
        <w:rPr>
          <w:rFonts w:ascii="Times New Roman;Times;serif" w:hAnsi="Times New Roman;Times;serif"/>
          <w:spacing w:val="1"/>
          <w:sz w:val="24"/>
        </w:rPr>
        <w:t>Michael Richman</w:t>
      </w:r>
    </w:p>
    <w:p>
      <w:pPr>
        <w:pStyle w:val="TextBody"/>
        <w:bidi w:val="0"/>
        <w:spacing w:lineRule="auto" w:line="285" w:before="0" w:after="0"/>
        <w:ind w:left="0" w:right="0" w:firstLine="720"/>
        <w:jc w:val="left"/>
        <w:rPr>
          <w:rFonts w:ascii="Times New Roman;Times;serif" w:hAnsi="Times New Roman;Times;serif"/>
          <w:spacing w:val="1"/>
          <w:sz w:val="24"/>
        </w:rPr>
      </w:pPr>
      <w:r>
        <w:rPr>
          <w:rFonts w:ascii="Times New Roman;Times;serif" w:hAnsi="Times New Roman;Times;serif"/>
          <w:spacing w:val="1"/>
          <w:sz w:val="24"/>
        </w:rPr>
        <w:t>President and Chief Executive Officer</w:t>
      </w:r>
    </w:p>
    <w:p>
      <w:pPr>
        <w:pStyle w:val="TextBody"/>
        <w:bidi w:val="0"/>
        <w:spacing w:lineRule="auto" w:line="331" w:before="0" w:after="160"/>
        <w:ind w:left="0" w:right="0" w:hanging="0"/>
        <w:jc w:val="left"/>
        <w:rPr>
          <w:spacing w:val="1"/>
        </w:rPr>
      </w:pPr>
      <w:r>
        <w:rPr>
          <w:spacing w:val="1"/>
        </w:rPr>
        <w:t>​</w:t>
      </w:r>
    </w:p>
    <w:p>
      <w:pPr>
        <w:pStyle w:val="TextBody"/>
        <w:bidi w:val="0"/>
        <w:spacing w:lineRule="auto" w:line="331" w:before="0" w:after="160"/>
        <w:ind w:left="0" w:right="0" w:hanging="0"/>
        <w:jc w:val="left"/>
        <w:rPr>
          <w:spacing w:val="1"/>
        </w:rPr>
      </w:pPr>
      <w:r>
        <w:rPr>
          <w:spacing w:val="1"/>
        </w:rPr>
        <w:t>​</w:t>
      </w:r>
    </w:p>
    <w:p>
      <w:pPr>
        <w:pStyle w:val="TextBody"/>
        <w:bidi w:val="0"/>
        <w:spacing w:lineRule="auto" w:line="331" w:before="0" w:after="160"/>
        <w:ind w:left="0" w:right="0" w:hanging="0"/>
        <w:jc w:val="left"/>
        <w:rPr>
          <w:spacing w:val="1"/>
        </w:rPr>
      </w:pPr>
      <w:r>
        <w:rPr>
          <w:spacing w:val="1"/>
        </w:rPr>
        <w:t>​</w:t>
      </w:r>
    </w:p>
    <w:p>
      <w:pPr>
        <w:pStyle w:val="TextBody"/>
        <w:bidi w:val="0"/>
        <w:spacing w:lineRule="auto" w:line="285" w:before="0" w:after="0"/>
        <w:ind w:left="0" w:right="0" w:hanging="0"/>
        <w:jc w:val="left"/>
        <w:rPr>
          <w:rFonts w:ascii="Times New Roman;Times;serif" w:hAnsi="Times New Roman;Times;serif"/>
          <w:b/>
          <w:spacing w:val="1"/>
          <w:sz w:val="24"/>
        </w:rPr>
      </w:pPr>
      <w:r>
        <w:rPr>
          <w:rFonts w:ascii="Times New Roman;Times;serif" w:hAnsi="Times New Roman;Times;serif"/>
          <w:b/>
          <w:spacing w:val="1"/>
          <w:sz w:val="24"/>
        </w:rPr>
        <w:t>ACCEPTED AND AGREED:</w:t>
      </w:r>
    </w:p>
    <w:p>
      <w:pPr>
        <w:pStyle w:val="TextBody"/>
        <w:bidi w:val="0"/>
        <w:spacing w:lineRule="auto" w:line="331" w:before="0" w:after="160"/>
        <w:ind w:left="0" w:right="0" w:hanging="0"/>
        <w:jc w:val="left"/>
        <w:rPr>
          <w:spacing w:val="1"/>
        </w:rPr>
      </w:pPr>
      <w:r>
        <w:rPr>
          <w:spacing w:val="1"/>
        </w:rPr>
        <w:t>​</w:t>
      </w:r>
    </w:p>
    <w:p>
      <w:pPr>
        <w:pStyle w:val="TextBody"/>
        <w:bidi w:val="0"/>
        <w:spacing w:lineRule="auto" w:line="285"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/s/ Timothy Mayer</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Timothy Mayer, Ph.D.</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Date: July 6, 2020</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4"/>
        </w:rPr>
      </w:pPr>
      <w:r>
        <w:rPr>
          <w:rFonts w:ascii="Times New Roman;Times;serif" w:hAnsi="Times New Roman;Times;serif"/>
          <w:b w:val="false"/>
          <w:i w:val="false"/>
          <w:caps w:val="false"/>
          <w:smallCaps w:val="false"/>
          <w:sz w:val="24"/>
        </w:rPr>
        <w:t>Appendices:</w:t>
      </w:r>
      <w:r>
        <w:rPr>
          <w:rFonts w:ascii="Times New Roman;Times;serif" w:hAnsi="Times New Roman;Times;serif"/>
          <w:sz w:val="24"/>
        </w:rPr>
        <w:t>Appendix A — Approved Activities</w:t>
      </w:r>
    </w:p>
    <w:p>
      <w:pPr>
        <w:pStyle w:val="TextBody"/>
        <w:bidi w:val="0"/>
        <w:spacing w:lineRule="auto" w:line="285" w:before="0" w:after="0"/>
        <w:ind w:left="0" w:right="0" w:hanging="0"/>
        <w:jc w:val="left"/>
        <w:rPr>
          <w:rFonts w:ascii="Aptos" w:hAnsi="Aptos"/>
          <w:sz w:val="24"/>
        </w:rPr>
      </w:pPr>
      <w:r>
        <w:rPr>
          <w:rFonts w:ascii="Times New Roman;Times;serif" w:hAnsi="Times New Roman;Times;serif"/>
          <w:spacing w:val="3"/>
          <w:sz w:val="24"/>
        </w:rPr>
        <w:t xml:space="preserve">Appendix B </w:t>
      </w:r>
      <w:r>
        <w:rPr>
          <w:rFonts w:ascii="Aptos" w:hAnsi="Aptos"/>
          <w:sz w:val="24"/>
        </w:rPr>
        <w:t xml:space="preserve">— </w:t>
      </w:r>
      <w:r>
        <w:rPr>
          <w:rFonts w:ascii="Times New Roman;Times;serif" w:hAnsi="Times New Roman;Times;serif"/>
          <w:sz w:val="24"/>
        </w:rPr>
        <w:t xml:space="preserve">Separation Agreement and </w:t>
      </w:r>
      <w:r>
        <w:rPr>
          <w:rFonts w:ascii="Times New Roman;Times;serif" w:hAnsi="Times New Roman;Times;serif"/>
          <w:spacing w:val="3"/>
          <w:sz w:val="24"/>
        </w:rPr>
        <w:t>General Release</w:t>
      </w:r>
    </w:p>
    <w:p>
      <w:pPr>
        <w:pStyle w:val="TextBody"/>
        <w:bidi w:val="0"/>
        <w:spacing w:lineRule="auto" w:line="285" w:before="0" w:after="0"/>
        <w:ind w:left="0" w:right="0" w:hanging="0"/>
        <w:jc w:val="left"/>
        <w:rPr>
          <w:rFonts w:ascii="Aptos" w:hAnsi="Aptos"/>
          <w:sz w:val="24"/>
        </w:rPr>
      </w:pPr>
      <w:r>
        <w:rPr>
          <w:rFonts w:ascii="Times New Roman;Times;serif" w:hAnsi="Times New Roman;Times;serif"/>
          <w:spacing w:val="3"/>
          <w:sz w:val="24"/>
        </w:rPr>
        <w:t xml:space="preserve">Appendix C </w:t>
      </w:r>
      <w:r>
        <w:rPr>
          <w:rFonts w:ascii="Aptos" w:hAnsi="Aptos"/>
          <w:sz w:val="24"/>
        </w:rPr>
        <w:t xml:space="preserve">— </w:t>
      </w:r>
      <w:r>
        <w:rPr>
          <w:rFonts w:ascii="Times New Roman;Times;serif" w:hAnsi="Times New Roman;Times;serif"/>
          <w:spacing w:val="3"/>
          <w:sz w:val="24"/>
        </w:rPr>
        <w:t>Confidentiality and Proprietary Rights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5" w:name="nxtc-20260331xex31d1.htm"/>
      <w:bookmarkStart w:id="756" w:name="ksnxtc20260331xex31d1"/>
      <w:bookmarkEnd w:id="755"/>
      <w:bookmarkEnd w:id="75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Michael Richman,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NextCure,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08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72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44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3966" w:type="dxa"/>
        <w:jc w:val="center"/>
        <w:tblInd w:w="0" w:type="dxa"/>
        <w:tblLayout w:type="fixed"/>
        <w:tblCellMar>
          <w:top w:w="0" w:type="dxa"/>
          <w:left w:w="0" w:type="dxa"/>
          <w:bottom w:w="0" w:type="dxa"/>
          <w:right w:w="0" w:type="dxa"/>
        </w:tblCellMar>
      </w:tblPr>
      <w:tblGrid>
        <w:gridCol w:w="646"/>
        <w:gridCol w:w="316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10210" cy="175260"/>
                      <wp:effectExtent l="0" t="0" r="0" b="0"/>
                      <wp:wrapNone/>
                      <wp:docPr id="178" name="Frame17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10410" cy="175260"/>
                      <wp:effectExtent l="0" t="0" r="0" b="0"/>
                      <wp:wrapNone/>
                      <wp:docPr id="179" name="Frame178"/>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8425" cy="175260"/>
                      <wp:effectExtent l="0" t="0" r="0" b="0"/>
                      <wp:wrapNone/>
                      <wp:docPr id="180" name="Frame17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2"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154" w:type="dxa"/>
            <w:tcBorders/>
            <w:vAlign w:val="center"/>
          </w:tcPr>
          <w:p>
            <w:pPr>
              <w:pStyle w:val="TableContents"/>
              <w:bidi w:val="0"/>
              <w:spacing w:before="0" w:after="0"/>
              <w:ind w:left="0" w:right="0" w:hanging="0"/>
              <w:jc w:val="left"/>
              <w:rPr/>
            </w:pPr>
            <w:r>
              <w:rPr/>
              <w:t>​</w:t>
            </w:r>
          </w:p>
        </w:tc>
      </w:tr>
      <w:tr>
        <w:trPr/>
        <w:tc>
          <w:tcPr>
            <w:tcW w:w="3812" w:type="dxa"/>
            <w:gridSpan w:val="2"/>
            <w:tcBorders/>
            <w:vAlign w:val="center"/>
          </w:tcPr>
          <w:p>
            <w:pPr>
              <w:pStyle w:val="TableContents"/>
              <w:pBdr/>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2" w:type="dxa"/>
            <w:gridSpan w:val="2"/>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7" w:name="nxtc-20260331xex31d2.htm"/>
      <w:bookmarkStart w:id="758" w:name="ksnxtc20260331xex31d2"/>
      <w:bookmarkEnd w:id="757"/>
      <w:bookmarkEnd w:id="75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Steven P. Cobourn,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NextCure,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08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72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44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2766" w:type="dxa"/>
        <w:jc w:val="center"/>
        <w:tblInd w:w="0" w:type="dxa"/>
        <w:tblLayout w:type="fixed"/>
        <w:tblCellMar>
          <w:top w:w="0" w:type="dxa"/>
          <w:left w:w="0" w:type="dxa"/>
          <w:bottom w:w="0" w:type="dxa"/>
          <w:right w:w="0" w:type="dxa"/>
        </w:tblCellMar>
      </w:tblPr>
      <w:tblGrid>
        <w:gridCol w:w="646"/>
        <w:gridCol w:w="196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10210" cy="29210"/>
                      <wp:effectExtent l="0" t="0" r="0" b="0"/>
                      <wp:wrapNone/>
                      <wp:docPr id="181" name="Frame180"/>
                      <a:graphic xmlns:a="http://schemas.openxmlformats.org/drawingml/2006/main">
                        <a:graphicData uri="http://schemas.microsoft.com/office/word/2010/wordprocessingShape">
                          <wps:wsp>
                            <wps:cNvSpPr txBox="1"/>
                            <wps:spPr>
                              <a:xfrm>
                                <a:off x="0" y="0"/>
                                <a:ext cx="41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48410" cy="175260"/>
                      <wp:effectExtent l="0" t="0" r="0" b="0"/>
                      <wp:wrapNone/>
                      <wp:docPr id="182" name="Frame181"/>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8425" cy="175260"/>
                      <wp:effectExtent l="0" t="0" r="0" b="0"/>
                      <wp:wrapNone/>
                      <wp:docPr id="183" name="Frame18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2"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vAlign w:val="center"/>
          </w:tcPr>
          <w:p>
            <w:pPr>
              <w:pStyle w:val="TableContents"/>
              <w:pBdr/>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P. Cobourn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9" w:name="nxtc-20260331xex32d1.htm"/>
      <w:bookmarkStart w:id="760" w:name="ksnxtc20260331xex32d1"/>
      <w:bookmarkEnd w:id="759"/>
      <w:bookmarkEnd w:id="760"/>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NextCure, Inc. (the “Company”) for the quarter ended March 31, 2026,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583" w:type="dxa"/>
        <w:jc w:val="center"/>
        <w:tblInd w:w="0" w:type="dxa"/>
        <w:tblLayout w:type="fixed"/>
        <w:tblCellMar>
          <w:top w:w="0" w:type="dxa"/>
          <w:left w:w="0" w:type="dxa"/>
          <w:bottom w:w="0" w:type="dxa"/>
          <w:right w:w="0" w:type="dxa"/>
        </w:tblCellMar>
      </w:tblPr>
      <w:tblGrid>
        <w:gridCol w:w="1741"/>
        <w:gridCol w:w="631"/>
        <w:gridCol w:w="321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05535" cy="175260"/>
                      <wp:effectExtent l="0" t="0" r="0" b="0"/>
                      <wp:wrapNone/>
                      <wp:docPr id="184" name="Frame18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00685" cy="175260"/>
                      <wp:effectExtent l="0" t="0" r="0" b="0"/>
                      <wp:wrapNone/>
                      <wp:docPr id="185" name="Frame18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38985" cy="175260"/>
                      <wp:effectExtent l="0" t="0" r="0" b="0"/>
                      <wp:wrapNone/>
                      <wp:docPr id="186" name="Frame18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2026</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2026</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P. Cobourn</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17693</Words>
  <Characters>97592</Characters>
  <CharactersWithSpaces>116220</CharactersWithSpaces>
  <Paragraphs>3037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